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BC" w:rsidRPr="00FF70BA" w:rsidRDefault="008D60BA" w:rsidP="006B0558">
      <w:pPr>
        <w:spacing w:line="360" w:lineRule="auto"/>
        <w:jc w:val="both"/>
        <w:rPr>
          <w:rFonts w:asciiTheme="majorBidi" w:hAnsiTheme="majorBidi" w:cstheme="majorBidi"/>
          <w:b/>
          <w:bCs/>
          <w:sz w:val="24"/>
          <w:szCs w:val="24"/>
        </w:rPr>
      </w:pPr>
      <w:r w:rsidRPr="00FF70BA">
        <w:rPr>
          <w:rFonts w:asciiTheme="majorBidi" w:hAnsiTheme="majorBidi" w:cstheme="majorBidi"/>
          <w:b/>
          <w:bCs/>
          <w:sz w:val="32"/>
          <w:szCs w:val="32"/>
        </w:rPr>
        <w:t>CHAPITRE II: LA REFORME SOLVENCY II</w:t>
      </w:r>
    </w:p>
    <w:p w:rsidR="00BF3ECA" w:rsidRPr="00FF70BA" w:rsidRDefault="00B70902" w:rsidP="006B0558">
      <w:pPr>
        <w:spacing w:before="100" w:beforeAutospacing="1" w:after="0" w:line="360" w:lineRule="auto"/>
        <w:jc w:val="both"/>
        <w:rPr>
          <w:rFonts w:asciiTheme="majorBidi" w:eastAsia="Times New Roman" w:hAnsiTheme="majorBidi" w:cstheme="majorBidi"/>
          <w:sz w:val="24"/>
          <w:szCs w:val="24"/>
        </w:rPr>
      </w:pPr>
      <w:r w:rsidRPr="00FF70BA">
        <w:rPr>
          <w:rFonts w:asciiTheme="majorBidi" w:eastAsia="Times New Roman" w:hAnsiTheme="majorBidi" w:cstheme="majorBidi"/>
          <w:sz w:val="24"/>
          <w:szCs w:val="24"/>
        </w:rPr>
        <w:tab/>
        <w:t>Solvabilité II est une directive de l’Union Européenne s’adressant aux assureurs et réassu</w:t>
      </w:r>
      <w:r w:rsidR="002B28FB">
        <w:rPr>
          <w:rFonts w:asciiTheme="majorBidi" w:eastAsia="Times New Roman" w:hAnsiTheme="majorBidi" w:cstheme="majorBidi"/>
          <w:sz w:val="24"/>
          <w:szCs w:val="24"/>
        </w:rPr>
        <w:t>reurs européens à l’horizon 2014</w:t>
      </w:r>
      <w:r w:rsidRPr="00FF70BA">
        <w:rPr>
          <w:rFonts w:asciiTheme="majorBidi" w:eastAsia="Times New Roman" w:hAnsiTheme="majorBidi" w:cstheme="majorBidi"/>
          <w:sz w:val="24"/>
          <w:szCs w:val="24"/>
        </w:rPr>
        <w:t>. Elle définit de nouvelles exigences en fonds propres afin de mieux couvrir l’ensemble des risques encourus par les acteurs du marché assurantiel. Elle les encourage surtout à adopter une démarche globale de gestion des risques, à travers la mise en place de chantiers couvrant l’ensemble de l’entreprise.</w:t>
      </w:r>
    </w:p>
    <w:p w:rsidR="00207BE6" w:rsidRPr="00FF70BA" w:rsidRDefault="00F977EF" w:rsidP="006B0558">
      <w:pPr>
        <w:spacing w:after="0" w:line="360" w:lineRule="auto"/>
        <w:jc w:val="both"/>
        <w:rPr>
          <w:rFonts w:asciiTheme="majorBidi" w:eastAsia="Times New Roman" w:hAnsiTheme="majorBidi" w:cstheme="majorBidi"/>
          <w:sz w:val="24"/>
          <w:szCs w:val="24"/>
        </w:rPr>
      </w:pPr>
      <w:r w:rsidRPr="00FF70BA">
        <w:rPr>
          <w:rFonts w:asciiTheme="majorBidi" w:eastAsia="Times New Roman" w:hAnsiTheme="majorBidi" w:cstheme="majorBidi"/>
          <w:sz w:val="24"/>
          <w:szCs w:val="24"/>
        </w:rPr>
        <w:tab/>
        <w:t xml:space="preserve"> Le projet </w:t>
      </w:r>
      <w:r w:rsidR="00784627" w:rsidRPr="00FF70BA">
        <w:rPr>
          <w:rFonts w:asciiTheme="majorBidi" w:eastAsia="Times New Roman" w:hAnsiTheme="majorBidi" w:cstheme="majorBidi"/>
          <w:sz w:val="24"/>
          <w:szCs w:val="24"/>
        </w:rPr>
        <w:t xml:space="preserve"> s’inscrit dans un cadre réglementaire et économique changeant :</w:t>
      </w:r>
      <w:r w:rsidR="00207BE6" w:rsidRPr="00FF70BA">
        <w:rPr>
          <w:rFonts w:asciiTheme="majorBidi" w:hAnsiTheme="majorBidi" w:cstheme="majorBidi"/>
          <w:sz w:val="24"/>
          <w:szCs w:val="24"/>
        </w:rPr>
        <w:t xml:space="preserve"> </w:t>
      </w:r>
      <w:r w:rsidR="00207BE6" w:rsidRPr="00FF70BA">
        <w:rPr>
          <w:rFonts w:asciiTheme="majorBidi" w:eastAsia="Times New Roman" w:hAnsiTheme="majorBidi" w:cstheme="majorBidi"/>
          <w:sz w:val="24"/>
          <w:szCs w:val="24"/>
        </w:rPr>
        <w:t>Apparition de nouveau</w:t>
      </w:r>
      <w:r w:rsidR="005359D8">
        <w:rPr>
          <w:rFonts w:asciiTheme="majorBidi" w:eastAsia="Times New Roman" w:hAnsiTheme="majorBidi" w:cstheme="majorBidi"/>
          <w:sz w:val="24"/>
          <w:szCs w:val="24"/>
        </w:rPr>
        <w:t xml:space="preserve">x risques </w:t>
      </w:r>
      <w:r w:rsidR="00207BE6" w:rsidRPr="00FF70BA">
        <w:rPr>
          <w:rFonts w:asciiTheme="majorBidi" w:eastAsia="Times New Roman" w:hAnsiTheme="majorBidi" w:cstheme="majorBidi"/>
          <w:sz w:val="24"/>
          <w:szCs w:val="24"/>
        </w:rPr>
        <w:t>; Evolution des techniques financières et intégration croissante fi</w:t>
      </w:r>
      <w:r w:rsidR="005359D8">
        <w:rPr>
          <w:rFonts w:asciiTheme="majorBidi" w:eastAsia="Times New Roman" w:hAnsiTheme="majorBidi" w:cstheme="majorBidi"/>
          <w:sz w:val="24"/>
          <w:szCs w:val="24"/>
        </w:rPr>
        <w:t>nance / assurance (titrisation)</w:t>
      </w:r>
      <w:r w:rsidR="00207BE6" w:rsidRPr="00FF70BA">
        <w:rPr>
          <w:rFonts w:asciiTheme="majorBidi" w:eastAsia="Times New Roman" w:hAnsiTheme="majorBidi" w:cstheme="majorBidi"/>
          <w:sz w:val="24"/>
          <w:szCs w:val="24"/>
        </w:rPr>
        <w:t>; Besoin de transparence et de responsabilité ; Mond</w:t>
      </w:r>
      <w:r w:rsidR="002B28FB">
        <w:rPr>
          <w:rFonts w:asciiTheme="majorBidi" w:eastAsia="Times New Roman" w:hAnsiTheme="majorBidi" w:cstheme="majorBidi"/>
          <w:sz w:val="24"/>
          <w:szCs w:val="24"/>
        </w:rPr>
        <w:t xml:space="preserve">ialisation et intégration trans </w:t>
      </w:r>
      <w:r w:rsidR="00207BE6" w:rsidRPr="00FF70BA">
        <w:rPr>
          <w:rFonts w:asciiTheme="majorBidi" w:eastAsia="Times New Roman" w:hAnsiTheme="majorBidi" w:cstheme="majorBidi"/>
          <w:sz w:val="24"/>
          <w:szCs w:val="24"/>
        </w:rPr>
        <w:t>sectorielle forte.</w:t>
      </w:r>
      <w:r w:rsidR="00B70902" w:rsidRPr="00FF70BA">
        <w:rPr>
          <w:rFonts w:asciiTheme="majorBidi" w:eastAsia="Times New Roman" w:hAnsiTheme="majorBidi" w:cstheme="majorBidi"/>
          <w:sz w:val="24"/>
          <w:szCs w:val="24"/>
        </w:rPr>
        <w:tab/>
      </w:r>
    </w:p>
    <w:p w:rsidR="00426EA0" w:rsidRPr="00FF70BA" w:rsidRDefault="009479D1" w:rsidP="00333483">
      <w:pPr>
        <w:spacing w:after="100" w:afterAutospacing="1" w:line="360" w:lineRule="auto"/>
        <w:jc w:val="both"/>
        <w:rPr>
          <w:rFonts w:asciiTheme="majorBidi" w:eastAsia="Times New Roman" w:hAnsiTheme="majorBidi" w:cstheme="majorBidi"/>
          <w:sz w:val="24"/>
          <w:szCs w:val="24"/>
        </w:rPr>
      </w:pPr>
      <w:r w:rsidRPr="00FF70BA">
        <w:rPr>
          <w:rFonts w:asciiTheme="majorBidi" w:eastAsia="Times New Roman" w:hAnsiTheme="majorBidi" w:cstheme="majorBidi"/>
          <w:sz w:val="24"/>
          <w:szCs w:val="24"/>
        </w:rPr>
        <w:tab/>
      </w:r>
      <w:r w:rsidR="00B70902" w:rsidRPr="00FF70BA">
        <w:rPr>
          <w:rFonts w:asciiTheme="majorBidi" w:eastAsia="Times New Roman" w:hAnsiTheme="majorBidi" w:cstheme="majorBidi"/>
          <w:sz w:val="24"/>
          <w:szCs w:val="24"/>
        </w:rPr>
        <w:t>Le projet réglementaire Solvabilité II a été initié par les travaux du CEIOPS</w:t>
      </w:r>
      <w:r w:rsidR="000E3DAB" w:rsidRPr="000E3DAB">
        <w:rPr>
          <w:rStyle w:val="Appelnotedebasdep"/>
          <w:rFonts w:asciiTheme="majorBidi" w:eastAsia="Times New Roman" w:hAnsiTheme="majorBidi" w:cstheme="majorBidi"/>
          <w:sz w:val="24"/>
          <w:szCs w:val="24"/>
        </w:rPr>
        <w:footnoteReference w:id="2"/>
        <w:sym w:font="Symbol" w:char="F02A"/>
      </w:r>
      <w:r w:rsidR="007509F8">
        <w:rPr>
          <w:rFonts w:asciiTheme="majorBidi" w:eastAsia="Times New Roman" w:hAnsiTheme="majorBidi" w:cstheme="majorBidi"/>
          <w:sz w:val="24"/>
          <w:szCs w:val="24"/>
        </w:rPr>
        <w:t xml:space="preserve"> en 200</w:t>
      </w:r>
      <w:r w:rsidR="00A449A0">
        <w:rPr>
          <w:rFonts w:asciiTheme="majorBidi" w:eastAsia="Times New Roman" w:hAnsiTheme="majorBidi" w:cstheme="majorBidi"/>
          <w:sz w:val="24"/>
          <w:szCs w:val="24"/>
        </w:rPr>
        <w:t>1</w:t>
      </w:r>
      <w:r w:rsidR="006D6B9D" w:rsidRPr="00FF70BA">
        <w:rPr>
          <w:rFonts w:asciiTheme="majorBidi" w:eastAsia="Times New Roman" w:hAnsiTheme="majorBidi" w:cstheme="majorBidi"/>
          <w:sz w:val="24"/>
          <w:szCs w:val="24"/>
        </w:rPr>
        <w:t xml:space="preserve"> </w:t>
      </w:r>
      <w:r w:rsidR="00B70902" w:rsidRPr="00FF70BA">
        <w:rPr>
          <w:rFonts w:asciiTheme="majorBidi" w:eastAsia="Times New Roman" w:hAnsiTheme="majorBidi" w:cstheme="majorBidi"/>
          <w:sz w:val="24"/>
          <w:szCs w:val="24"/>
        </w:rPr>
        <w:t>qui, aux travers de nombreuses consultations, ont esquissé le modèle de la réforme en cours.</w:t>
      </w:r>
      <w:r w:rsidR="00BF3ECA" w:rsidRPr="00FF70BA">
        <w:rPr>
          <w:rFonts w:asciiTheme="majorBidi" w:eastAsia="Times New Roman" w:hAnsiTheme="majorBidi" w:cstheme="majorBidi"/>
          <w:sz w:val="24"/>
          <w:szCs w:val="24"/>
        </w:rPr>
        <w:t xml:space="preserve"> </w:t>
      </w:r>
      <w:r w:rsidR="00B70902" w:rsidRPr="00FF70BA">
        <w:rPr>
          <w:rFonts w:asciiTheme="majorBidi" w:eastAsia="Times New Roman" w:hAnsiTheme="majorBidi" w:cstheme="majorBidi"/>
          <w:sz w:val="24"/>
          <w:szCs w:val="24"/>
        </w:rPr>
        <w:t xml:space="preserve">A l’instar de Bâle II dans le secteur bancaire, Solvabilité II est une approche de principe, qui se décline en objectifs quantitatifs et qualitatifs, ayant pour but de mieux adapter les </w:t>
      </w:r>
      <w:hyperlink r:id="rId8" w:tooltip="Fonds propres" w:history="1">
        <w:r w:rsidR="00B70902" w:rsidRPr="00FF70BA">
          <w:rPr>
            <w:rFonts w:asciiTheme="majorBidi" w:eastAsia="Times New Roman" w:hAnsiTheme="majorBidi" w:cstheme="majorBidi"/>
            <w:sz w:val="24"/>
            <w:szCs w:val="24"/>
          </w:rPr>
          <w:t>fonds propres</w:t>
        </w:r>
      </w:hyperlink>
      <w:r w:rsidR="00B70902" w:rsidRPr="00FF70BA">
        <w:rPr>
          <w:rFonts w:asciiTheme="majorBidi" w:eastAsia="Times New Roman" w:hAnsiTheme="majorBidi" w:cstheme="majorBidi"/>
          <w:sz w:val="24"/>
          <w:szCs w:val="24"/>
        </w:rPr>
        <w:t xml:space="preserve"> exigés des compagnies d'assurances et de réassurance aux </w:t>
      </w:r>
      <w:r w:rsidRPr="00FF70BA">
        <w:rPr>
          <w:rFonts w:asciiTheme="majorBidi" w:eastAsia="Times New Roman" w:hAnsiTheme="majorBidi" w:cstheme="majorBidi"/>
          <w:sz w:val="24"/>
          <w:szCs w:val="24"/>
        </w:rPr>
        <w:t xml:space="preserve">risques que </w:t>
      </w:r>
      <w:r w:rsidR="00E10A08" w:rsidRPr="00FF70BA">
        <w:rPr>
          <w:rFonts w:asciiTheme="majorBidi" w:eastAsia="Times New Roman" w:hAnsiTheme="majorBidi" w:cstheme="majorBidi"/>
          <w:sz w:val="24"/>
          <w:szCs w:val="24"/>
        </w:rPr>
        <w:t xml:space="preserve">celles-ci </w:t>
      </w:r>
      <w:r w:rsidR="00B70902" w:rsidRPr="00FF70BA">
        <w:rPr>
          <w:rFonts w:asciiTheme="majorBidi" w:eastAsia="Times New Roman" w:hAnsiTheme="majorBidi" w:cstheme="majorBidi"/>
          <w:sz w:val="24"/>
          <w:szCs w:val="24"/>
        </w:rPr>
        <w:t xml:space="preserve">encourent dans leur activité. </w:t>
      </w:r>
    </w:p>
    <w:p w:rsidR="000615FB" w:rsidRPr="00FF70BA" w:rsidRDefault="000615FB" w:rsidP="006B0558">
      <w:pPr>
        <w:spacing w:before="100" w:beforeAutospacing="1" w:after="100" w:afterAutospacing="1" w:line="360" w:lineRule="auto"/>
        <w:jc w:val="both"/>
        <w:rPr>
          <w:rFonts w:asciiTheme="majorBidi" w:eastAsia="Times New Roman" w:hAnsiTheme="majorBidi" w:cstheme="majorBidi"/>
          <w:sz w:val="24"/>
          <w:szCs w:val="24"/>
        </w:rPr>
      </w:pPr>
      <w:r w:rsidRPr="00FF70BA">
        <w:rPr>
          <w:rFonts w:asciiTheme="majorBidi" w:eastAsia="Times New Roman" w:hAnsiTheme="majorBidi" w:cstheme="majorBidi"/>
          <w:sz w:val="24"/>
          <w:szCs w:val="24"/>
        </w:rPr>
        <w:tab/>
        <w:t xml:space="preserve">De ce fait ce second chapitre sera scindé en trois sections: </w:t>
      </w:r>
    </w:p>
    <w:p w:rsidR="000615FB" w:rsidRPr="00FF70BA" w:rsidRDefault="000615FB" w:rsidP="006B0558">
      <w:pPr>
        <w:spacing w:before="100" w:beforeAutospacing="1" w:after="100" w:afterAutospacing="1" w:line="360" w:lineRule="auto"/>
        <w:jc w:val="both"/>
        <w:rPr>
          <w:rFonts w:asciiTheme="majorBidi" w:eastAsia="Times New Roman" w:hAnsiTheme="majorBidi" w:cstheme="majorBidi"/>
          <w:b/>
          <w:bCs/>
          <w:sz w:val="24"/>
          <w:szCs w:val="24"/>
        </w:rPr>
      </w:pPr>
      <w:r w:rsidRPr="00FF70BA">
        <w:rPr>
          <w:rFonts w:asciiTheme="majorBidi" w:eastAsia="Times New Roman" w:hAnsiTheme="majorBidi" w:cstheme="majorBidi"/>
          <w:b/>
          <w:bCs/>
          <w:sz w:val="24"/>
          <w:szCs w:val="24"/>
        </w:rPr>
        <w:t>SECTION 1 : CONTEXTE ET ORGANISATION</w:t>
      </w:r>
    </w:p>
    <w:p w:rsidR="000615FB" w:rsidRPr="00FF70BA" w:rsidRDefault="000615FB" w:rsidP="006B0558">
      <w:pPr>
        <w:spacing w:before="100" w:beforeAutospacing="1" w:after="100" w:afterAutospacing="1" w:line="360" w:lineRule="auto"/>
        <w:jc w:val="both"/>
        <w:rPr>
          <w:rFonts w:asciiTheme="majorBidi" w:eastAsia="Times New Roman" w:hAnsiTheme="majorBidi" w:cstheme="majorBidi"/>
          <w:b/>
          <w:bCs/>
          <w:sz w:val="24"/>
          <w:szCs w:val="24"/>
        </w:rPr>
      </w:pPr>
      <w:r w:rsidRPr="00FF70BA">
        <w:rPr>
          <w:rFonts w:asciiTheme="majorBidi" w:eastAsia="Times New Roman" w:hAnsiTheme="majorBidi" w:cstheme="majorBidi"/>
          <w:b/>
          <w:bCs/>
          <w:sz w:val="24"/>
          <w:szCs w:val="24"/>
        </w:rPr>
        <w:t>SECTION 2</w:t>
      </w:r>
      <w:r w:rsidRPr="00FF70BA">
        <w:rPr>
          <w:rFonts w:asciiTheme="majorBidi" w:eastAsia="Times New Roman" w:hAnsiTheme="majorBidi" w:cstheme="majorBidi"/>
          <w:sz w:val="24"/>
          <w:szCs w:val="24"/>
        </w:rPr>
        <w:t xml:space="preserve"> : </w:t>
      </w:r>
      <w:r w:rsidRPr="00FF70BA">
        <w:rPr>
          <w:rFonts w:asciiTheme="majorBidi" w:eastAsia="Times New Roman" w:hAnsiTheme="majorBidi" w:cstheme="majorBidi"/>
          <w:b/>
          <w:bCs/>
          <w:sz w:val="24"/>
          <w:szCs w:val="24"/>
        </w:rPr>
        <w:t>L’ARCHITECTURE SELON LES TROIS PILIERS</w:t>
      </w:r>
    </w:p>
    <w:p w:rsidR="000615FB" w:rsidRPr="00FF70BA" w:rsidRDefault="000615FB" w:rsidP="006B0558">
      <w:pPr>
        <w:spacing w:before="100" w:beforeAutospacing="1" w:after="100" w:afterAutospacing="1" w:line="360" w:lineRule="auto"/>
        <w:jc w:val="both"/>
        <w:rPr>
          <w:rFonts w:asciiTheme="majorBidi" w:eastAsia="Times New Roman" w:hAnsiTheme="majorBidi" w:cstheme="majorBidi"/>
          <w:sz w:val="24"/>
          <w:szCs w:val="24"/>
        </w:rPr>
      </w:pPr>
      <w:r w:rsidRPr="00FF70BA">
        <w:rPr>
          <w:rFonts w:asciiTheme="majorBidi" w:eastAsia="Times New Roman" w:hAnsiTheme="majorBidi" w:cstheme="majorBidi"/>
          <w:b/>
          <w:bCs/>
          <w:sz w:val="24"/>
          <w:szCs w:val="24"/>
        </w:rPr>
        <w:t>SECTION 3:</w:t>
      </w:r>
      <w:r w:rsidRPr="00FF70BA">
        <w:rPr>
          <w:rFonts w:asciiTheme="majorBidi" w:eastAsia="Times New Roman" w:hAnsiTheme="majorBidi" w:cstheme="majorBidi"/>
          <w:sz w:val="24"/>
          <w:szCs w:val="24"/>
        </w:rPr>
        <w:t xml:space="preserve"> </w:t>
      </w:r>
      <w:r w:rsidRPr="00FF70BA">
        <w:rPr>
          <w:rFonts w:asciiTheme="majorBidi" w:eastAsia="Times New Roman" w:hAnsiTheme="majorBidi" w:cstheme="majorBidi"/>
          <w:b/>
          <w:bCs/>
          <w:sz w:val="24"/>
          <w:szCs w:val="24"/>
        </w:rPr>
        <w:t>LE PILIER 1 DE LA REFORME SOLVENCY II</w:t>
      </w:r>
      <w:r w:rsidRPr="00FF70BA">
        <w:rPr>
          <w:rFonts w:asciiTheme="majorBidi" w:eastAsia="Times New Roman" w:hAnsiTheme="majorBidi" w:cstheme="majorBidi"/>
          <w:sz w:val="24"/>
          <w:szCs w:val="24"/>
        </w:rPr>
        <w:t xml:space="preserve">  </w:t>
      </w:r>
    </w:p>
    <w:p w:rsidR="00426EA0" w:rsidRPr="00FF70BA" w:rsidRDefault="00426EA0" w:rsidP="006B0558">
      <w:pPr>
        <w:spacing w:line="360" w:lineRule="auto"/>
        <w:jc w:val="both"/>
        <w:rPr>
          <w:rFonts w:asciiTheme="majorBidi" w:hAnsiTheme="majorBidi" w:cstheme="majorBidi"/>
          <w:b/>
          <w:bCs/>
          <w:sz w:val="24"/>
          <w:szCs w:val="24"/>
        </w:rPr>
      </w:pPr>
      <w:r w:rsidRPr="00FF70BA">
        <w:rPr>
          <w:rFonts w:asciiTheme="majorBidi" w:hAnsiTheme="majorBidi" w:cstheme="majorBidi"/>
          <w:b/>
          <w:bCs/>
          <w:sz w:val="24"/>
          <w:szCs w:val="24"/>
        </w:rPr>
        <w:br w:type="page"/>
      </w:r>
    </w:p>
    <w:p w:rsidR="00426EA0" w:rsidRPr="00FF70BA" w:rsidRDefault="00FF70BA" w:rsidP="006B0558">
      <w:pPr>
        <w:spacing w:line="360" w:lineRule="auto"/>
        <w:jc w:val="both"/>
        <w:rPr>
          <w:rFonts w:asciiTheme="majorBidi" w:eastAsia="Times New Roman" w:hAnsiTheme="majorBidi" w:cstheme="majorBidi"/>
          <w:b/>
          <w:bCs/>
          <w:sz w:val="32"/>
          <w:szCs w:val="32"/>
          <w:lang w:eastAsia="en-US"/>
        </w:rPr>
      </w:pPr>
      <w:r>
        <w:rPr>
          <w:rFonts w:asciiTheme="majorBidi" w:eastAsia="Times New Roman" w:hAnsiTheme="majorBidi" w:cstheme="majorBidi"/>
          <w:b/>
          <w:bCs/>
          <w:sz w:val="32"/>
          <w:szCs w:val="32"/>
          <w:lang w:eastAsia="en-US"/>
        </w:rPr>
        <w:lastRenderedPageBreak/>
        <w:t>SECTION 1</w:t>
      </w:r>
      <w:r w:rsidR="00426EA0" w:rsidRPr="00FF70BA">
        <w:rPr>
          <w:rFonts w:asciiTheme="majorBidi" w:eastAsia="Times New Roman" w:hAnsiTheme="majorBidi" w:cstheme="majorBidi"/>
          <w:b/>
          <w:bCs/>
          <w:sz w:val="32"/>
          <w:szCs w:val="32"/>
          <w:lang w:eastAsia="en-US"/>
        </w:rPr>
        <w:t>: CONTEXTE ET ORGANISATION</w:t>
      </w:r>
    </w:p>
    <w:p w:rsidR="00823F0E" w:rsidRPr="00FF70BA" w:rsidRDefault="00823F2D"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ab/>
      </w:r>
      <w:r w:rsidR="00823F0E" w:rsidRPr="00FF70BA">
        <w:rPr>
          <w:rFonts w:asciiTheme="majorBidi" w:hAnsiTheme="majorBidi" w:cstheme="majorBidi"/>
          <w:sz w:val="24"/>
          <w:szCs w:val="24"/>
        </w:rPr>
        <w:t>La surveillance prudentielle du secteur bancaire (« Bâle 2 ») a été considérablement modifiée. Cette réforme a inspiré les instances européennes pour repenser également le système de solvabilité des organismes assureurs à travers l’élaboration d’une directive européenne appelée « Solvency II ».</w:t>
      </w:r>
    </w:p>
    <w:p w:rsidR="00823F0E" w:rsidRPr="00FF70BA" w:rsidRDefault="00823F0E" w:rsidP="006B0558">
      <w:pPr>
        <w:autoSpaceDE w:val="0"/>
        <w:autoSpaceDN w:val="0"/>
        <w:adjustRightInd w:val="0"/>
        <w:spacing w:after="0" w:line="360" w:lineRule="auto"/>
        <w:jc w:val="both"/>
        <w:rPr>
          <w:rFonts w:asciiTheme="majorBidi" w:hAnsiTheme="majorBidi" w:cstheme="majorBidi"/>
          <w:sz w:val="24"/>
          <w:szCs w:val="24"/>
        </w:rPr>
      </w:pPr>
    </w:p>
    <w:p w:rsidR="00F97BAA" w:rsidRPr="00246F0A" w:rsidRDefault="008D60BA" w:rsidP="006B0558">
      <w:pPr>
        <w:pStyle w:val="Paragraphedeliste"/>
        <w:numPr>
          <w:ilvl w:val="1"/>
          <w:numId w:val="1"/>
        </w:numPr>
        <w:spacing w:after="0" w:line="360" w:lineRule="auto"/>
        <w:ind w:left="0" w:firstLine="0"/>
        <w:jc w:val="both"/>
        <w:rPr>
          <w:rFonts w:asciiTheme="majorBidi" w:hAnsiTheme="majorBidi" w:cstheme="majorBidi"/>
          <w:b/>
          <w:bCs/>
          <w:sz w:val="28"/>
          <w:szCs w:val="28"/>
        </w:rPr>
      </w:pPr>
      <w:r w:rsidRPr="00FF70BA">
        <w:rPr>
          <w:rFonts w:asciiTheme="majorBidi" w:eastAsia="Times New Roman" w:hAnsiTheme="majorBidi" w:cstheme="majorBidi"/>
          <w:b/>
          <w:bCs/>
          <w:sz w:val="28"/>
          <w:szCs w:val="28"/>
          <w:lang w:eastAsia="en-US"/>
        </w:rPr>
        <w:t>HISTORIQUE  DU PROJET SOLVENCY II</w:t>
      </w:r>
    </w:p>
    <w:p w:rsidR="00676BC7" w:rsidRPr="00FF70BA" w:rsidRDefault="00D6680E" w:rsidP="006B0558">
      <w:pPr>
        <w:pStyle w:val="Paragraphedeliste"/>
        <w:spacing w:after="0" w:line="360" w:lineRule="auto"/>
        <w:ind w:left="0"/>
        <w:jc w:val="both"/>
        <w:rPr>
          <w:rFonts w:asciiTheme="majorBidi" w:hAnsiTheme="majorBidi" w:cstheme="majorBidi"/>
          <w:sz w:val="24"/>
          <w:szCs w:val="24"/>
        </w:rPr>
      </w:pPr>
      <w:r w:rsidRPr="00FF70BA">
        <w:rPr>
          <w:rStyle w:val="lettrine"/>
          <w:rFonts w:asciiTheme="majorBidi" w:hAnsiTheme="majorBidi" w:cstheme="majorBidi"/>
          <w:sz w:val="24"/>
          <w:szCs w:val="24"/>
        </w:rPr>
        <w:tab/>
      </w:r>
      <w:r w:rsidR="006D6B9D" w:rsidRPr="00FF70BA">
        <w:rPr>
          <w:rStyle w:val="lettrine"/>
          <w:rFonts w:asciiTheme="majorBidi" w:hAnsiTheme="majorBidi" w:cstheme="majorBidi"/>
          <w:sz w:val="24"/>
          <w:szCs w:val="24"/>
        </w:rPr>
        <w:t xml:space="preserve">À </w:t>
      </w:r>
      <w:r w:rsidR="006D6B9D" w:rsidRPr="00FF70BA">
        <w:rPr>
          <w:rFonts w:asciiTheme="majorBidi" w:hAnsiTheme="majorBidi" w:cstheme="majorBidi"/>
          <w:sz w:val="24"/>
          <w:szCs w:val="24"/>
        </w:rPr>
        <w:t>l'échelle européenne, les premières exigences de marge de solvabilité remontent aux directives de 1973 pour l'assurance non-vie et de 1979 pour l'assurance vie.  En 2002 il y’avait des modifications des règles de marge de solvabilité des directives existantes : c'est le projet Solvabilité I entré en application en 2002</w:t>
      </w:r>
      <w:r w:rsidR="008C44BE" w:rsidRPr="00FF70BA">
        <w:rPr>
          <w:rFonts w:asciiTheme="majorBidi" w:hAnsiTheme="majorBidi" w:cstheme="majorBidi"/>
          <w:sz w:val="24"/>
          <w:szCs w:val="24"/>
        </w:rPr>
        <w:t>.</w:t>
      </w:r>
      <w:r w:rsidR="00676BC7" w:rsidRPr="00FF70BA">
        <w:rPr>
          <w:rFonts w:asciiTheme="majorBidi" w:hAnsiTheme="majorBidi" w:cstheme="majorBidi"/>
          <w:sz w:val="24"/>
          <w:szCs w:val="24"/>
        </w:rPr>
        <w:t xml:space="preserve"> Ensuite une réflexion plus large sur le régime réglementaire visant à garantir la solvabilité des entreprises d'assurances : c'est le projet Solvabilité II.</w:t>
      </w:r>
      <w:r w:rsidR="008C44BE" w:rsidRPr="00FF70BA">
        <w:rPr>
          <w:rFonts w:asciiTheme="majorBidi" w:hAnsiTheme="majorBidi" w:cstheme="majorBidi"/>
          <w:sz w:val="24"/>
          <w:szCs w:val="24"/>
        </w:rPr>
        <w:t xml:space="preserve"> </w:t>
      </w:r>
    </w:p>
    <w:p w:rsidR="00676BC7" w:rsidRPr="00FF70BA" w:rsidRDefault="00676BC7" w:rsidP="006B0558">
      <w:pPr>
        <w:pStyle w:val="Paragraphedeliste"/>
        <w:spacing w:line="360" w:lineRule="auto"/>
        <w:ind w:left="0"/>
        <w:jc w:val="both"/>
        <w:rPr>
          <w:rFonts w:asciiTheme="majorBidi" w:hAnsiTheme="majorBidi" w:cstheme="majorBidi"/>
          <w:sz w:val="24"/>
          <w:szCs w:val="24"/>
        </w:rPr>
      </w:pPr>
      <w:r w:rsidRPr="00FF70BA">
        <w:rPr>
          <w:rStyle w:val="lettrine"/>
          <w:rFonts w:asciiTheme="majorBidi" w:hAnsiTheme="majorBidi" w:cstheme="majorBidi"/>
          <w:sz w:val="24"/>
          <w:szCs w:val="24"/>
        </w:rPr>
        <w:tab/>
        <w:t>L</w:t>
      </w:r>
      <w:r w:rsidRPr="00FF70BA">
        <w:rPr>
          <w:rFonts w:asciiTheme="majorBidi" w:hAnsiTheme="majorBidi" w:cstheme="majorBidi"/>
          <w:sz w:val="24"/>
          <w:szCs w:val="24"/>
        </w:rPr>
        <w:t xml:space="preserve">e projet Solvabilité II a été lancé dans l'Union européenne (UE) en 1999 avec une présentation des travaux envisagés dès 2001, avant même la fin du projet Solvabilité I. Il s'applique aux assureurs et aux réassureurs et vise à un système de solvabilité davantage adapté aux véritables risques d'une entreprise d'assurances. </w:t>
      </w:r>
    </w:p>
    <w:p w:rsidR="00B71595" w:rsidRPr="00FF70BA" w:rsidRDefault="00B71595"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Les premiers travaux menés ont été :</w:t>
      </w:r>
    </w:p>
    <w:p w:rsidR="00B71595" w:rsidRPr="00FF70BA" w:rsidRDefault="00B71595"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 D’étudier la réforme intervenue dans le secteur bancaire (la réforme Bâle 2) ;</w:t>
      </w:r>
    </w:p>
    <w:p w:rsidR="00B71595" w:rsidRPr="00FF70BA" w:rsidRDefault="00B71595"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 D’étudier les travaux de l’IASC (</w:t>
      </w:r>
      <w:r w:rsidRPr="00FF70BA">
        <w:rPr>
          <w:rFonts w:asciiTheme="majorBidi" w:hAnsiTheme="majorBidi" w:cstheme="majorBidi"/>
          <w:i/>
          <w:iCs/>
          <w:sz w:val="24"/>
          <w:szCs w:val="24"/>
        </w:rPr>
        <w:t>International Accounting Standards Committee</w:t>
      </w:r>
      <w:r w:rsidRPr="00FF70BA">
        <w:rPr>
          <w:rFonts w:asciiTheme="majorBidi" w:hAnsiTheme="majorBidi" w:cstheme="majorBidi"/>
          <w:sz w:val="24"/>
          <w:szCs w:val="24"/>
        </w:rPr>
        <w:t>) puis de l’IASB (</w:t>
      </w:r>
      <w:r w:rsidRPr="00FF70BA">
        <w:rPr>
          <w:rFonts w:asciiTheme="majorBidi" w:hAnsiTheme="majorBidi" w:cstheme="majorBidi"/>
          <w:i/>
          <w:iCs/>
          <w:sz w:val="24"/>
          <w:szCs w:val="24"/>
        </w:rPr>
        <w:t>IAS Board</w:t>
      </w:r>
      <w:r w:rsidRPr="00FF70BA">
        <w:rPr>
          <w:rFonts w:asciiTheme="majorBidi" w:hAnsiTheme="majorBidi" w:cstheme="majorBidi"/>
          <w:sz w:val="24"/>
          <w:szCs w:val="24"/>
        </w:rPr>
        <w:t>) sur les normes IAS-IFRS. Ces nouvelles normes comptables internationales doivent accroître la confiance des investisseurs et la comparabilité financières des entreprises. Certains travaux sont toujours en cours dont la phase 2 de la norme IFRS 4 portant sur les contrats d’assurance ;</w:t>
      </w:r>
    </w:p>
    <w:p w:rsidR="00B71595" w:rsidRPr="00FF70BA" w:rsidRDefault="00B71595"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 D’identifier et d’analyser, d’une part les risques qui ont conduit à des problèmes de solvabilité sur la période 1996-2001, et d’autre part, les risques nouveaux et émergents risquant d’affecter la solvabilité ;</w:t>
      </w:r>
    </w:p>
    <w:p w:rsidR="00B71595" w:rsidRPr="00FF70BA" w:rsidRDefault="00B71595"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 De déterminer un ordre de priorité pour chaque risque ;</w:t>
      </w:r>
    </w:p>
    <w:p w:rsidR="0093716D" w:rsidRPr="00FF70BA" w:rsidRDefault="00B71595"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 D’évaluer l’efficacité du système actuel, des différents outils de contrôle, et identifier les signes d’alarme efficaces.</w:t>
      </w:r>
      <w:r w:rsidR="00784627" w:rsidRPr="00FF70BA">
        <w:rPr>
          <w:rFonts w:asciiTheme="majorBidi" w:hAnsiTheme="majorBidi" w:cstheme="majorBidi"/>
          <w:sz w:val="24"/>
          <w:szCs w:val="24"/>
        </w:rPr>
        <w:t xml:space="preserve"> </w:t>
      </w:r>
    </w:p>
    <w:p w:rsidR="00A71AD1" w:rsidRPr="00FF70BA" w:rsidRDefault="00A71AD1" w:rsidP="006B0558">
      <w:pPr>
        <w:autoSpaceDE w:val="0"/>
        <w:autoSpaceDN w:val="0"/>
        <w:adjustRightInd w:val="0"/>
        <w:spacing w:after="0" w:line="360" w:lineRule="auto"/>
        <w:jc w:val="both"/>
        <w:rPr>
          <w:rFonts w:asciiTheme="majorBidi" w:hAnsiTheme="majorBidi" w:cstheme="majorBidi"/>
          <w:sz w:val="24"/>
          <w:szCs w:val="24"/>
        </w:rPr>
      </w:pPr>
    </w:p>
    <w:p w:rsidR="001B1260" w:rsidRPr="00FF70BA" w:rsidRDefault="00A71AD1"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lastRenderedPageBreak/>
        <w:tab/>
      </w:r>
      <w:r w:rsidR="00784627" w:rsidRPr="00FF70BA">
        <w:rPr>
          <w:rFonts w:asciiTheme="majorBidi" w:hAnsiTheme="majorBidi" w:cstheme="majorBidi"/>
          <w:sz w:val="24"/>
          <w:szCs w:val="24"/>
        </w:rPr>
        <w:t>Compte tenu de l’</w:t>
      </w:r>
      <w:r w:rsidRPr="00FF70BA">
        <w:rPr>
          <w:rFonts w:asciiTheme="majorBidi" w:hAnsiTheme="majorBidi" w:cstheme="majorBidi"/>
          <w:sz w:val="24"/>
          <w:szCs w:val="24"/>
        </w:rPr>
        <w:t>ampleur des travaux à mener, le projet a été scindé en deux phases</w:t>
      </w:r>
      <w:r w:rsidRPr="00FF70BA">
        <w:rPr>
          <w:rStyle w:val="Appelnotedebasdep"/>
          <w:rFonts w:asciiTheme="majorBidi" w:hAnsiTheme="majorBidi" w:cstheme="majorBidi"/>
          <w:sz w:val="24"/>
          <w:szCs w:val="24"/>
        </w:rPr>
        <w:footnoteReference w:id="3"/>
      </w:r>
      <w:r w:rsidRPr="00FF70BA">
        <w:rPr>
          <w:rFonts w:asciiTheme="majorBidi" w:hAnsiTheme="majorBidi" w:cstheme="majorBidi"/>
          <w:sz w:val="24"/>
          <w:szCs w:val="24"/>
        </w:rPr>
        <w:t> :</w:t>
      </w:r>
    </w:p>
    <w:p w:rsidR="006151FC" w:rsidRPr="00FF70BA" w:rsidRDefault="006151FC" w:rsidP="00552D73">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 xml:space="preserve">- </w:t>
      </w:r>
      <w:r w:rsidRPr="00FF70BA">
        <w:rPr>
          <w:rFonts w:asciiTheme="majorBidi" w:hAnsiTheme="majorBidi" w:cstheme="majorBidi"/>
          <w:b/>
          <w:bCs/>
          <w:sz w:val="24"/>
          <w:szCs w:val="24"/>
        </w:rPr>
        <w:t>Phase 1</w:t>
      </w:r>
      <w:r w:rsidRPr="00FF70BA">
        <w:rPr>
          <w:rFonts w:asciiTheme="majorBidi" w:hAnsiTheme="majorBidi" w:cstheme="majorBidi"/>
          <w:sz w:val="24"/>
          <w:szCs w:val="24"/>
        </w:rPr>
        <w:t>:</w:t>
      </w:r>
      <w:r w:rsidR="00A71AD1" w:rsidRPr="00FF70BA">
        <w:rPr>
          <w:rFonts w:asciiTheme="majorBidi" w:hAnsiTheme="majorBidi" w:cstheme="majorBidi"/>
          <w:sz w:val="24"/>
          <w:szCs w:val="24"/>
        </w:rPr>
        <w:t xml:space="preserve"> la première phase de réflexion  sur la forme global</w:t>
      </w:r>
      <w:r w:rsidRPr="00FF70BA">
        <w:rPr>
          <w:rFonts w:asciiTheme="majorBidi" w:hAnsiTheme="majorBidi" w:cstheme="majorBidi"/>
          <w:sz w:val="24"/>
          <w:szCs w:val="24"/>
        </w:rPr>
        <w:t xml:space="preserve"> que doit prendre le système de solvabilité européen</w:t>
      </w:r>
      <w:r w:rsidR="00A71AD1" w:rsidRPr="00FF70BA">
        <w:rPr>
          <w:rFonts w:asciiTheme="majorBidi" w:hAnsiTheme="majorBidi" w:cstheme="majorBidi"/>
          <w:sz w:val="24"/>
          <w:szCs w:val="24"/>
        </w:rPr>
        <w:t xml:space="preserve"> des principes généraux ont été établis en vue de guider les travaux pendant la phase 2 parallèlement cette phase préliminaire a permis de fixer les méthodes de travail et d’élaboration des éléments du futur système    </w:t>
      </w:r>
      <w:r w:rsidR="001B1260" w:rsidRPr="00FF70BA">
        <w:rPr>
          <w:rFonts w:asciiTheme="majorBidi" w:hAnsiTheme="majorBidi" w:cstheme="majorBidi"/>
          <w:sz w:val="24"/>
          <w:szCs w:val="24"/>
        </w:rPr>
        <w:t>. Cette phase est close</w:t>
      </w:r>
      <w:r w:rsidRPr="00FF70BA">
        <w:rPr>
          <w:rFonts w:asciiTheme="majorBidi" w:hAnsiTheme="majorBidi" w:cstheme="majorBidi"/>
          <w:sz w:val="24"/>
          <w:szCs w:val="24"/>
        </w:rPr>
        <w:t xml:space="preserve"> depuis le 9 avril 2003. Elle a conduit au souhait d’un système cohérent avec l’approche Lamfalussy</w:t>
      </w:r>
      <w:r w:rsidR="00333483" w:rsidRPr="00333483">
        <w:rPr>
          <w:rStyle w:val="Appelnotedebasdep"/>
          <w:rFonts w:asciiTheme="majorBidi" w:hAnsiTheme="majorBidi" w:cstheme="majorBidi"/>
          <w:sz w:val="24"/>
          <w:szCs w:val="24"/>
        </w:rPr>
        <w:footnoteReference w:customMarkFollows="1" w:id="4"/>
        <w:sym w:font="Symbol" w:char="F02A"/>
      </w:r>
      <w:r w:rsidRPr="00FF70BA">
        <w:rPr>
          <w:rFonts w:asciiTheme="majorBidi" w:hAnsiTheme="majorBidi" w:cstheme="majorBidi"/>
          <w:sz w:val="24"/>
          <w:szCs w:val="24"/>
        </w:rPr>
        <w:t xml:space="preserve"> et à l’élaboration d’un système en 3 piliers pour être également en cohérence avec les règl</w:t>
      </w:r>
      <w:r w:rsidR="00FF70BA">
        <w:rPr>
          <w:rFonts w:asciiTheme="majorBidi" w:hAnsiTheme="majorBidi" w:cstheme="majorBidi"/>
          <w:sz w:val="24"/>
          <w:szCs w:val="24"/>
        </w:rPr>
        <w:t>es du secteur bancaire (Bâle 2)</w:t>
      </w:r>
      <w:r w:rsidRPr="00FF70BA">
        <w:rPr>
          <w:rFonts w:asciiTheme="majorBidi" w:hAnsiTheme="majorBidi" w:cstheme="majorBidi"/>
          <w:sz w:val="24"/>
          <w:szCs w:val="24"/>
        </w:rPr>
        <w:t>;</w:t>
      </w:r>
    </w:p>
    <w:p w:rsidR="00A83524" w:rsidRPr="00FF70BA" w:rsidRDefault="006151FC" w:rsidP="00AB15E7">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 xml:space="preserve">- </w:t>
      </w:r>
      <w:r w:rsidRPr="00FF70BA">
        <w:rPr>
          <w:rFonts w:asciiTheme="majorBidi" w:hAnsiTheme="majorBidi" w:cstheme="majorBidi"/>
          <w:b/>
          <w:bCs/>
          <w:sz w:val="24"/>
          <w:szCs w:val="24"/>
        </w:rPr>
        <w:t>Phase 2</w:t>
      </w:r>
      <w:r w:rsidRPr="00FF70BA">
        <w:rPr>
          <w:rFonts w:asciiTheme="majorBidi" w:hAnsiTheme="majorBidi" w:cstheme="majorBidi"/>
          <w:sz w:val="24"/>
          <w:szCs w:val="24"/>
        </w:rPr>
        <w:t>: Détermination des méthodes de prise en compte des différents risques.</w:t>
      </w:r>
      <w:r w:rsidR="00AA22C8" w:rsidRPr="00FF70BA">
        <w:rPr>
          <w:rFonts w:asciiTheme="majorBidi" w:hAnsiTheme="majorBidi" w:cstheme="majorBidi"/>
          <w:sz w:val="24"/>
          <w:szCs w:val="24"/>
        </w:rPr>
        <w:t xml:space="preserve"> </w:t>
      </w:r>
      <w:r w:rsidRPr="00FF70BA">
        <w:rPr>
          <w:rFonts w:asciiTheme="majorBidi" w:hAnsiTheme="majorBidi" w:cstheme="majorBidi"/>
          <w:sz w:val="24"/>
          <w:szCs w:val="24"/>
        </w:rPr>
        <w:t>La phase actuelle du projet est donc la phase 2 qui doit aboutir à l’établissement de méthodes d’évaluation des différents risques encourus par les organismes assureurs.</w:t>
      </w:r>
      <w:r w:rsidR="00AA22C8" w:rsidRPr="00FF70BA">
        <w:rPr>
          <w:rFonts w:asciiTheme="majorBidi" w:hAnsiTheme="majorBidi" w:cstheme="majorBidi"/>
          <w:sz w:val="24"/>
          <w:szCs w:val="24"/>
        </w:rPr>
        <w:t xml:space="preserve"> Pour ce faire </w:t>
      </w:r>
      <w:r w:rsidR="0047437A" w:rsidRPr="00FF70BA">
        <w:rPr>
          <w:rFonts w:asciiTheme="majorBidi" w:hAnsiTheme="majorBidi" w:cstheme="majorBidi"/>
          <w:sz w:val="24"/>
          <w:szCs w:val="24"/>
        </w:rPr>
        <w:t>Des groupes de travail (assistés pour certains par des experts externes) ont fait des propositions sur les différents points techniques du projet.</w:t>
      </w:r>
      <w:r w:rsidR="00AA22C8" w:rsidRPr="00FF70BA">
        <w:rPr>
          <w:rFonts w:asciiTheme="majorBidi" w:hAnsiTheme="majorBidi" w:cstheme="majorBidi"/>
          <w:sz w:val="24"/>
          <w:szCs w:val="24"/>
        </w:rPr>
        <w:t xml:space="preserve"> Ainsi</w:t>
      </w:r>
      <w:r w:rsidR="0047437A" w:rsidRPr="00FF70BA">
        <w:rPr>
          <w:rFonts w:asciiTheme="majorBidi" w:hAnsiTheme="majorBidi" w:cstheme="majorBidi"/>
          <w:sz w:val="24"/>
          <w:szCs w:val="24"/>
        </w:rPr>
        <w:t xml:space="preserve"> Un dialogue s’est instauré entre la Commission</w:t>
      </w:r>
      <w:r w:rsidR="00AA22C8" w:rsidRPr="00FF70BA">
        <w:rPr>
          <w:rFonts w:asciiTheme="majorBidi" w:hAnsiTheme="majorBidi" w:cstheme="majorBidi"/>
          <w:sz w:val="24"/>
          <w:szCs w:val="24"/>
        </w:rPr>
        <w:t xml:space="preserve"> Européenne</w:t>
      </w:r>
      <w:r w:rsidR="00ED6A9C" w:rsidRPr="00FF70BA">
        <w:rPr>
          <w:rFonts w:asciiTheme="majorBidi" w:hAnsiTheme="majorBidi" w:cstheme="majorBidi"/>
          <w:sz w:val="24"/>
          <w:szCs w:val="24"/>
        </w:rPr>
        <w:t xml:space="preserve"> et le CEIOPS et</w:t>
      </w:r>
      <w:r w:rsidR="0047437A" w:rsidRPr="00FF70BA">
        <w:rPr>
          <w:rFonts w:asciiTheme="majorBidi" w:hAnsiTheme="majorBidi" w:cstheme="majorBidi"/>
          <w:sz w:val="24"/>
          <w:szCs w:val="24"/>
        </w:rPr>
        <w:t xml:space="preserve"> des tests</w:t>
      </w:r>
      <w:r w:rsidR="00ED6A9C" w:rsidRPr="00FF70BA">
        <w:rPr>
          <w:rFonts w:asciiTheme="majorBidi" w:hAnsiTheme="majorBidi" w:cstheme="majorBidi"/>
          <w:sz w:val="24"/>
          <w:szCs w:val="24"/>
        </w:rPr>
        <w:t xml:space="preserve"> sont effectués</w:t>
      </w:r>
      <w:r w:rsidR="0047437A" w:rsidRPr="00FF70BA">
        <w:rPr>
          <w:rFonts w:asciiTheme="majorBidi" w:hAnsiTheme="majorBidi" w:cstheme="majorBidi"/>
          <w:sz w:val="24"/>
          <w:szCs w:val="24"/>
        </w:rPr>
        <w:t xml:space="preserve"> pour valider différents corps de règles d’évaluation des risques pris par les organismes assureurs :</w:t>
      </w:r>
      <w:r w:rsidR="00AA22C8" w:rsidRPr="00FF70BA">
        <w:rPr>
          <w:rFonts w:asciiTheme="majorBidi" w:hAnsiTheme="majorBidi" w:cstheme="majorBidi"/>
          <w:sz w:val="24"/>
          <w:szCs w:val="24"/>
        </w:rPr>
        <w:t xml:space="preserve"> </w:t>
      </w:r>
      <w:r w:rsidR="0047437A" w:rsidRPr="00FF70BA">
        <w:rPr>
          <w:rFonts w:asciiTheme="majorBidi" w:hAnsiTheme="majorBidi" w:cstheme="majorBidi"/>
          <w:sz w:val="24"/>
          <w:szCs w:val="24"/>
        </w:rPr>
        <w:t>QIS</w:t>
      </w:r>
      <w:r w:rsidR="00AB15E7" w:rsidRPr="00AB15E7">
        <w:rPr>
          <w:rStyle w:val="Appelnotedebasdep"/>
          <w:rFonts w:asciiTheme="majorBidi" w:hAnsiTheme="majorBidi" w:cstheme="majorBidi"/>
          <w:sz w:val="24"/>
          <w:szCs w:val="24"/>
        </w:rPr>
        <w:footnoteReference w:customMarkFollows="1" w:id="5"/>
        <w:sym w:font="Symbol" w:char="F02A"/>
      </w:r>
      <w:r w:rsidR="00AB15E7" w:rsidRPr="00AB15E7">
        <w:rPr>
          <w:rStyle w:val="Appelnotedebasdep"/>
          <w:rFonts w:asciiTheme="majorBidi" w:hAnsiTheme="majorBidi" w:cstheme="majorBidi"/>
          <w:sz w:val="24"/>
          <w:szCs w:val="24"/>
        </w:rPr>
        <w:sym w:font="Symbol" w:char="F02A"/>
      </w:r>
      <w:r w:rsidR="0047437A" w:rsidRPr="00FF70BA">
        <w:rPr>
          <w:rFonts w:asciiTheme="majorBidi" w:hAnsiTheme="majorBidi" w:cstheme="majorBidi"/>
          <w:sz w:val="24"/>
          <w:szCs w:val="24"/>
        </w:rPr>
        <w:t>1, QIS2, QIS3,</w:t>
      </w:r>
      <w:r w:rsidR="00AA22C8" w:rsidRPr="00FF70BA">
        <w:rPr>
          <w:rFonts w:asciiTheme="majorBidi" w:hAnsiTheme="majorBidi" w:cstheme="majorBidi"/>
          <w:sz w:val="24"/>
          <w:szCs w:val="24"/>
        </w:rPr>
        <w:t xml:space="preserve"> </w:t>
      </w:r>
      <w:r w:rsidR="0047437A" w:rsidRPr="00FF70BA">
        <w:rPr>
          <w:rFonts w:asciiTheme="majorBidi" w:hAnsiTheme="majorBidi" w:cstheme="majorBidi"/>
          <w:sz w:val="24"/>
          <w:szCs w:val="24"/>
        </w:rPr>
        <w:t>QIS4 et QIS5 avant de proposer un modèle</w:t>
      </w:r>
      <w:r w:rsidR="00AA22C8" w:rsidRPr="00FF70BA">
        <w:rPr>
          <w:rFonts w:asciiTheme="majorBidi" w:hAnsiTheme="majorBidi" w:cstheme="majorBidi"/>
          <w:sz w:val="24"/>
          <w:szCs w:val="24"/>
        </w:rPr>
        <w:t xml:space="preserve"> </w:t>
      </w:r>
      <w:r w:rsidR="0047437A" w:rsidRPr="00FF70BA">
        <w:rPr>
          <w:rFonts w:asciiTheme="majorBidi" w:hAnsiTheme="majorBidi" w:cstheme="majorBidi"/>
          <w:sz w:val="24"/>
          <w:szCs w:val="24"/>
        </w:rPr>
        <w:t>prudentiel à la Commission.</w:t>
      </w:r>
    </w:p>
    <w:p w:rsidR="00415AB7" w:rsidRDefault="00A83524" w:rsidP="006B0558">
      <w:pPr>
        <w:autoSpaceDE w:val="0"/>
        <w:autoSpaceDN w:val="0"/>
        <w:adjustRightInd w:val="0"/>
        <w:spacing w:after="0" w:line="360" w:lineRule="auto"/>
        <w:jc w:val="both"/>
        <w:rPr>
          <w:rStyle w:val="orange"/>
          <w:rFonts w:asciiTheme="majorBidi" w:hAnsiTheme="majorBidi" w:cstheme="majorBidi"/>
          <w:sz w:val="24"/>
          <w:szCs w:val="24"/>
        </w:rPr>
      </w:pPr>
      <w:r w:rsidRPr="00FF70BA">
        <w:rPr>
          <w:rFonts w:asciiTheme="majorBidi" w:hAnsiTheme="majorBidi" w:cstheme="majorBidi"/>
          <w:sz w:val="24"/>
          <w:szCs w:val="24"/>
        </w:rPr>
        <w:tab/>
        <w:t xml:space="preserve">La Directive Solvabilité 2 (directive 2009/138/CE) a été votée en 2009 par le Parlement Européen et fixe les grands principes de la réforme. Elle a été révisée par </w:t>
      </w:r>
      <w:r w:rsidRPr="00FF70BA">
        <w:rPr>
          <w:rStyle w:val="orange"/>
          <w:rFonts w:asciiTheme="majorBidi" w:hAnsiTheme="majorBidi" w:cstheme="majorBidi"/>
          <w:sz w:val="24"/>
          <w:szCs w:val="24"/>
        </w:rPr>
        <w:t>la Directive Omnibus 2</w:t>
      </w:r>
      <w:r w:rsidRPr="00FF70BA">
        <w:rPr>
          <w:rFonts w:asciiTheme="majorBidi" w:hAnsiTheme="majorBidi" w:cstheme="majorBidi"/>
          <w:sz w:val="24"/>
          <w:szCs w:val="24"/>
        </w:rPr>
        <w:t xml:space="preserve"> qui a été adoptée </w:t>
      </w:r>
      <w:r w:rsidRPr="00FF70BA">
        <w:rPr>
          <w:rStyle w:val="orange"/>
          <w:rFonts w:asciiTheme="majorBidi" w:hAnsiTheme="majorBidi" w:cstheme="majorBidi"/>
          <w:sz w:val="24"/>
          <w:szCs w:val="24"/>
        </w:rPr>
        <w:t>en Mai 2012</w:t>
      </w:r>
      <w:r w:rsidRPr="00FF70BA">
        <w:rPr>
          <w:rFonts w:asciiTheme="majorBidi" w:hAnsiTheme="majorBidi" w:cstheme="majorBidi"/>
          <w:sz w:val="24"/>
          <w:szCs w:val="24"/>
        </w:rPr>
        <w:t xml:space="preserve"> par la commission économique du Parlement européen. Cette directive </w:t>
      </w:r>
      <w:r w:rsidR="00CC303D" w:rsidRPr="00FF70BA">
        <w:rPr>
          <w:rFonts w:asciiTheme="majorBidi" w:hAnsiTheme="majorBidi" w:cstheme="majorBidi"/>
          <w:sz w:val="24"/>
          <w:szCs w:val="24"/>
        </w:rPr>
        <w:t>propose</w:t>
      </w:r>
      <w:r w:rsidR="001D4C4B" w:rsidRPr="00FF70BA">
        <w:rPr>
          <w:rFonts w:asciiTheme="majorBidi" w:hAnsiTheme="majorBidi" w:cstheme="majorBidi"/>
          <w:sz w:val="24"/>
          <w:szCs w:val="24"/>
        </w:rPr>
        <w:t xml:space="preserve"> de repousser le délai de  </w:t>
      </w:r>
      <w:r w:rsidR="00D71BCA">
        <w:rPr>
          <w:rStyle w:val="orange"/>
          <w:rFonts w:asciiTheme="majorBidi" w:hAnsiTheme="majorBidi" w:cstheme="majorBidi"/>
          <w:sz w:val="24"/>
          <w:szCs w:val="24"/>
        </w:rPr>
        <w:t>transpo</w:t>
      </w:r>
      <w:r w:rsidR="001D4C4B" w:rsidRPr="00FF70BA">
        <w:rPr>
          <w:rStyle w:val="orange"/>
          <w:rFonts w:asciiTheme="majorBidi" w:hAnsiTheme="majorBidi" w:cstheme="majorBidi"/>
          <w:sz w:val="24"/>
          <w:szCs w:val="24"/>
        </w:rPr>
        <w:t>sition de la directive du</w:t>
      </w:r>
      <w:r w:rsidR="001D4C4B" w:rsidRPr="00FF70BA">
        <w:rPr>
          <w:rStyle w:val="orange"/>
          <w:rFonts w:asciiTheme="majorBidi" w:eastAsia="Times New Roman" w:hAnsiTheme="majorBidi" w:cstheme="majorBidi"/>
          <w:sz w:val="24"/>
          <w:szCs w:val="24"/>
        </w:rPr>
        <w:t xml:space="preserve"> 31 octobre 2012 au plu</w:t>
      </w:r>
      <w:r w:rsidR="001D4C4B" w:rsidRPr="00FF70BA">
        <w:rPr>
          <w:rStyle w:val="orange"/>
          <w:rFonts w:asciiTheme="majorBidi" w:hAnsiTheme="majorBidi" w:cstheme="majorBidi"/>
          <w:sz w:val="24"/>
          <w:szCs w:val="24"/>
        </w:rPr>
        <w:t xml:space="preserve">s tard, </w:t>
      </w:r>
      <w:r w:rsidR="001D4C4B" w:rsidRPr="00FF70BA">
        <w:rPr>
          <w:rStyle w:val="orange"/>
          <w:rFonts w:asciiTheme="majorBidi" w:eastAsia="Times New Roman" w:hAnsiTheme="majorBidi" w:cstheme="majorBidi"/>
          <w:sz w:val="24"/>
          <w:szCs w:val="24"/>
        </w:rPr>
        <w:t>au 30 juin 2013. Elle reporte également au 1er janvier 2014 la date de première application</w:t>
      </w:r>
      <w:r w:rsidR="00F80307" w:rsidRPr="00FF70BA">
        <w:rPr>
          <w:rStyle w:val="orange"/>
          <w:rFonts w:asciiTheme="majorBidi" w:hAnsiTheme="majorBidi" w:cstheme="majorBidi"/>
          <w:sz w:val="24"/>
          <w:szCs w:val="24"/>
        </w:rPr>
        <w:t>.</w:t>
      </w:r>
      <w:r w:rsidR="00FD4D68" w:rsidRPr="00FF70BA">
        <w:rPr>
          <w:rStyle w:val="Appelnotedebasdep"/>
          <w:rFonts w:asciiTheme="majorBidi" w:hAnsiTheme="majorBidi" w:cstheme="majorBidi"/>
          <w:sz w:val="24"/>
          <w:szCs w:val="24"/>
        </w:rPr>
        <w:footnoteReference w:id="6"/>
      </w:r>
    </w:p>
    <w:p w:rsidR="00415AB7" w:rsidRPr="00FF70BA" w:rsidRDefault="00415AB7" w:rsidP="006B0558">
      <w:pPr>
        <w:autoSpaceDE w:val="0"/>
        <w:autoSpaceDN w:val="0"/>
        <w:adjustRightInd w:val="0"/>
        <w:spacing w:after="0" w:line="360" w:lineRule="auto"/>
        <w:jc w:val="both"/>
        <w:rPr>
          <w:rStyle w:val="orange"/>
          <w:rFonts w:asciiTheme="majorBidi" w:hAnsiTheme="majorBidi" w:cstheme="majorBidi"/>
          <w:sz w:val="24"/>
          <w:szCs w:val="24"/>
        </w:rPr>
      </w:pPr>
    </w:p>
    <w:p w:rsidR="00F97BAA" w:rsidRPr="00246F0A" w:rsidRDefault="008D60BA" w:rsidP="006B0558">
      <w:pPr>
        <w:pStyle w:val="Paragraphedeliste"/>
        <w:numPr>
          <w:ilvl w:val="1"/>
          <w:numId w:val="1"/>
        </w:numPr>
        <w:autoSpaceDE w:val="0"/>
        <w:autoSpaceDN w:val="0"/>
        <w:adjustRightInd w:val="0"/>
        <w:spacing w:after="0" w:line="360" w:lineRule="auto"/>
        <w:ind w:left="0" w:firstLine="0"/>
        <w:jc w:val="both"/>
        <w:rPr>
          <w:rFonts w:asciiTheme="majorBidi" w:hAnsiTheme="majorBidi" w:cstheme="majorBidi"/>
          <w:b/>
          <w:bCs/>
          <w:sz w:val="28"/>
          <w:szCs w:val="28"/>
        </w:rPr>
      </w:pPr>
      <w:r w:rsidRPr="00FF70BA">
        <w:rPr>
          <w:rStyle w:val="orange"/>
          <w:rFonts w:asciiTheme="majorBidi" w:hAnsiTheme="majorBidi" w:cstheme="majorBidi"/>
          <w:b/>
          <w:bCs/>
          <w:sz w:val="28"/>
          <w:szCs w:val="28"/>
        </w:rPr>
        <w:t>LES OBJECTIFS ET LES ENJEUX DE LA REFORME</w:t>
      </w:r>
    </w:p>
    <w:p w:rsidR="009A5C90" w:rsidRPr="00FF70BA" w:rsidRDefault="009A5C90" w:rsidP="006B0558">
      <w:pPr>
        <w:pStyle w:val="Paragraphedeliste"/>
        <w:autoSpaceDE w:val="0"/>
        <w:autoSpaceDN w:val="0"/>
        <w:adjustRightInd w:val="0"/>
        <w:spacing w:after="0" w:line="360" w:lineRule="auto"/>
        <w:ind w:left="0"/>
        <w:jc w:val="both"/>
        <w:rPr>
          <w:rStyle w:val="orange"/>
          <w:rFonts w:asciiTheme="majorBidi" w:hAnsiTheme="majorBidi" w:cstheme="majorBidi"/>
          <w:sz w:val="24"/>
          <w:szCs w:val="24"/>
        </w:rPr>
      </w:pPr>
      <w:r w:rsidRPr="00FF70BA">
        <w:rPr>
          <w:rFonts w:asciiTheme="majorBidi" w:hAnsiTheme="majorBidi" w:cstheme="majorBidi"/>
          <w:sz w:val="24"/>
          <w:szCs w:val="24"/>
        </w:rPr>
        <w:tab/>
        <w:t xml:space="preserve">Le nouveau système de solvabilité Solvency II est destiné aux entreprises d’assurance vie, non-vie et aux entreprises de réassurance, il vise principalement à: </w:t>
      </w:r>
      <w:r w:rsidR="0093745E" w:rsidRPr="00FF70BA">
        <w:rPr>
          <w:rStyle w:val="Appelnotedebasdep"/>
          <w:rFonts w:asciiTheme="majorBidi" w:hAnsiTheme="majorBidi" w:cstheme="majorBidi"/>
          <w:sz w:val="24"/>
          <w:szCs w:val="24"/>
        </w:rPr>
        <w:footnoteReference w:id="7"/>
      </w:r>
      <w:r w:rsidRPr="00FF70BA">
        <w:rPr>
          <w:rFonts w:asciiTheme="majorBidi" w:hAnsiTheme="majorBidi" w:cstheme="majorBidi"/>
          <w:sz w:val="24"/>
          <w:szCs w:val="24"/>
        </w:rPr>
        <w:t xml:space="preserve"> </w:t>
      </w:r>
    </w:p>
    <w:p w:rsidR="009909D6" w:rsidRDefault="00A61B1E" w:rsidP="006B0558">
      <w:pPr>
        <w:spacing w:before="100" w:beforeAutospacing="1" w:after="0" w:line="360" w:lineRule="auto"/>
        <w:jc w:val="both"/>
        <w:rPr>
          <w:rFonts w:asciiTheme="majorBidi" w:eastAsia="Times New Roman" w:hAnsiTheme="majorBidi" w:cstheme="majorBidi"/>
          <w:sz w:val="24"/>
          <w:szCs w:val="24"/>
        </w:rPr>
      </w:pPr>
      <w:r w:rsidRPr="00FF70BA">
        <w:rPr>
          <w:rFonts w:asciiTheme="majorBidi" w:eastAsia="Times New Roman" w:hAnsiTheme="majorBidi" w:cstheme="majorBidi"/>
          <w:sz w:val="24"/>
          <w:szCs w:val="24"/>
        </w:rPr>
        <w:lastRenderedPageBreak/>
        <w:t xml:space="preserve"> - </w:t>
      </w:r>
      <w:r w:rsidRPr="00FF70BA">
        <w:rPr>
          <w:rFonts w:asciiTheme="majorBidi" w:eastAsia="Times New Roman" w:hAnsiTheme="majorBidi" w:cstheme="majorBidi"/>
          <w:b/>
          <w:bCs/>
          <w:sz w:val="24"/>
          <w:szCs w:val="24"/>
        </w:rPr>
        <w:t>Améliorer la protection des assurés</w:t>
      </w:r>
      <w:r w:rsidRPr="00FF70BA">
        <w:rPr>
          <w:rFonts w:asciiTheme="majorBidi" w:eastAsia="Times New Roman" w:hAnsiTheme="majorBidi" w:cstheme="majorBidi"/>
          <w:sz w:val="24"/>
          <w:szCs w:val="24"/>
        </w:rPr>
        <w:t xml:space="preserve"> : par une garantie d’une solvabilité « acceptable » des assureurs dans le temps et une mesure plus précise de cette solvabilité.</w:t>
      </w:r>
    </w:p>
    <w:p w:rsidR="00A61B1E" w:rsidRPr="00FF70BA" w:rsidRDefault="00A61B1E" w:rsidP="006B0558">
      <w:pPr>
        <w:spacing w:after="0" w:line="360" w:lineRule="auto"/>
        <w:jc w:val="both"/>
        <w:rPr>
          <w:rFonts w:asciiTheme="majorBidi" w:eastAsia="Times New Roman" w:hAnsiTheme="majorBidi" w:cstheme="majorBidi"/>
          <w:sz w:val="24"/>
          <w:szCs w:val="24"/>
        </w:rPr>
      </w:pPr>
      <w:r w:rsidRPr="00FF70BA">
        <w:rPr>
          <w:rFonts w:asciiTheme="majorBidi" w:eastAsia="Times New Roman" w:hAnsiTheme="majorBidi" w:cstheme="majorBidi"/>
          <w:sz w:val="24"/>
          <w:szCs w:val="24"/>
        </w:rPr>
        <w:t>La solvabilité est la capacité pour un assureur à respecter les engagements de long terme qu'il prend auprès de ses clients.</w:t>
      </w:r>
    </w:p>
    <w:p w:rsidR="00A61B1E" w:rsidRPr="00FF70BA" w:rsidRDefault="00A61B1E" w:rsidP="006B0558">
      <w:pPr>
        <w:spacing w:after="100" w:afterAutospacing="1" w:line="360" w:lineRule="auto"/>
        <w:jc w:val="both"/>
        <w:rPr>
          <w:rFonts w:asciiTheme="majorBidi" w:eastAsia="Times New Roman" w:hAnsiTheme="majorBidi" w:cstheme="majorBidi"/>
          <w:sz w:val="24"/>
          <w:szCs w:val="24"/>
        </w:rPr>
      </w:pPr>
      <w:r w:rsidRPr="00FF70BA">
        <w:rPr>
          <w:rFonts w:asciiTheme="majorBidi" w:eastAsia="Times New Roman" w:hAnsiTheme="majorBidi" w:cstheme="majorBidi"/>
          <w:sz w:val="24"/>
          <w:szCs w:val="24"/>
        </w:rPr>
        <w:t>La réforme Solvabilité 2 modifie donc les règles de solvabilité des sociétés d'assurances pour garantir à leurs assurés l'ensemble des engagements souscrits. </w:t>
      </w:r>
    </w:p>
    <w:p w:rsidR="00F022C7" w:rsidRPr="00FF70BA" w:rsidRDefault="00A61B1E" w:rsidP="006B0558">
      <w:pPr>
        <w:spacing w:after="0" w:line="360" w:lineRule="auto"/>
        <w:jc w:val="both"/>
        <w:rPr>
          <w:rFonts w:asciiTheme="majorBidi" w:eastAsia="Times New Roman" w:hAnsiTheme="majorBidi" w:cstheme="majorBidi"/>
          <w:sz w:val="24"/>
          <w:szCs w:val="24"/>
        </w:rPr>
      </w:pPr>
      <w:r w:rsidRPr="00FF70BA">
        <w:rPr>
          <w:rFonts w:asciiTheme="majorBidi" w:eastAsia="Times New Roman" w:hAnsiTheme="majorBidi" w:cstheme="majorBidi"/>
          <w:sz w:val="24"/>
          <w:szCs w:val="24"/>
        </w:rPr>
        <w:t xml:space="preserve"> - </w:t>
      </w:r>
      <w:r w:rsidRPr="00FF70BA">
        <w:rPr>
          <w:rFonts w:asciiTheme="majorBidi" w:eastAsia="Times New Roman" w:hAnsiTheme="majorBidi" w:cstheme="majorBidi"/>
          <w:b/>
          <w:bCs/>
          <w:sz w:val="24"/>
          <w:szCs w:val="24"/>
        </w:rPr>
        <w:t>Créer un cadre prudentiel plus adapté aux risques réels pesant sur les compagnies d’assurance</w:t>
      </w:r>
      <w:r w:rsidRPr="00FF70BA">
        <w:rPr>
          <w:rFonts w:asciiTheme="majorBidi" w:eastAsia="Times New Roman" w:hAnsiTheme="majorBidi" w:cstheme="majorBidi"/>
          <w:sz w:val="24"/>
          <w:szCs w:val="24"/>
        </w:rPr>
        <w:t xml:space="preserve"> : par le passage d’une mesure simplifiée de la solvabilité (Solvabilité 1) à une mesure précise des risques réels pris par les sociétés d'assurances (Pilier 1) laquelle est encadrée par des règles et une gouvernance.</w:t>
      </w:r>
    </w:p>
    <w:p w:rsidR="00A61B1E" w:rsidRPr="00FF70BA" w:rsidRDefault="00A61B1E" w:rsidP="006B0558">
      <w:pPr>
        <w:spacing w:after="100" w:afterAutospacing="1" w:line="360" w:lineRule="auto"/>
        <w:jc w:val="both"/>
        <w:rPr>
          <w:rFonts w:asciiTheme="majorBidi" w:eastAsia="Times New Roman" w:hAnsiTheme="majorBidi" w:cstheme="majorBidi"/>
          <w:sz w:val="24"/>
          <w:szCs w:val="24"/>
        </w:rPr>
      </w:pPr>
      <w:r w:rsidRPr="00FF70BA">
        <w:rPr>
          <w:rFonts w:asciiTheme="majorBidi" w:eastAsia="Times New Roman" w:hAnsiTheme="majorBidi" w:cstheme="majorBidi"/>
          <w:sz w:val="24"/>
          <w:szCs w:val="24"/>
        </w:rPr>
        <w:t>Le niveau des capitaux propres devra être proportionné au risque des passifs et actifs détenus par les assureurs : ainsi plus un actif sera risqué, plus les capitaux propres réglementaires ou exigence en capital correspondants devront être élevés. </w:t>
      </w:r>
    </w:p>
    <w:p w:rsidR="00A61B1E" w:rsidRPr="00FF70BA" w:rsidRDefault="00A61B1E" w:rsidP="006B0558">
      <w:pPr>
        <w:spacing w:before="100" w:beforeAutospacing="1" w:after="0" w:line="360" w:lineRule="auto"/>
        <w:jc w:val="both"/>
        <w:rPr>
          <w:rFonts w:asciiTheme="majorBidi" w:eastAsia="Times New Roman" w:hAnsiTheme="majorBidi" w:cstheme="majorBidi"/>
          <w:sz w:val="24"/>
          <w:szCs w:val="24"/>
        </w:rPr>
      </w:pPr>
      <w:r w:rsidRPr="00FF70BA">
        <w:rPr>
          <w:rFonts w:asciiTheme="majorBidi" w:eastAsia="Times New Roman" w:hAnsiTheme="majorBidi" w:cstheme="majorBidi"/>
          <w:sz w:val="24"/>
          <w:szCs w:val="24"/>
        </w:rPr>
        <w:t xml:space="preserve"> - </w:t>
      </w:r>
      <w:r w:rsidRPr="00FF70BA">
        <w:rPr>
          <w:rFonts w:asciiTheme="majorBidi" w:eastAsia="Times New Roman" w:hAnsiTheme="majorBidi" w:cstheme="majorBidi"/>
          <w:b/>
          <w:bCs/>
          <w:sz w:val="24"/>
          <w:szCs w:val="24"/>
        </w:rPr>
        <w:t>Encourager au pilotage et à la gestion des risques :</w:t>
      </w:r>
      <w:r w:rsidRPr="00FF70BA">
        <w:rPr>
          <w:rFonts w:asciiTheme="majorBidi" w:eastAsia="Times New Roman" w:hAnsiTheme="majorBidi" w:cstheme="majorBidi"/>
          <w:sz w:val="24"/>
          <w:szCs w:val="24"/>
        </w:rPr>
        <w:t xml:space="preserve"> en plaçant la gestion des risques au centre des orientations stratégiques.</w:t>
      </w:r>
    </w:p>
    <w:p w:rsidR="00A61B1E" w:rsidRPr="00FF70BA" w:rsidRDefault="00A61B1E" w:rsidP="006B0558">
      <w:pPr>
        <w:spacing w:after="100" w:afterAutospacing="1" w:line="360" w:lineRule="auto"/>
        <w:jc w:val="both"/>
        <w:rPr>
          <w:rFonts w:asciiTheme="majorBidi" w:eastAsia="Times New Roman" w:hAnsiTheme="majorBidi" w:cstheme="majorBidi"/>
          <w:sz w:val="24"/>
          <w:szCs w:val="24"/>
        </w:rPr>
      </w:pPr>
      <w:r w:rsidRPr="00FF70BA">
        <w:rPr>
          <w:rFonts w:asciiTheme="majorBidi" w:eastAsia="Times New Roman" w:hAnsiTheme="majorBidi" w:cstheme="majorBidi"/>
          <w:sz w:val="24"/>
          <w:szCs w:val="24"/>
        </w:rPr>
        <w:t>Solvabilité 2 a ainsi pour ambition d'introduire une nouvelle culture de la gestion du risque :</w:t>
      </w:r>
    </w:p>
    <w:p w:rsidR="00A61B1E" w:rsidRPr="00FF70BA" w:rsidRDefault="00A61B1E" w:rsidP="006B0558">
      <w:pPr>
        <w:numPr>
          <w:ilvl w:val="0"/>
          <w:numId w:val="3"/>
        </w:numPr>
        <w:spacing w:before="100" w:beforeAutospacing="1" w:after="100" w:afterAutospacing="1" w:line="360" w:lineRule="auto"/>
        <w:ind w:left="0" w:firstLine="0"/>
        <w:jc w:val="both"/>
        <w:rPr>
          <w:rFonts w:asciiTheme="majorBidi" w:eastAsia="Times New Roman" w:hAnsiTheme="majorBidi" w:cstheme="majorBidi"/>
          <w:sz w:val="24"/>
          <w:szCs w:val="24"/>
        </w:rPr>
      </w:pPr>
      <w:r w:rsidRPr="00FF70BA">
        <w:rPr>
          <w:rFonts w:asciiTheme="majorBidi" w:eastAsia="Times New Roman" w:hAnsiTheme="majorBidi" w:cstheme="majorBidi"/>
          <w:sz w:val="24"/>
          <w:szCs w:val="24"/>
        </w:rPr>
        <w:t>Adopter une vision économique du bilan</w:t>
      </w:r>
    </w:p>
    <w:p w:rsidR="00A61B1E" w:rsidRPr="00FF70BA" w:rsidRDefault="00A61B1E" w:rsidP="006B0558">
      <w:pPr>
        <w:numPr>
          <w:ilvl w:val="0"/>
          <w:numId w:val="3"/>
        </w:numPr>
        <w:spacing w:before="100" w:beforeAutospacing="1" w:after="100" w:afterAutospacing="1" w:line="360" w:lineRule="auto"/>
        <w:ind w:left="0" w:firstLine="0"/>
        <w:jc w:val="both"/>
        <w:rPr>
          <w:rFonts w:asciiTheme="majorBidi" w:eastAsia="Times New Roman" w:hAnsiTheme="majorBidi" w:cstheme="majorBidi"/>
          <w:sz w:val="24"/>
          <w:szCs w:val="24"/>
        </w:rPr>
      </w:pPr>
      <w:r w:rsidRPr="00FF70BA">
        <w:rPr>
          <w:rFonts w:asciiTheme="majorBidi" w:eastAsia="Times New Roman" w:hAnsiTheme="majorBidi" w:cstheme="majorBidi"/>
          <w:sz w:val="24"/>
          <w:szCs w:val="24"/>
        </w:rPr>
        <w:t>Evaluation cohérente avec les marchés</w:t>
      </w:r>
    </w:p>
    <w:p w:rsidR="00A61B1E" w:rsidRPr="00FF70BA" w:rsidRDefault="00A61B1E" w:rsidP="006B0558">
      <w:pPr>
        <w:numPr>
          <w:ilvl w:val="0"/>
          <w:numId w:val="3"/>
        </w:numPr>
        <w:spacing w:before="100" w:beforeAutospacing="1" w:after="100" w:afterAutospacing="1" w:line="360" w:lineRule="auto"/>
        <w:ind w:left="0" w:firstLine="0"/>
        <w:jc w:val="both"/>
        <w:rPr>
          <w:rFonts w:asciiTheme="majorBidi" w:eastAsia="Times New Roman" w:hAnsiTheme="majorBidi" w:cstheme="majorBidi"/>
          <w:sz w:val="24"/>
          <w:szCs w:val="24"/>
        </w:rPr>
      </w:pPr>
      <w:r w:rsidRPr="00FF70BA">
        <w:rPr>
          <w:rFonts w:asciiTheme="majorBidi" w:eastAsia="Times New Roman" w:hAnsiTheme="majorBidi" w:cstheme="majorBidi"/>
          <w:sz w:val="24"/>
          <w:szCs w:val="24"/>
        </w:rPr>
        <w:t>Apprécier la solvabilité globale des compagnies</w:t>
      </w:r>
    </w:p>
    <w:p w:rsidR="00A61B1E" w:rsidRPr="00FF70BA" w:rsidRDefault="00A61B1E" w:rsidP="006B0558">
      <w:pPr>
        <w:numPr>
          <w:ilvl w:val="0"/>
          <w:numId w:val="3"/>
        </w:numPr>
        <w:spacing w:before="100" w:beforeAutospacing="1" w:after="100" w:afterAutospacing="1" w:line="360" w:lineRule="auto"/>
        <w:ind w:left="0" w:firstLine="0"/>
        <w:jc w:val="both"/>
        <w:rPr>
          <w:rFonts w:asciiTheme="majorBidi" w:eastAsia="Times New Roman" w:hAnsiTheme="majorBidi" w:cstheme="majorBidi"/>
          <w:sz w:val="24"/>
          <w:szCs w:val="24"/>
        </w:rPr>
      </w:pPr>
      <w:r w:rsidRPr="00FF70BA">
        <w:rPr>
          <w:rFonts w:asciiTheme="majorBidi" w:eastAsia="Times New Roman" w:hAnsiTheme="majorBidi" w:cstheme="majorBidi"/>
          <w:sz w:val="24"/>
          <w:szCs w:val="24"/>
        </w:rPr>
        <w:t>Approche intégrée des risques assumés</w:t>
      </w:r>
    </w:p>
    <w:p w:rsidR="00A61B1E" w:rsidRPr="00FF70BA" w:rsidRDefault="00A61B1E" w:rsidP="006B0558">
      <w:pPr>
        <w:numPr>
          <w:ilvl w:val="0"/>
          <w:numId w:val="3"/>
        </w:numPr>
        <w:spacing w:before="100" w:beforeAutospacing="1" w:after="100" w:afterAutospacing="1" w:line="360" w:lineRule="auto"/>
        <w:ind w:left="0" w:firstLine="0"/>
        <w:jc w:val="both"/>
        <w:rPr>
          <w:rFonts w:asciiTheme="majorBidi" w:eastAsia="Times New Roman" w:hAnsiTheme="majorBidi" w:cstheme="majorBidi"/>
          <w:sz w:val="24"/>
          <w:szCs w:val="24"/>
        </w:rPr>
      </w:pPr>
      <w:r w:rsidRPr="00FF70BA">
        <w:rPr>
          <w:rFonts w:asciiTheme="majorBidi" w:eastAsia="Times New Roman" w:hAnsiTheme="majorBidi" w:cstheme="majorBidi"/>
          <w:sz w:val="24"/>
          <w:szCs w:val="24"/>
        </w:rPr>
        <w:t>Approche basée sur des principes et non sur des règles strictes </w:t>
      </w:r>
    </w:p>
    <w:p w:rsidR="00A312C5" w:rsidRPr="00FF70BA" w:rsidRDefault="00A61B1E" w:rsidP="006B0558">
      <w:pPr>
        <w:spacing w:before="100" w:beforeAutospacing="1" w:after="0" w:line="360" w:lineRule="auto"/>
        <w:jc w:val="both"/>
        <w:rPr>
          <w:rFonts w:asciiTheme="majorBidi" w:eastAsia="Times New Roman" w:hAnsiTheme="majorBidi" w:cstheme="majorBidi"/>
          <w:sz w:val="24"/>
          <w:szCs w:val="24"/>
        </w:rPr>
      </w:pPr>
      <w:r w:rsidRPr="00FF70BA">
        <w:rPr>
          <w:rFonts w:asciiTheme="majorBidi" w:eastAsia="Times New Roman" w:hAnsiTheme="majorBidi" w:cstheme="majorBidi"/>
          <w:sz w:val="24"/>
          <w:szCs w:val="24"/>
        </w:rPr>
        <w:t xml:space="preserve"> - </w:t>
      </w:r>
      <w:r w:rsidRPr="00FF70BA">
        <w:rPr>
          <w:rFonts w:asciiTheme="majorBidi" w:eastAsia="Times New Roman" w:hAnsiTheme="majorBidi" w:cstheme="majorBidi"/>
          <w:b/>
          <w:bCs/>
          <w:sz w:val="24"/>
          <w:szCs w:val="24"/>
        </w:rPr>
        <w:t>Renforcer la cohérence de traitement entre les secteurs bancaire et assurantiel :</w:t>
      </w:r>
      <w:r w:rsidRPr="00FF70BA">
        <w:rPr>
          <w:rFonts w:asciiTheme="majorBidi" w:eastAsia="Times New Roman" w:hAnsiTheme="majorBidi" w:cstheme="majorBidi"/>
          <w:sz w:val="24"/>
          <w:szCs w:val="24"/>
        </w:rPr>
        <w:t xml:space="preserve"> Solvabilité 2 se situe clairement dans la lignée de Bâle 2 qui possède les mêmes objectifs mais qui s'applique au secteur bancaire.</w:t>
      </w:r>
      <w:r w:rsidR="00F022C7" w:rsidRPr="00FF70BA">
        <w:rPr>
          <w:rFonts w:asciiTheme="majorBidi" w:eastAsia="Times New Roman" w:hAnsiTheme="majorBidi" w:cstheme="majorBidi"/>
          <w:sz w:val="24"/>
          <w:szCs w:val="24"/>
        </w:rPr>
        <w:t xml:space="preserve"> </w:t>
      </w:r>
      <w:r w:rsidRPr="00FF70BA">
        <w:rPr>
          <w:rFonts w:asciiTheme="majorBidi" w:eastAsia="Times New Roman" w:hAnsiTheme="majorBidi" w:cstheme="majorBidi"/>
          <w:sz w:val="24"/>
          <w:szCs w:val="24"/>
        </w:rPr>
        <w:t>A noter que la crise financière de 2007 a mis en évidence les insuffisances de Bâle 2 qui est en cours de révision par les accords de Bâle 3.</w:t>
      </w:r>
    </w:p>
    <w:p w:rsidR="00F97BAA" w:rsidRDefault="003B7D8C" w:rsidP="00A449A0">
      <w:pPr>
        <w:spacing w:after="0" w:line="360" w:lineRule="auto"/>
        <w:jc w:val="both"/>
        <w:rPr>
          <w:rFonts w:asciiTheme="majorBidi" w:eastAsia="Times New Roman" w:hAnsiTheme="majorBidi" w:cstheme="majorBidi"/>
          <w:sz w:val="24"/>
          <w:szCs w:val="24"/>
        </w:rPr>
      </w:pPr>
      <w:r w:rsidRPr="00FF70BA">
        <w:rPr>
          <w:rFonts w:asciiTheme="majorBidi" w:eastAsia="Times New Roman" w:hAnsiTheme="majorBidi" w:cstheme="majorBidi"/>
          <w:sz w:val="24"/>
          <w:szCs w:val="24"/>
        </w:rPr>
        <w:t>Solvabilité 2 a ainsi pour ambition de construire un marché unique européen de l'assurance tout en corrigeant les insuffisances de Solvabilité 1 sur la prise en compte des différentes natures des risques auxquels les sociétés d'assurance sont exposées.</w:t>
      </w:r>
    </w:p>
    <w:p w:rsidR="00D71BCA" w:rsidRDefault="00D71BCA" w:rsidP="00A449A0">
      <w:pPr>
        <w:spacing w:after="0" w:line="360" w:lineRule="auto"/>
        <w:jc w:val="both"/>
        <w:rPr>
          <w:rFonts w:asciiTheme="majorBidi" w:eastAsia="Times New Roman" w:hAnsiTheme="majorBidi" w:cstheme="majorBidi"/>
          <w:sz w:val="24"/>
          <w:szCs w:val="24"/>
        </w:rPr>
      </w:pPr>
    </w:p>
    <w:p w:rsidR="00D71BCA" w:rsidRPr="00FF70BA" w:rsidRDefault="00D71BCA" w:rsidP="00A449A0">
      <w:pPr>
        <w:spacing w:after="0" w:line="360" w:lineRule="auto"/>
        <w:jc w:val="both"/>
        <w:rPr>
          <w:rFonts w:asciiTheme="majorBidi" w:eastAsia="Times New Roman" w:hAnsiTheme="majorBidi" w:cstheme="majorBidi"/>
          <w:sz w:val="24"/>
          <w:szCs w:val="24"/>
        </w:rPr>
      </w:pPr>
    </w:p>
    <w:p w:rsidR="0074581C" w:rsidRPr="00F97BAA" w:rsidRDefault="0074581C" w:rsidP="006B0558">
      <w:pPr>
        <w:pStyle w:val="Paragraphedeliste"/>
        <w:numPr>
          <w:ilvl w:val="0"/>
          <w:numId w:val="5"/>
        </w:numPr>
        <w:tabs>
          <w:tab w:val="left" w:pos="284"/>
        </w:tabs>
        <w:spacing w:before="100" w:beforeAutospacing="1" w:after="100" w:afterAutospacing="1" w:line="360" w:lineRule="auto"/>
        <w:ind w:left="0" w:firstLine="0"/>
        <w:jc w:val="both"/>
        <w:rPr>
          <w:rStyle w:val="orange"/>
          <w:rFonts w:asciiTheme="majorBidi" w:eastAsia="Times New Roman" w:hAnsiTheme="majorBidi" w:cstheme="majorBidi"/>
          <w:b/>
          <w:bCs/>
          <w:sz w:val="24"/>
          <w:szCs w:val="24"/>
        </w:rPr>
      </w:pPr>
      <w:r w:rsidRPr="00FF70BA">
        <w:rPr>
          <w:rStyle w:val="orange"/>
          <w:rFonts w:asciiTheme="majorBidi" w:eastAsia="Times New Roman" w:hAnsiTheme="majorBidi" w:cstheme="majorBidi"/>
          <w:b/>
          <w:bCs/>
          <w:sz w:val="24"/>
          <w:szCs w:val="24"/>
        </w:rPr>
        <w:lastRenderedPageBreak/>
        <w:t xml:space="preserve">Eviter les surcapitalisations inutiles  </w:t>
      </w:r>
    </w:p>
    <w:p w:rsidR="0074581C" w:rsidRDefault="00A312C5" w:rsidP="006B0558">
      <w:pPr>
        <w:pStyle w:val="Paragraphedeliste"/>
        <w:autoSpaceDE w:val="0"/>
        <w:autoSpaceDN w:val="0"/>
        <w:adjustRightInd w:val="0"/>
        <w:spacing w:after="0" w:line="360" w:lineRule="auto"/>
        <w:ind w:left="0"/>
        <w:jc w:val="both"/>
        <w:rPr>
          <w:rFonts w:asciiTheme="majorBidi" w:hAnsiTheme="majorBidi" w:cstheme="majorBidi"/>
          <w:sz w:val="24"/>
          <w:szCs w:val="24"/>
        </w:rPr>
      </w:pPr>
      <w:r w:rsidRPr="00FF70BA">
        <w:rPr>
          <w:rFonts w:asciiTheme="majorBidi" w:hAnsiTheme="majorBidi" w:cstheme="majorBidi"/>
          <w:sz w:val="24"/>
          <w:szCs w:val="24"/>
        </w:rPr>
        <w:tab/>
      </w:r>
      <w:r w:rsidR="003B7D8C" w:rsidRPr="00FF70BA">
        <w:rPr>
          <w:rFonts w:asciiTheme="majorBidi" w:hAnsiTheme="majorBidi" w:cstheme="majorBidi"/>
          <w:sz w:val="24"/>
          <w:szCs w:val="24"/>
        </w:rPr>
        <w:t xml:space="preserve">Donc à travers ces enjeux, </w:t>
      </w:r>
      <w:r w:rsidRPr="00FF70BA">
        <w:rPr>
          <w:rFonts w:asciiTheme="majorBidi" w:hAnsiTheme="majorBidi" w:cstheme="majorBidi"/>
          <w:sz w:val="24"/>
          <w:szCs w:val="24"/>
        </w:rPr>
        <w:t>On voit clairement la portée ambitieuse de ce projet qui dès l'origine s'inscrit dans un contexte plus large que celui de l'assurance.</w:t>
      </w:r>
    </w:p>
    <w:p w:rsidR="00F97BAA" w:rsidRPr="00F97BAA" w:rsidRDefault="00F97BAA" w:rsidP="006B0558">
      <w:pPr>
        <w:pStyle w:val="Paragraphedeliste"/>
        <w:autoSpaceDE w:val="0"/>
        <w:autoSpaceDN w:val="0"/>
        <w:adjustRightInd w:val="0"/>
        <w:spacing w:after="0" w:line="360" w:lineRule="auto"/>
        <w:ind w:left="0"/>
        <w:jc w:val="both"/>
        <w:rPr>
          <w:rFonts w:asciiTheme="majorBidi" w:hAnsiTheme="majorBidi" w:cstheme="majorBidi"/>
          <w:sz w:val="24"/>
          <w:szCs w:val="24"/>
        </w:rPr>
      </w:pPr>
    </w:p>
    <w:p w:rsidR="00F97BAA" w:rsidRDefault="00823F0E" w:rsidP="006B0558">
      <w:pPr>
        <w:pStyle w:val="Paragraphedeliste"/>
        <w:numPr>
          <w:ilvl w:val="1"/>
          <w:numId w:val="1"/>
        </w:numPr>
        <w:autoSpaceDE w:val="0"/>
        <w:autoSpaceDN w:val="0"/>
        <w:adjustRightInd w:val="0"/>
        <w:spacing w:after="0" w:line="360" w:lineRule="auto"/>
        <w:ind w:left="0" w:firstLine="0"/>
        <w:jc w:val="both"/>
        <w:rPr>
          <w:rFonts w:asciiTheme="majorBidi" w:hAnsiTheme="majorBidi" w:cstheme="majorBidi"/>
          <w:b/>
          <w:bCs/>
          <w:sz w:val="28"/>
          <w:szCs w:val="28"/>
        </w:rPr>
      </w:pPr>
      <w:r w:rsidRPr="00FF70BA">
        <w:rPr>
          <w:rFonts w:asciiTheme="majorBidi" w:hAnsiTheme="majorBidi" w:cstheme="majorBidi"/>
          <w:b/>
          <w:bCs/>
          <w:sz w:val="28"/>
          <w:szCs w:val="28"/>
        </w:rPr>
        <w:t xml:space="preserve">LES MODELES D’INSPIRATION DE LA DIRECTIVE </w:t>
      </w:r>
    </w:p>
    <w:p w:rsidR="009A09C5" w:rsidRPr="009A09C5" w:rsidRDefault="009A09C5" w:rsidP="009A09C5">
      <w:pPr>
        <w:autoSpaceDE w:val="0"/>
        <w:autoSpaceDN w:val="0"/>
        <w:adjustRightInd w:val="0"/>
        <w:spacing w:after="0" w:line="240" w:lineRule="auto"/>
        <w:jc w:val="both"/>
        <w:rPr>
          <w:rFonts w:asciiTheme="majorBidi" w:hAnsiTheme="majorBidi" w:cstheme="majorBidi"/>
          <w:b/>
          <w:bCs/>
          <w:sz w:val="28"/>
          <w:szCs w:val="28"/>
        </w:rPr>
      </w:pPr>
    </w:p>
    <w:p w:rsidR="00F97BAA" w:rsidRDefault="00823F0E" w:rsidP="006B0558">
      <w:pPr>
        <w:pStyle w:val="Paragraphedeliste"/>
        <w:autoSpaceDE w:val="0"/>
        <w:autoSpaceDN w:val="0"/>
        <w:adjustRightInd w:val="0"/>
        <w:spacing w:after="0" w:line="360" w:lineRule="auto"/>
        <w:ind w:left="0"/>
        <w:jc w:val="both"/>
        <w:rPr>
          <w:rFonts w:asciiTheme="majorBidi" w:hAnsiTheme="majorBidi" w:cstheme="majorBidi"/>
          <w:sz w:val="24"/>
          <w:szCs w:val="24"/>
        </w:rPr>
      </w:pPr>
      <w:r w:rsidRPr="00FF70BA">
        <w:rPr>
          <w:rFonts w:asciiTheme="majorBidi" w:hAnsiTheme="majorBidi" w:cstheme="majorBidi"/>
          <w:sz w:val="24"/>
          <w:szCs w:val="24"/>
        </w:rPr>
        <w:tab/>
        <w:t>La Commission européenne s’est notamment inspirée de la réforme bancaire Bâle II ainsi que du système de solvabilité suisse le Swiss Solvency Test (SST).</w:t>
      </w:r>
    </w:p>
    <w:p w:rsidR="00246F0A" w:rsidRPr="00FF70BA" w:rsidRDefault="00246F0A" w:rsidP="009A09C5">
      <w:pPr>
        <w:pStyle w:val="Paragraphedeliste"/>
        <w:autoSpaceDE w:val="0"/>
        <w:autoSpaceDN w:val="0"/>
        <w:adjustRightInd w:val="0"/>
        <w:spacing w:after="0" w:line="240" w:lineRule="auto"/>
        <w:ind w:left="0"/>
        <w:jc w:val="both"/>
        <w:rPr>
          <w:rFonts w:asciiTheme="majorBidi" w:hAnsiTheme="majorBidi" w:cstheme="majorBidi"/>
          <w:sz w:val="24"/>
          <w:szCs w:val="24"/>
        </w:rPr>
      </w:pPr>
    </w:p>
    <w:p w:rsidR="00F97BAA" w:rsidRDefault="00823F2D" w:rsidP="006B0558">
      <w:pPr>
        <w:pStyle w:val="Paragraphedeliste"/>
        <w:numPr>
          <w:ilvl w:val="2"/>
          <w:numId w:val="1"/>
        </w:numPr>
        <w:autoSpaceDE w:val="0"/>
        <w:autoSpaceDN w:val="0"/>
        <w:adjustRightInd w:val="0"/>
        <w:spacing w:after="0" w:line="360" w:lineRule="auto"/>
        <w:ind w:left="0" w:firstLine="0"/>
        <w:jc w:val="both"/>
        <w:rPr>
          <w:rFonts w:asciiTheme="majorBidi" w:hAnsiTheme="majorBidi" w:cstheme="majorBidi"/>
          <w:b/>
          <w:bCs/>
          <w:sz w:val="28"/>
          <w:szCs w:val="28"/>
        </w:rPr>
      </w:pPr>
      <w:r w:rsidRPr="00FF70BA">
        <w:rPr>
          <w:rFonts w:asciiTheme="majorBidi" w:hAnsiTheme="majorBidi" w:cstheme="majorBidi"/>
          <w:b/>
          <w:bCs/>
          <w:sz w:val="28"/>
          <w:szCs w:val="28"/>
        </w:rPr>
        <w:t xml:space="preserve">La réforme Bâle II </w:t>
      </w:r>
    </w:p>
    <w:p w:rsidR="009A09C5" w:rsidRPr="009A09C5" w:rsidRDefault="009A09C5" w:rsidP="009A09C5">
      <w:pPr>
        <w:autoSpaceDE w:val="0"/>
        <w:autoSpaceDN w:val="0"/>
        <w:adjustRightInd w:val="0"/>
        <w:spacing w:after="0" w:line="240" w:lineRule="auto"/>
        <w:jc w:val="both"/>
        <w:rPr>
          <w:rFonts w:asciiTheme="majorBidi" w:hAnsiTheme="majorBidi" w:cstheme="majorBidi"/>
          <w:b/>
          <w:bCs/>
          <w:sz w:val="28"/>
          <w:szCs w:val="28"/>
        </w:rPr>
      </w:pPr>
    </w:p>
    <w:p w:rsidR="005724E5" w:rsidRPr="00FF70BA" w:rsidRDefault="00823F2D"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b/>
          <w:bCs/>
          <w:sz w:val="24"/>
          <w:szCs w:val="24"/>
        </w:rPr>
        <w:tab/>
      </w:r>
      <w:r w:rsidR="00B36A78" w:rsidRPr="00FF70BA">
        <w:rPr>
          <w:rFonts w:asciiTheme="majorBidi" w:hAnsiTheme="majorBidi" w:cstheme="majorBidi"/>
          <w:sz w:val="24"/>
          <w:szCs w:val="24"/>
        </w:rPr>
        <w:t>La crise financière asiatique de fin des années 1990 a précipité l’approfondissement des règles prudentielles pour aboutir à l’entrée en vigueur de la directive européenne Bâle II au 1er janvier 2008. Ce nouveau cadre réglementaire élargit le champ des risques pris en compte (en complément des risques de crédit et de marché, sont inclus les risques opérationnels, ainsi que d’autres types de risque dans le cadre dit du pilier 2) et affine l’évaluation du risque de crédit (dispositif de notation interne). Le domaine de l’assurance a suivi a peu près le même rythme en Europe avec environ deux ans de décalage.</w:t>
      </w:r>
    </w:p>
    <w:p w:rsidR="00B36A78" w:rsidRPr="00FF70BA" w:rsidRDefault="005724E5"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ab/>
      </w:r>
      <w:r w:rsidR="00B36A78" w:rsidRPr="00FF70BA">
        <w:rPr>
          <w:rFonts w:asciiTheme="majorBidi" w:hAnsiTheme="majorBidi" w:cstheme="majorBidi"/>
          <w:sz w:val="24"/>
          <w:szCs w:val="24"/>
        </w:rPr>
        <w:t>La réforme Bâle 2 porte sur le ratio de solvabilité des établissements bancaires. Dans</w:t>
      </w:r>
      <w:r w:rsidR="003010CC" w:rsidRPr="00FF70BA">
        <w:rPr>
          <w:rFonts w:asciiTheme="majorBidi" w:hAnsiTheme="majorBidi" w:cstheme="majorBidi"/>
          <w:sz w:val="24"/>
          <w:szCs w:val="24"/>
        </w:rPr>
        <w:t xml:space="preserve"> </w:t>
      </w:r>
      <w:r w:rsidR="00B36A78" w:rsidRPr="00FF70BA">
        <w:rPr>
          <w:rFonts w:asciiTheme="majorBidi" w:hAnsiTheme="majorBidi" w:cstheme="majorBidi"/>
          <w:sz w:val="24"/>
          <w:szCs w:val="24"/>
        </w:rPr>
        <w:t>le cadre des travaux menés par le comité de Bâle et la commission européenne, le</w:t>
      </w:r>
      <w:r w:rsidR="003010CC" w:rsidRPr="00FF70BA">
        <w:rPr>
          <w:rFonts w:asciiTheme="majorBidi" w:hAnsiTheme="majorBidi" w:cstheme="majorBidi"/>
          <w:sz w:val="24"/>
          <w:szCs w:val="24"/>
        </w:rPr>
        <w:t xml:space="preserve"> </w:t>
      </w:r>
      <w:r w:rsidR="00B36A78" w:rsidRPr="00FF70BA">
        <w:rPr>
          <w:rFonts w:asciiTheme="majorBidi" w:hAnsiTheme="majorBidi" w:cstheme="majorBidi"/>
          <w:sz w:val="24"/>
          <w:szCs w:val="24"/>
        </w:rPr>
        <w:t>ratio de solvabilité actuel fera l’objet d’une réforme importante qui prendra effet le 31</w:t>
      </w:r>
      <w:r w:rsidR="003010CC" w:rsidRPr="00FF70BA">
        <w:rPr>
          <w:rFonts w:asciiTheme="majorBidi" w:hAnsiTheme="majorBidi" w:cstheme="majorBidi"/>
          <w:sz w:val="24"/>
          <w:szCs w:val="24"/>
        </w:rPr>
        <w:t xml:space="preserve"> </w:t>
      </w:r>
      <w:r w:rsidR="00B36A78" w:rsidRPr="00FF70BA">
        <w:rPr>
          <w:rFonts w:asciiTheme="majorBidi" w:hAnsiTheme="majorBidi" w:cstheme="majorBidi"/>
          <w:sz w:val="24"/>
          <w:szCs w:val="24"/>
        </w:rPr>
        <w:t>décembre 20</w:t>
      </w:r>
      <w:r w:rsidR="00E10A08" w:rsidRPr="00FF70BA">
        <w:rPr>
          <w:rFonts w:asciiTheme="majorBidi" w:hAnsiTheme="majorBidi" w:cstheme="majorBidi"/>
          <w:sz w:val="24"/>
          <w:szCs w:val="24"/>
        </w:rPr>
        <w:t>06. A cette date le ratio Cook</w:t>
      </w:r>
      <w:r w:rsidR="00B36A78" w:rsidRPr="00FF70BA">
        <w:rPr>
          <w:rFonts w:asciiTheme="majorBidi" w:hAnsiTheme="majorBidi" w:cstheme="majorBidi"/>
          <w:sz w:val="24"/>
          <w:szCs w:val="24"/>
        </w:rPr>
        <w:t xml:space="preserve"> sera remplacé par le ratio Mc Donough.</w:t>
      </w:r>
    </w:p>
    <w:p w:rsidR="003010CC" w:rsidRDefault="00B36A78"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Le nouvel accord de Bâle sur les fonds propres a été finalisé en juin 2004 et adopté</w:t>
      </w:r>
      <w:r w:rsidR="003010CC" w:rsidRPr="00FF70BA">
        <w:rPr>
          <w:rFonts w:asciiTheme="majorBidi" w:hAnsiTheme="majorBidi" w:cstheme="majorBidi"/>
          <w:sz w:val="24"/>
          <w:szCs w:val="24"/>
        </w:rPr>
        <w:t xml:space="preserve"> </w:t>
      </w:r>
      <w:r w:rsidRPr="00FF70BA">
        <w:rPr>
          <w:rFonts w:asciiTheme="majorBidi" w:hAnsiTheme="majorBidi" w:cstheme="majorBidi"/>
          <w:sz w:val="24"/>
          <w:szCs w:val="24"/>
        </w:rPr>
        <w:t>par les gouverneurs des banques centrales et les gouverneurs des pays du G10. Le</w:t>
      </w:r>
      <w:r w:rsidR="003010CC" w:rsidRPr="00FF70BA">
        <w:rPr>
          <w:rFonts w:asciiTheme="majorBidi" w:hAnsiTheme="majorBidi" w:cstheme="majorBidi"/>
          <w:sz w:val="24"/>
          <w:szCs w:val="24"/>
        </w:rPr>
        <w:t xml:space="preserve"> </w:t>
      </w:r>
      <w:r w:rsidRPr="00FF70BA">
        <w:rPr>
          <w:rFonts w:asciiTheme="majorBidi" w:hAnsiTheme="majorBidi" w:cstheme="majorBidi"/>
          <w:sz w:val="24"/>
          <w:szCs w:val="24"/>
        </w:rPr>
        <w:t>dispositif porte sur 3 piliers (ou 3 types d’obligations) :</w:t>
      </w:r>
    </w:p>
    <w:p w:rsidR="00F97BAA" w:rsidRPr="00FF70BA" w:rsidRDefault="00F97BAA" w:rsidP="006B0558">
      <w:pPr>
        <w:autoSpaceDE w:val="0"/>
        <w:autoSpaceDN w:val="0"/>
        <w:adjustRightInd w:val="0"/>
        <w:spacing w:after="0" w:line="360" w:lineRule="auto"/>
        <w:jc w:val="both"/>
        <w:rPr>
          <w:rFonts w:asciiTheme="majorBidi" w:hAnsiTheme="majorBidi" w:cstheme="majorBidi"/>
          <w:sz w:val="24"/>
          <w:szCs w:val="24"/>
        </w:rPr>
      </w:pPr>
    </w:p>
    <w:p w:rsidR="00B36A78" w:rsidRPr="00FF70BA" w:rsidRDefault="00B36A78"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 xml:space="preserve">- </w:t>
      </w:r>
      <w:r w:rsidRPr="00FF70BA">
        <w:rPr>
          <w:rFonts w:asciiTheme="majorBidi" w:hAnsiTheme="majorBidi" w:cstheme="majorBidi"/>
          <w:b/>
          <w:bCs/>
          <w:sz w:val="24"/>
          <w:szCs w:val="24"/>
        </w:rPr>
        <w:t>Pilier 1</w:t>
      </w:r>
      <w:r w:rsidRPr="00FF70BA">
        <w:rPr>
          <w:rFonts w:asciiTheme="majorBidi" w:hAnsiTheme="majorBidi" w:cstheme="majorBidi"/>
          <w:sz w:val="24"/>
          <w:szCs w:val="24"/>
        </w:rPr>
        <w:t xml:space="preserve"> : l’exigence de fonds propres. Les établissements devront disposer</w:t>
      </w:r>
      <w:r w:rsidR="003010CC" w:rsidRPr="00FF70BA">
        <w:rPr>
          <w:rFonts w:asciiTheme="majorBidi" w:hAnsiTheme="majorBidi" w:cstheme="majorBidi"/>
          <w:sz w:val="24"/>
          <w:szCs w:val="24"/>
        </w:rPr>
        <w:t xml:space="preserve"> </w:t>
      </w:r>
      <w:r w:rsidRPr="00FF70BA">
        <w:rPr>
          <w:rFonts w:asciiTheme="majorBidi" w:hAnsiTheme="majorBidi" w:cstheme="majorBidi"/>
          <w:sz w:val="24"/>
          <w:szCs w:val="24"/>
        </w:rPr>
        <w:t>d’un montant de fonds propres au moins égal à la somme des montants</w:t>
      </w:r>
      <w:r w:rsidR="003010CC" w:rsidRPr="00FF70BA">
        <w:rPr>
          <w:rFonts w:asciiTheme="majorBidi" w:hAnsiTheme="majorBidi" w:cstheme="majorBidi"/>
          <w:sz w:val="24"/>
          <w:szCs w:val="24"/>
        </w:rPr>
        <w:t xml:space="preserve"> </w:t>
      </w:r>
      <w:r w:rsidRPr="00FF70BA">
        <w:rPr>
          <w:rFonts w:asciiTheme="majorBidi" w:hAnsiTheme="majorBidi" w:cstheme="majorBidi"/>
          <w:sz w:val="24"/>
          <w:szCs w:val="24"/>
        </w:rPr>
        <w:t>calculés selon l’une des méthodes proposées pour chacune des catégories de</w:t>
      </w:r>
      <w:r w:rsidR="003010CC" w:rsidRPr="00FF70BA">
        <w:rPr>
          <w:rFonts w:asciiTheme="majorBidi" w:hAnsiTheme="majorBidi" w:cstheme="majorBidi"/>
          <w:sz w:val="24"/>
          <w:szCs w:val="24"/>
        </w:rPr>
        <w:t xml:space="preserve"> </w:t>
      </w:r>
      <w:r w:rsidRPr="00FF70BA">
        <w:rPr>
          <w:rFonts w:asciiTheme="majorBidi" w:hAnsiTheme="majorBidi" w:cstheme="majorBidi"/>
          <w:sz w:val="24"/>
          <w:szCs w:val="24"/>
        </w:rPr>
        <w:t>risque (risque de crédit, risque de marché, risque opérationnel) ;</w:t>
      </w:r>
    </w:p>
    <w:p w:rsidR="00B36A78" w:rsidRPr="00FF70BA" w:rsidRDefault="00B36A78"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 xml:space="preserve">- </w:t>
      </w:r>
      <w:r w:rsidRPr="00FF70BA">
        <w:rPr>
          <w:rFonts w:asciiTheme="majorBidi" w:hAnsiTheme="majorBidi" w:cstheme="majorBidi"/>
          <w:b/>
          <w:bCs/>
          <w:sz w:val="24"/>
          <w:szCs w:val="24"/>
        </w:rPr>
        <w:t>Pilier 2 :</w:t>
      </w:r>
      <w:r w:rsidRPr="00FF70BA">
        <w:rPr>
          <w:rFonts w:asciiTheme="majorBidi" w:hAnsiTheme="majorBidi" w:cstheme="majorBidi"/>
          <w:sz w:val="24"/>
          <w:szCs w:val="24"/>
        </w:rPr>
        <w:t xml:space="preserve"> le processus de surveillance prudentielle. Les autorités disposeront de</w:t>
      </w:r>
      <w:r w:rsidR="003010CC" w:rsidRPr="00FF70BA">
        <w:rPr>
          <w:rFonts w:asciiTheme="majorBidi" w:hAnsiTheme="majorBidi" w:cstheme="majorBidi"/>
          <w:sz w:val="24"/>
          <w:szCs w:val="24"/>
        </w:rPr>
        <w:t xml:space="preserve"> </w:t>
      </w:r>
      <w:r w:rsidRPr="00FF70BA">
        <w:rPr>
          <w:rFonts w:asciiTheme="majorBidi" w:hAnsiTheme="majorBidi" w:cstheme="majorBidi"/>
          <w:sz w:val="24"/>
          <w:szCs w:val="24"/>
        </w:rPr>
        <w:t>pouvoirs renforcés et pourront en particulier imposer au cas par cas des</w:t>
      </w:r>
      <w:r w:rsidR="003010CC" w:rsidRPr="00FF70BA">
        <w:rPr>
          <w:rFonts w:asciiTheme="majorBidi" w:hAnsiTheme="majorBidi" w:cstheme="majorBidi"/>
          <w:sz w:val="24"/>
          <w:szCs w:val="24"/>
        </w:rPr>
        <w:t xml:space="preserve"> </w:t>
      </w:r>
      <w:r w:rsidRPr="00FF70BA">
        <w:rPr>
          <w:rFonts w:asciiTheme="majorBidi" w:hAnsiTheme="majorBidi" w:cstheme="majorBidi"/>
          <w:sz w:val="24"/>
          <w:szCs w:val="24"/>
        </w:rPr>
        <w:t>exigences de fonds propres supérieures à celle résultant de la méthode</w:t>
      </w:r>
      <w:r w:rsidR="003010CC" w:rsidRPr="00FF70BA">
        <w:rPr>
          <w:rFonts w:asciiTheme="majorBidi" w:hAnsiTheme="majorBidi" w:cstheme="majorBidi"/>
          <w:sz w:val="24"/>
          <w:szCs w:val="24"/>
        </w:rPr>
        <w:t xml:space="preserve"> </w:t>
      </w:r>
      <w:r w:rsidRPr="00FF70BA">
        <w:rPr>
          <w:rFonts w:asciiTheme="majorBidi" w:hAnsiTheme="majorBidi" w:cstheme="majorBidi"/>
          <w:sz w:val="24"/>
          <w:szCs w:val="24"/>
        </w:rPr>
        <w:t>utilisée ;</w:t>
      </w:r>
    </w:p>
    <w:p w:rsidR="003010CC" w:rsidRPr="00FF70BA" w:rsidRDefault="00B36A78"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lastRenderedPageBreak/>
        <w:t xml:space="preserve">- </w:t>
      </w:r>
      <w:r w:rsidRPr="00FF70BA">
        <w:rPr>
          <w:rFonts w:asciiTheme="majorBidi" w:hAnsiTheme="majorBidi" w:cstheme="majorBidi"/>
          <w:b/>
          <w:bCs/>
          <w:sz w:val="24"/>
          <w:szCs w:val="24"/>
        </w:rPr>
        <w:t>Pilier 3 :</w:t>
      </w:r>
      <w:r w:rsidRPr="00FF70BA">
        <w:rPr>
          <w:rFonts w:asciiTheme="majorBidi" w:hAnsiTheme="majorBidi" w:cstheme="majorBidi"/>
          <w:sz w:val="24"/>
          <w:szCs w:val="24"/>
        </w:rPr>
        <w:t xml:space="preserve"> la discipline de marché. Les établissements étant soumis à la</w:t>
      </w:r>
      <w:r w:rsidR="003010CC" w:rsidRPr="00FF70BA">
        <w:rPr>
          <w:rFonts w:asciiTheme="majorBidi" w:hAnsiTheme="majorBidi" w:cstheme="majorBidi"/>
          <w:sz w:val="24"/>
          <w:szCs w:val="24"/>
        </w:rPr>
        <w:t xml:space="preserve"> </w:t>
      </w:r>
      <w:r w:rsidRPr="00FF70BA">
        <w:rPr>
          <w:rFonts w:asciiTheme="majorBidi" w:hAnsiTheme="majorBidi" w:cstheme="majorBidi"/>
          <w:sz w:val="24"/>
          <w:szCs w:val="24"/>
        </w:rPr>
        <w:t>discipline de marché seront tenus de publier des informations très complètes</w:t>
      </w:r>
      <w:r w:rsidR="003010CC" w:rsidRPr="00FF70BA">
        <w:rPr>
          <w:rFonts w:asciiTheme="majorBidi" w:hAnsiTheme="majorBidi" w:cstheme="majorBidi"/>
          <w:sz w:val="24"/>
          <w:szCs w:val="24"/>
        </w:rPr>
        <w:t xml:space="preserve"> </w:t>
      </w:r>
      <w:r w:rsidRPr="00FF70BA">
        <w:rPr>
          <w:rFonts w:asciiTheme="majorBidi" w:hAnsiTheme="majorBidi" w:cstheme="majorBidi"/>
          <w:sz w:val="24"/>
          <w:szCs w:val="24"/>
        </w:rPr>
        <w:t>sur la nature, le volume et les méthodes de gestion de leurs risques, ainsi que</w:t>
      </w:r>
      <w:r w:rsidR="003010CC" w:rsidRPr="00FF70BA">
        <w:rPr>
          <w:rFonts w:asciiTheme="majorBidi" w:hAnsiTheme="majorBidi" w:cstheme="majorBidi"/>
          <w:sz w:val="24"/>
          <w:szCs w:val="24"/>
        </w:rPr>
        <w:t xml:space="preserve"> </w:t>
      </w:r>
      <w:r w:rsidRPr="00FF70BA">
        <w:rPr>
          <w:rFonts w:asciiTheme="majorBidi" w:hAnsiTheme="majorBidi" w:cstheme="majorBidi"/>
          <w:sz w:val="24"/>
          <w:szCs w:val="24"/>
        </w:rPr>
        <w:t>sur l’adéquation de leurs fonds propres.</w:t>
      </w:r>
    </w:p>
    <w:p w:rsidR="00AF4B07" w:rsidRPr="00FF70BA" w:rsidRDefault="003010CC"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ab/>
        <w:t>Les nouvelles règles vont donc encourager une meilleure gestion du risque et du capital par les banques. L’interaction croissante entre le secteur bancaire et le secteur de l’assurance ainsi que la mise en place de cet accord ont fait de la solvabilité en assurance une préoccupation majeure de l’union européenne dans le cadre du projet de réforme «SolvencyII».</w:t>
      </w:r>
    </w:p>
    <w:p w:rsidR="00AF4B07" w:rsidRPr="00FF70BA" w:rsidRDefault="005724E5"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ab/>
      </w:r>
      <w:r w:rsidR="00AF4B07" w:rsidRPr="00FF70BA">
        <w:rPr>
          <w:rFonts w:asciiTheme="majorBidi" w:hAnsiTheme="majorBidi" w:cstheme="majorBidi"/>
          <w:sz w:val="24"/>
          <w:szCs w:val="24"/>
        </w:rPr>
        <w:t>En termes de projet, les deux réglementations présentent trois chapitres portant les mêmes noms et à peu près les mêmes concepts, bien entendu les similitudes s’arrêtent là car les spécificités des métiers de la banque et de l’assurance prennent les pas dans le détail des trois piliers</w:t>
      </w:r>
      <w:r w:rsidRPr="00FF70BA">
        <w:rPr>
          <w:rFonts w:asciiTheme="majorBidi" w:hAnsiTheme="majorBidi" w:cstheme="majorBidi"/>
          <w:sz w:val="24"/>
          <w:szCs w:val="24"/>
        </w:rPr>
        <w:t>.</w:t>
      </w:r>
      <w:r w:rsidR="00AF4B07" w:rsidRPr="00FF70BA">
        <w:rPr>
          <w:rFonts w:asciiTheme="majorBidi" w:hAnsiTheme="majorBidi" w:cstheme="majorBidi"/>
          <w:sz w:val="24"/>
          <w:szCs w:val="24"/>
        </w:rPr>
        <w:t xml:space="preserve"> </w:t>
      </w:r>
      <w:r w:rsidRPr="00FF70BA">
        <w:rPr>
          <w:rFonts w:asciiTheme="majorBidi" w:hAnsiTheme="majorBidi" w:cstheme="majorBidi"/>
          <w:sz w:val="24"/>
          <w:szCs w:val="24"/>
        </w:rPr>
        <w:t>Par</w:t>
      </w:r>
      <w:r w:rsidR="00AF4B07" w:rsidRPr="00FF70BA">
        <w:rPr>
          <w:rFonts w:asciiTheme="majorBidi" w:hAnsiTheme="majorBidi" w:cstheme="majorBidi"/>
          <w:sz w:val="24"/>
          <w:szCs w:val="24"/>
        </w:rPr>
        <w:t xml:space="preserve"> exemple  le premier pilier qui se base sur les risques encourus par les banques (risque de marché, risque de crédit et risque opérationnel) ne peut être transposable tel quel aux compagnies d’assurance. En effet un organisme assureur n’est pas soumis aux mêmes risques qu’une banque. </w:t>
      </w:r>
    </w:p>
    <w:p w:rsidR="006E36BC" w:rsidRPr="00FF70BA" w:rsidRDefault="006E36BC" w:rsidP="009A09C5">
      <w:pPr>
        <w:autoSpaceDE w:val="0"/>
        <w:autoSpaceDN w:val="0"/>
        <w:adjustRightInd w:val="0"/>
        <w:spacing w:after="0" w:line="240" w:lineRule="auto"/>
        <w:jc w:val="both"/>
        <w:rPr>
          <w:rFonts w:asciiTheme="majorBidi" w:hAnsiTheme="majorBidi" w:cstheme="majorBidi"/>
          <w:sz w:val="24"/>
          <w:szCs w:val="24"/>
        </w:rPr>
      </w:pPr>
    </w:p>
    <w:p w:rsidR="00F97BAA" w:rsidRDefault="008E2380" w:rsidP="006B0558">
      <w:pPr>
        <w:pStyle w:val="Paragraphedeliste"/>
        <w:numPr>
          <w:ilvl w:val="2"/>
          <w:numId w:val="1"/>
        </w:numPr>
        <w:autoSpaceDE w:val="0"/>
        <w:autoSpaceDN w:val="0"/>
        <w:adjustRightInd w:val="0"/>
        <w:spacing w:after="0" w:line="360" w:lineRule="auto"/>
        <w:ind w:left="0" w:firstLine="0"/>
        <w:jc w:val="both"/>
        <w:rPr>
          <w:rFonts w:asciiTheme="majorBidi" w:hAnsiTheme="majorBidi" w:cstheme="majorBidi"/>
          <w:b/>
          <w:bCs/>
          <w:sz w:val="28"/>
          <w:szCs w:val="28"/>
          <w:lang w:val="en-US"/>
        </w:rPr>
      </w:pPr>
      <w:r w:rsidRPr="00FF70BA">
        <w:rPr>
          <w:rFonts w:asciiTheme="majorBidi" w:hAnsiTheme="majorBidi" w:cstheme="majorBidi"/>
          <w:b/>
          <w:bCs/>
          <w:sz w:val="24"/>
          <w:szCs w:val="24"/>
        </w:rPr>
        <w:t xml:space="preserve"> </w:t>
      </w:r>
      <w:r w:rsidRPr="00FF70BA">
        <w:rPr>
          <w:rFonts w:asciiTheme="majorBidi" w:hAnsiTheme="majorBidi" w:cstheme="majorBidi"/>
          <w:b/>
          <w:bCs/>
          <w:sz w:val="28"/>
          <w:szCs w:val="28"/>
          <w:lang w:val="en-US"/>
        </w:rPr>
        <w:t>Le Swiss Solvency Test (SST)</w:t>
      </w:r>
    </w:p>
    <w:p w:rsidR="009A09C5" w:rsidRPr="009A09C5" w:rsidRDefault="009A09C5" w:rsidP="009A09C5">
      <w:pPr>
        <w:autoSpaceDE w:val="0"/>
        <w:autoSpaceDN w:val="0"/>
        <w:adjustRightInd w:val="0"/>
        <w:spacing w:after="0" w:line="240" w:lineRule="auto"/>
        <w:jc w:val="both"/>
        <w:rPr>
          <w:rFonts w:asciiTheme="majorBidi" w:hAnsiTheme="majorBidi" w:cstheme="majorBidi"/>
          <w:b/>
          <w:bCs/>
          <w:sz w:val="28"/>
          <w:szCs w:val="28"/>
          <w:lang w:val="en-US"/>
        </w:rPr>
      </w:pPr>
    </w:p>
    <w:p w:rsidR="00554633" w:rsidRPr="00FF70BA" w:rsidRDefault="008E2380"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b/>
          <w:bCs/>
          <w:sz w:val="24"/>
          <w:szCs w:val="24"/>
          <w:lang w:val="en-US"/>
        </w:rPr>
        <w:tab/>
      </w:r>
      <w:r w:rsidR="00F94157" w:rsidRPr="00FF70BA">
        <w:rPr>
          <w:rFonts w:asciiTheme="majorBidi" w:hAnsiTheme="majorBidi" w:cstheme="majorBidi"/>
          <w:sz w:val="24"/>
          <w:szCs w:val="24"/>
        </w:rPr>
        <w:t>En application depuis le 1</w:t>
      </w:r>
      <w:r w:rsidR="00F94157" w:rsidRPr="00FF70BA">
        <w:rPr>
          <w:rFonts w:asciiTheme="majorBidi" w:hAnsiTheme="majorBidi" w:cstheme="majorBidi"/>
          <w:sz w:val="24"/>
          <w:szCs w:val="24"/>
          <w:vertAlign w:val="superscript"/>
        </w:rPr>
        <w:t>er</w:t>
      </w:r>
      <w:r w:rsidR="00554633" w:rsidRPr="00FF70BA">
        <w:rPr>
          <w:rFonts w:asciiTheme="majorBidi" w:hAnsiTheme="majorBidi" w:cstheme="majorBidi"/>
          <w:sz w:val="24"/>
          <w:szCs w:val="24"/>
        </w:rPr>
        <w:t xml:space="preserve"> Janvier 2011</w:t>
      </w:r>
      <w:r w:rsidR="00F94157" w:rsidRPr="00FF70BA">
        <w:rPr>
          <w:rFonts w:asciiTheme="majorBidi" w:hAnsiTheme="majorBidi" w:cstheme="majorBidi"/>
          <w:sz w:val="24"/>
          <w:szCs w:val="24"/>
        </w:rPr>
        <w:t>, le SST est le pendant suisse de solvency II</w:t>
      </w:r>
      <w:r w:rsidR="00554633" w:rsidRPr="00FF70BA">
        <w:rPr>
          <w:rFonts w:asciiTheme="majorBidi" w:hAnsiTheme="majorBidi" w:cstheme="majorBidi"/>
          <w:sz w:val="24"/>
          <w:szCs w:val="24"/>
        </w:rPr>
        <w:t>, il</w:t>
      </w:r>
      <w:r w:rsidR="00F94157" w:rsidRPr="00FF70BA">
        <w:rPr>
          <w:rFonts w:asciiTheme="majorBidi" w:hAnsiTheme="majorBidi" w:cstheme="majorBidi"/>
          <w:sz w:val="24"/>
          <w:szCs w:val="24"/>
        </w:rPr>
        <w:t xml:space="preserve">  s’accorde énormément avec les réflexions menées pour l’élaboration des normes Solvency II. Il est particulièrement intéressant parce qu’il propose des lois pour modéliser chaque risque</w:t>
      </w:r>
      <w:r w:rsidR="00554633" w:rsidRPr="00FF70BA">
        <w:rPr>
          <w:rFonts w:asciiTheme="majorBidi" w:hAnsiTheme="majorBidi" w:cstheme="majorBidi"/>
          <w:sz w:val="24"/>
          <w:szCs w:val="24"/>
        </w:rPr>
        <w:t>.</w:t>
      </w:r>
    </w:p>
    <w:p w:rsidR="0013154F" w:rsidRDefault="006E36BC" w:rsidP="00D71BCA">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ab/>
      </w:r>
      <w:r w:rsidR="00554633" w:rsidRPr="00FF70BA">
        <w:rPr>
          <w:rFonts w:asciiTheme="majorBidi" w:hAnsiTheme="majorBidi" w:cstheme="majorBidi"/>
          <w:sz w:val="24"/>
          <w:szCs w:val="24"/>
        </w:rPr>
        <w:t>L’OFAP (Office Fédéral des Assurances Privées) a commencé le développement du</w:t>
      </w:r>
      <w:r w:rsidR="006E10AE" w:rsidRPr="00FF70BA">
        <w:rPr>
          <w:rFonts w:asciiTheme="majorBidi" w:hAnsiTheme="majorBidi" w:cstheme="majorBidi"/>
          <w:sz w:val="24"/>
          <w:szCs w:val="24"/>
        </w:rPr>
        <w:t xml:space="preserve"> </w:t>
      </w:r>
      <w:r w:rsidR="00554633" w:rsidRPr="00FF70BA">
        <w:rPr>
          <w:rFonts w:asciiTheme="majorBidi" w:hAnsiTheme="majorBidi" w:cstheme="majorBidi"/>
          <w:sz w:val="24"/>
          <w:szCs w:val="24"/>
        </w:rPr>
        <w:t>SST au printemps 2003. Le SST s’inspire des développements internationaux, tout en tenant compte des spécificités du marché suisse. Il a également été conçu dans un souci de compatibilité avec les futures normes Solvency II, ou du moins avec ses aspects connus. Mais comme la Suisse commencera l’introduction du SST avant l’UE, elle jouera un rôle de pionnier en Europe.</w:t>
      </w:r>
      <w:r w:rsidR="006E10AE" w:rsidRPr="00FF70BA">
        <w:rPr>
          <w:rFonts w:asciiTheme="majorBidi" w:hAnsiTheme="majorBidi" w:cstheme="majorBidi"/>
          <w:sz w:val="24"/>
          <w:szCs w:val="24"/>
        </w:rPr>
        <w:t xml:space="preserve"> Les principes mis en place sont très proches des réflexions de Solvency II. Comme pour Solvency II, un modèle standard est proposé comme dénominateur commun, mais le SST encourage les assureurs à développer des modèles internes (dans un cadre prédéfini) qu’ils complèteront par des scénarios. Le capital des assureurs doit être évalué sous deux angles différents : la solvabilité minimale (comparable au MCR pour Solvency II) et le capital cible (rappel le SCR pour Solvency II). Enfin, un troisième montant : le « débit de la fortune liée » est calculé et correspond au capital nécessaire pour le rachat complet du portefeuille de la compagnie par une compagnie tier</w:t>
      </w:r>
      <w:r w:rsidR="00D71BCA">
        <w:rPr>
          <w:rFonts w:asciiTheme="majorBidi" w:hAnsiTheme="majorBidi" w:cstheme="majorBidi"/>
          <w:sz w:val="24"/>
          <w:szCs w:val="24"/>
        </w:rPr>
        <w:t>ce dans un scénario de faillite</w:t>
      </w:r>
    </w:p>
    <w:p w:rsidR="00D71BCA" w:rsidRPr="00FF70BA" w:rsidRDefault="00D71BCA" w:rsidP="00D71BCA">
      <w:pPr>
        <w:autoSpaceDE w:val="0"/>
        <w:autoSpaceDN w:val="0"/>
        <w:adjustRightInd w:val="0"/>
        <w:spacing w:after="0" w:line="360" w:lineRule="auto"/>
        <w:jc w:val="both"/>
        <w:rPr>
          <w:rFonts w:asciiTheme="majorBidi" w:hAnsiTheme="majorBidi" w:cstheme="majorBidi"/>
          <w:sz w:val="24"/>
          <w:szCs w:val="24"/>
        </w:rPr>
      </w:pPr>
    </w:p>
    <w:p w:rsidR="006E36BC" w:rsidRPr="00FF70BA" w:rsidRDefault="006E36BC"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ab/>
        <w:t>Le but du SST est d’atteindre deux objectifs :</w:t>
      </w:r>
    </w:p>
    <w:p w:rsidR="006E36BC" w:rsidRPr="00FF70BA" w:rsidRDefault="006E36BC" w:rsidP="006B0558">
      <w:pPr>
        <w:pStyle w:val="Paragraphedeliste"/>
        <w:numPr>
          <w:ilvl w:val="0"/>
          <w:numId w:val="4"/>
        </w:numPr>
        <w:autoSpaceDE w:val="0"/>
        <w:autoSpaceDN w:val="0"/>
        <w:adjustRightInd w:val="0"/>
        <w:spacing w:after="0" w:line="360" w:lineRule="auto"/>
        <w:ind w:left="0" w:firstLine="0"/>
        <w:jc w:val="both"/>
        <w:rPr>
          <w:rFonts w:asciiTheme="majorBidi" w:hAnsiTheme="majorBidi" w:cstheme="majorBidi"/>
          <w:sz w:val="24"/>
          <w:szCs w:val="24"/>
        </w:rPr>
      </w:pPr>
      <w:r w:rsidRPr="00FF70BA">
        <w:rPr>
          <w:rFonts w:asciiTheme="majorBidi" w:hAnsiTheme="majorBidi" w:cstheme="majorBidi"/>
          <w:sz w:val="24"/>
          <w:szCs w:val="24"/>
        </w:rPr>
        <w:t xml:space="preserve"> Encourager la gestion des risques dans les entreprises d’assurance. Le résultat du</w:t>
      </w:r>
    </w:p>
    <w:p w:rsidR="006E36BC" w:rsidRPr="00FF70BA" w:rsidRDefault="006E36BC"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SST n’est pas uniquement le calcul d’un capital cible. En effet, ce qui est tout aussi important est de connaître les résultats intermédiaires, les méthodes utilisées ainsi que les hypothèses sous jacentes.</w:t>
      </w:r>
    </w:p>
    <w:p w:rsidR="000B5D03" w:rsidRPr="00FF70BA" w:rsidRDefault="006E36BC" w:rsidP="006B0558">
      <w:pPr>
        <w:pStyle w:val="Paragraphedeliste"/>
        <w:numPr>
          <w:ilvl w:val="0"/>
          <w:numId w:val="4"/>
        </w:numPr>
        <w:autoSpaceDE w:val="0"/>
        <w:autoSpaceDN w:val="0"/>
        <w:adjustRightInd w:val="0"/>
        <w:spacing w:after="0" w:line="360" w:lineRule="auto"/>
        <w:ind w:left="0" w:firstLine="0"/>
        <w:jc w:val="both"/>
        <w:rPr>
          <w:rFonts w:asciiTheme="majorBidi" w:hAnsiTheme="majorBidi" w:cstheme="majorBidi"/>
          <w:sz w:val="24"/>
          <w:szCs w:val="24"/>
        </w:rPr>
      </w:pPr>
      <w:r w:rsidRPr="00FF70BA">
        <w:rPr>
          <w:rFonts w:asciiTheme="majorBidi" w:hAnsiTheme="majorBidi" w:cstheme="majorBidi"/>
          <w:sz w:val="24"/>
          <w:szCs w:val="24"/>
        </w:rPr>
        <w:t xml:space="preserve"> Le capital cible est un avertisseur. En effet, si le capital supposé couvrir le risque est insuffisant, cela n’implique pas l’insolvabilité de la compagnie. Il suffira donc de réduire ses risques ou de combler ce capital manquant.</w:t>
      </w:r>
    </w:p>
    <w:p w:rsidR="000B5D03" w:rsidRPr="00FF70BA" w:rsidRDefault="000B5D03" w:rsidP="006B0558">
      <w:pPr>
        <w:spacing w:line="360" w:lineRule="auto"/>
        <w:jc w:val="both"/>
        <w:rPr>
          <w:rFonts w:asciiTheme="majorBidi" w:hAnsiTheme="majorBidi" w:cstheme="majorBidi"/>
          <w:sz w:val="24"/>
          <w:szCs w:val="24"/>
        </w:rPr>
      </w:pPr>
      <w:r w:rsidRPr="00FF70BA">
        <w:rPr>
          <w:rFonts w:asciiTheme="majorBidi" w:hAnsiTheme="majorBidi" w:cstheme="majorBidi"/>
          <w:sz w:val="24"/>
          <w:szCs w:val="24"/>
        </w:rPr>
        <w:br w:type="page"/>
      </w:r>
    </w:p>
    <w:p w:rsidR="008D60BA" w:rsidRPr="00FF70BA" w:rsidRDefault="00496ADC" w:rsidP="006B0558">
      <w:pPr>
        <w:pStyle w:val="Paragraphedeliste"/>
        <w:autoSpaceDE w:val="0"/>
        <w:autoSpaceDN w:val="0"/>
        <w:adjustRightInd w:val="0"/>
        <w:spacing w:after="0" w:line="360" w:lineRule="auto"/>
        <w:ind w:left="0"/>
        <w:jc w:val="both"/>
        <w:rPr>
          <w:rFonts w:asciiTheme="majorBidi" w:hAnsiTheme="majorBidi" w:cstheme="majorBidi"/>
          <w:b/>
          <w:bCs/>
          <w:sz w:val="32"/>
          <w:szCs w:val="32"/>
        </w:rPr>
      </w:pPr>
      <w:r w:rsidRPr="00FF70BA">
        <w:rPr>
          <w:rFonts w:asciiTheme="majorBidi" w:hAnsiTheme="majorBidi" w:cstheme="majorBidi"/>
          <w:b/>
          <w:bCs/>
          <w:sz w:val="32"/>
          <w:szCs w:val="32"/>
        </w:rPr>
        <w:lastRenderedPageBreak/>
        <w:t>SECTION 2</w:t>
      </w:r>
      <w:r w:rsidR="000B5D03" w:rsidRPr="00FF70BA">
        <w:rPr>
          <w:rFonts w:asciiTheme="majorBidi" w:hAnsiTheme="majorBidi" w:cstheme="majorBidi"/>
          <w:b/>
          <w:bCs/>
          <w:sz w:val="32"/>
          <w:szCs w:val="32"/>
        </w:rPr>
        <w:t>:</w:t>
      </w:r>
      <w:r w:rsidR="000B5D03" w:rsidRPr="00FF70BA">
        <w:rPr>
          <w:rFonts w:asciiTheme="majorBidi" w:hAnsiTheme="majorBidi" w:cstheme="majorBidi"/>
          <w:sz w:val="32"/>
          <w:szCs w:val="32"/>
        </w:rPr>
        <w:t xml:space="preserve"> </w:t>
      </w:r>
      <w:r w:rsidR="000B5D03" w:rsidRPr="00FF70BA">
        <w:rPr>
          <w:rFonts w:asciiTheme="majorBidi" w:hAnsiTheme="majorBidi" w:cstheme="majorBidi"/>
          <w:b/>
          <w:bCs/>
          <w:sz w:val="32"/>
          <w:szCs w:val="32"/>
        </w:rPr>
        <w:t>L’ARCHITECTURE SELON LES TROIS PILIERS</w:t>
      </w:r>
    </w:p>
    <w:p w:rsidR="00AC59C0" w:rsidRDefault="00496ADC" w:rsidP="006B0558">
      <w:pPr>
        <w:pStyle w:val="Paragraphedeliste"/>
        <w:autoSpaceDE w:val="0"/>
        <w:autoSpaceDN w:val="0"/>
        <w:adjustRightInd w:val="0"/>
        <w:spacing w:after="0" w:line="360" w:lineRule="auto"/>
        <w:ind w:left="0"/>
        <w:jc w:val="both"/>
        <w:rPr>
          <w:rFonts w:asciiTheme="majorBidi" w:hAnsiTheme="majorBidi" w:cstheme="majorBidi"/>
          <w:sz w:val="24"/>
          <w:szCs w:val="24"/>
        </w:rPr>
      </w:pPr>
      <w:r w:rsidRPr="00FF70BA">
        <w:rPr>
          <w:rFonts w:asciiTheme="majorBidi" w:hAnsiTheme="majorBidi" w:cstheme="majorBidi"/>
          <w:sz w:val="24"/>
          <w:szCs w:val="24"/>
        </w:rPr>
        <w:tab/>
      </w:r>
      <w:r w:rsidR="003254E0" w:rsidRPr="00FF70BA">
        <w:rPr>
          <w:rFonts w:asciiTheme="majorBidi" w:hAnsiTheme="majorBidi" w:cstheme="majorBidi"/>
          <w:sz w:val="24"/>
          <w:szCs w:val="24"/>
        </w:rPr>
        <w:t>Le nouveau régime de solvabilité est fondé sur une structure à trois piliers qui s’articulera de la manière suivante:</w:t>
      </w:r>
    </w:p>
    <w:p w:rsidR="00F97BAA" w:rsidRPr="00FF70BA" w:rsidRDefault="009C5AC6" w:rsidP="006B0558">
      <w:pPr>
        <w:pStyle w:val="Paragraphedeliste"/>
        <w:autoSpaceDE w:val="0"/>
        <w:autoSpaceDN w:val="0"/>
        <w:adjustRightInd w:val="0"/>
        <w:spacing w:after="0" w:line="360" w:lineRule="auto"/>
        <w:ind w:left="0"/>
        <w:jc w:val="both"/>
        <w:rPr>
          <w:rFonts w:asciiTheme="majorBidi" w:hAnsiTheme="majorBidi" w:cstheme="majorBidi"/>
          <w:sz w:val="24"/>
          <w:szCs w:val="24"/>
        </w:rPr>
      </w:pPr>
      <w:r>
        <w:rPr>
          <w:rFonts w:asciiTheme="majorBidi" w:hAnsiTheme="majorBidi" w:cstheme="majorBidi"/>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9" type="#_x0000_t5" style="position:absolute;left:0;text-align:left;margin-left:35.2pt;margin-top:-.2pt;width:344.7pt;height:27pt;z-index:251659776" fillcolor="#b2a1c7 [1943]" strokecolor="#8064a2 [3207]" strokeweight="1pt">
            <v:fill color2="#8064a2 [3207]" focus="50%" type="gradient"/>
            <v:shadow on="t" type="perspective" color="#3f3151 [1607]" offset="1pt" offset2="-3pt"/>
          </v:shape>
        </w:pict>
      </w:r>
    </w:p>
    <w:p w:rsidR="00F97BAA" w:rsidRPr="00FF70BA" w:rsidRDefault="00F97BAA" w:rsidP="006B0558">
      <w:pPr>
        <w:framePr w:w="2024" w:h="3346" w:hRule="exact" w:wrap="auto" w:vAnchor="page" w:hAnchor="page" w:x="2176" w:y="4141"/>
        <w:widowControl w:val="0"/>
        <w:autoSpaceDE w:val="0"/>
        <w:autoSpaceDN w:val="0"/>
        <w:adjustRightInd w:val="0"/>
        <w:snapToGrid w:val="0"/>
        <w:spacing w:after="0" w:line="360" w:lineRule="auto"/>
        <w:jc w:val="center"/>
        <w:rPr>
          <w:rFonts w:asciiTheme="majorBidi" w:hAnsiTheme="majorBidi" w:cstheme="majorBidi"/>
          <w:b/>
          <w:bCs/>
          <w:color w:val="231F20"/>
          <w:sz w:val="18"/>
          <w:szCs w:val="18"/>
        </w:rPr>
      </w:pPr>
      <w:r w:rsidRPr="00FF70BA">
        <w:rPr>
          <w:rFonts w:asciiTheme="majorBidi" w:hAnsiTheme="majorBidi" w:cstheme="majorBidi"/>
          <w:b/>
          <w:bCs/>
          <w:color w:val="231F20"/>
          <w:sz w:val="18"/>
          <w:szCs w:val="18"/>
        </w:rPr>
        <w:t>1</w:t>
      </w:r>
      <w:r w:rsidRPr="00FF70BA">
        <w:rPr>
          <w:rFonts w:asciiTheme="majorBidi" w:hAnsiTheme="majorBidi" w:cstheme="majorBidi"/>
          <w:b/>
          <w:bCs/>
          <w:color w:val="231F20"/>
          <w:sz w:val="18"/>
          <w:szCs w:val="18"/>
          <w:vertAlign w:val="superscript"/>
        </w:rPr>
        <w:t xml:space="preserve">er </w:t>
      </w:r>
      <w:r w:rsidRPr="00FF70BA">
        <w:rPr>
          <w:rFonts w:asciiTheme="majorBidi" w:hAnsiTheme="majorBidi" w:cstheme="majorBidi"/>
          <w:b/>
          <w:bCs/>
          <w:color w:val="231F20"/>
          <w:sz w:val="18"/>
          <w:szCs w:val="18"/>
        </w:rPr>
        <w:t>pilier</w:t>
      </w:r>
    </w:p>
    <w:p w:rsidR="00F97BAA" w:rsidRPr="00FF70BA" w:rsidRDefault="00F97BAA" w:rsidP="006B0558">
      <w:pPr>
        <w:framePr w:w="2024" w:h="3346" w:hRule="exact" w:wrap="auto" w:vAnchor="page" w:hAnchor="page" w:x="2176" w:y="4141"/>
        <w:widowControl w:val="0"/>
        <w:autoSpaceDE w:val="0"/>
        <w:autoSpaceDN w:val="0"/>
        <w:adjustRightInd w:val="0"/>
        <w:snapToGrid w:val="0"/>
        <w:spacing w:after="0" w:line="360" w:lineRule="auto"/>
        <w:jc w:val="center"/>
        <w:rPr>
          <w:rFonts w:asciiTheme="majorBidi" w:hAnsiTheme="majorBidi" w:cstheme="majorBidi"/>
          <w:b/>
          <w:bCs/>
          <w:color w:val="231F20"/>
          <w:sz w:val="18"/>
          <w:szCs w:val="18"/>
        </w:rPr>
      </w:pPr>
      <w:r w:rsidRPr="00FF70BA">
        <w:rPr>
          <w:rFonts w:asciiTheme="majorBidi" w:hAnsiTheme="majorBidi" w:cstheme="majorBidi"/>
          <w:b/>
          <w:bCs/>
          <w:color w:val="231F20"/>
          <w:sz w:val="18"/>
          <w:szCs w:val="18"/>
        </w:rPr>
        <w:t>Exigences quantitatives</w:t>
      </w:r>
    </w:p>
    <w:p w:rsidR="00F97BAA" w:rsidRPr="00FF70BA" w:rsidRDefault="00F97BAA" w:rsidP="006B0558">
      <w:pPr>
        <w:framePr w:w="2024" w:h="3346" w:hRule="exact" w:wrap="auto" w:vAnchor="page" w:hAnchor="page" w:x="2176" w:y="4141"/>
        <w:widowControl w:val="0"/>
        <w:autoSpaceDE w:val="0"/>
        <w:autoSpaceDN w:val="0"/>
        <w:adjustRightInd w:val="0"/>
        <w:snapToGrid w:val="0"/>
        <w:spacing w:after="0" w:line="360" w:lineRule="auto"/>
        <w:jc w:val="both"/>
        <w:rPr>
          <w:rFonts w:asciiTheme="majorBidi" w:hAnsiTheme="majorBidi" w:cstheme="majorBidi"/>
          <w:b/>
          <w:bCs/>
          <w:color w:val="231F20"/>
          <w:sz w:val="18"/>
          <w:szCs w:val="18"/>
        </w:rPr>
      </w:pPr>
    </w:p>
    <w:p w:rsidR="00F97BAA" w:rsidRPr="00FF70BA" w:rsidRDefault="00F97BAA" w:rsidP="006B0558">
      <w:pPr>
        <w:framePr w:w="2024" w:h="3346" w:hRule="exact" w:wrap="auto" w:vAnchor="page" w:hAnchor="page" w:x="2176" w:y="4141"/>
        <w:widowControl w:val="0"/>
        <w:autoSpaceDE w:val="0"/>
        <w:autoSpaceDN w:val="0"/>
        <w:adjustRightInd w:val="0"/>
        <w:snapToGrid w:val="0"/>
        <w:spacing w:after="0" w:line="360" w:lineRule="auto"/>
        <w:jc w:val="both"/>
        <w:rPr>
          <w:rFonts w:asciiTheme="majorBidi" w:hAnsiTheme="majorBidi" w:cstheme="majorBidi"/>
          <w:sz w:val="18"/>
          <w:szCs w:val="18"/>
        </w:rPr>
      </w:pPr>
      <w:r w:rsidRPr="00FF70BA">
        <w:rPr>
          <w:rFonts w:asciiTheme="majorBidi" w:hAnsiTheme="majorBidi" w:cstheme="majorBidi"/>
          <w:color w:val="231F20"/>
          <w:sz w:val="18"/>
          <w:szCs w:val="18"/>
        </w:rPr>
        <w:t>Éléments du calcul des  provisions techniques</w:t>
      </w:r>
    </w:p>
    <w:p w:rsidR="00F97BAA" w:rsidRPr="00FF70BA" w:rsidRDefault="00F97BAA" w:rsidP="006B0558">
      <w:pPr>
        <w:framePr w:w="2024" w:h="3346" w:hRule="exact" w:wrap="auto" w:vAnchor="page" w:hAnchor="page" w:x="2176" w:y="4141"/>
        <w:widowControl w:val="0"/>
        <w:autoSpaceDE w:val="0"/>
        <w:autoSpaceDN w:val="0"/>
        <w:adjustRightInd w:val="0"/>
        <w:snapToGrid w:val="0"/>
        <w:spacing w:after="0" w:line="360" w:lineRule="auto"/>
        <w:jc w:val="both"/>
        <w:rPr>
          <w:rFonts w:asciiTheme="majorBidi" w:hAnsiTheme="majorBidi" w:cstheme="majorBidi"/>
          <w:sz w:val="18"/>
          <w:szCs w:val="18"/>
        </w:rPr>
      </w:pPr>
    </w:p>
    <w:p w:rsidR="00F97BAA" w:rsidRPr="00FF70BA" w:rsidRDefault="00F97BAA" w:rsidP="006B0558">
      <w:pPr>
        <w:framePr w:w="2024" w:h="3346" w:hRule="exact" w:wrap="auto" w:vAnchor="page" w:hAnchor="page" w:x="2176" w:y="4141"/>
        <w:widowControl w:val="0"/>
        <w:autoSpaceDE w:val="0"/>
        <w:autoSpaceDN w:val="0"/>
        <w:adjustRightInd w:val="0"/>
        <w:snapToGrid w:val="0"/>
        <w:spacing w:after="0" w:line="360" w:lineRule="auto"/>
        <w:jc w:val="both"/>
        <w:rPr>
          <w:rFonts w:asciiTheme="majorBidi" w:hAnsiTheme="majorBidi" w:cstheme="majorBidi"/>
          <w:sz w:val="18"/>
          <w:szCs w:val="18"/>
        </w:rPr>
      </w:pPr>
      <w:r w:rsidRPr="00FF70BA">
        <w:rPr>
          <w:rFonts w:asciiTheme="majorBidi" w:hAnsiTheme="majorBidi" w:cstheme="majorBidi"/>
          <w:color w:val="231F20"/>
          <w:sz w:val="18"/>
          <w:szCs w:val="18"/>
        </w:rPr>
        <w:t>Exigence minimale de fonds propres</w:t>
      </w:r>
    </w:p>
    <w:p w:rsidR="00F97BAA" w:rsidRPr="00FF70BA" w:rsidRDefault="00F97BAA" w:rsidP="006B0558">
      <w:pPr>
        <w:framePr w:w="2024" w:h="3346" w:hRule="exact" w:wrap="auto" w:vAnchor="page" w:hAnchor="page" w:x="2176" w:y="4141"/>
        <w:widowControl w:val="0"/>
        <w:autoSpaceDE w:val="0"/>
        <w:autoSpaceDN w:val="0"/>
        <w:adjustRightInd w:val="0"/>
        <w:snapToGrid w:val="0"/>
        <w:spacing w:after="0" w:line="360" w:lineRule="auto"/>
        <w:jc w:val="both"/>
        <w:rPr>
          <w:rFonts w:asciiTheme="majorBidi" w:hAnsiTheme="majorBidi" w:cstheme="majorBidi"/>
          <w:sz w:val="18"/>
          <w:szCs w:val="18"/>
        </w:rPr>
      </w:pPr>
    </w:p>
    <w:p w:rsidR="00F97BAA" w:rsidRPr="00FF70BA" w:rsidRDefault="00F97BAA" w:rsidP="006B0558">
      <w:pPr>
        <w:framePr w:w="2024" w:h="3346" w:hRule="exact" w:wrap="auto" w:vAnchor="page" w:hAnchor="page" w:x="2176" w:y="4141"/>
        <w:widowControl w:val="0"/>
        <w:autoSpaceDE w:val="0"/>
        <w:autoSpaceDN w:val="0"/>
        <w:adjustRightInd w:val="0"/>
        <w:snapToGrid w:val="0"/>
        <w:spacing w:after="0" w:line="360" w:lineRule="auto"/>
        <w:jc w:val="both"/>
        <w:rPr>
          <w:rFonts w:asciiTheme="majorBidi" w:hAnsiTheme="majorBidi" w:cstheme="majorBidi"/>
          <w:color w:val="231F20"/>
          <w:sz w:val="18"/>
          <w:szCs w:val="18"/>
        </w:rPr>
      </w:pPr>
      <w:r w:rsidRPr="00FF70BA">
        <w:rPr>
          <w:rFonts w:asciiTheme="majorBidi" w:hAnsiTheme="majorBidi" w:cstheme="majorBidi"/>
          <w:color w:val="231F20"/>
          <w:sz w:val="18"/>
          <w:szCs w:val="18"/>
        </w:rPr>
        <w:t>Exigence de capital  de solvabilité</w:t>
      </w:r>
    </w:p>
    <w:p w:rsidR="00F97BAA" w:rsidRPr="00FF70BA" w:rsidRDefault="00F97BAA" w:rsidP="006B0558">
      <w:pPr>
        <w:framePr w:w="2024" w:h="3346" w:hRule="exact" w:wrap="auto" w:vAnchor="page" w:hAnchor="page" w:x="2176" w:y="4141"/>
        <w:widowControl w:val="0"/>
        <w:autoSpaceDE w:val="0"/>
        <w:autoSpaceDN w:val="0"/>
        <w:adjustRightInd w:val="0"/>
        <w:snapToGrid w:val="0"/>
        <w:spacing w:after="0" w:line="360" w:lineRule="auto"/>
        <w:jc w:val="both"/>
        <w:rPr>
          <w:rFonts w:asciiTheme="majorBidi" w:hAnsiTheme="majorBidi" w:cstheme="majorBidi"/>
          <w:sz w:val="18"/>
          <w:szCs w:val="18"/>
        </w:rPr>
      </w:pPr>
      <w:r w:rsidRPr="00FF70BA">
        <w:rPr>
          <w:rFonts w:asciiTheme="majorBidi" w:hAnsiTheme="majorBidi" w:cstheme="majorBidi"/>
          <w:color w:val="231F20"/>
          <w:sz w:val="18"/>
          <w:szCs w:val="18"/>
        </w:rPr>
        <w:t>Règles d’investissement</w:t>
      </w:r>
    </w:p>
    <w:p w:rsidR="00410B8D" w:rsidRPr="00FF70BA" w:rsidRDefault="009C5AC6" w:rsidP="006B0558">
      <w:pPr>
        <w:pStyle w:val="Paragraphedeliste"/>
        <w:autoSpaceDE w:val="0"/>
        <w:autoSpaceDN w:val="0"/>
        <w:adjustRightInd w:val="0"/>
        <w:spacing w:after="0" w:line="360" w:lineRule="auto"/>
        <w:ind w:left="0"/>
        <w:jc w:val="both"/>
        <w:rPr>
          <w:rFonts w:asciiTheme="majorBidi" w:hAnsiTheme="majorBidi" w:cstheme="majorBidi"/>
          <w:sz w:val="24"/>
          <w:szCs w:val="24"/>
        </w:rPr>
      </w:pPr>
      <w:r>
        <w:rPr>
          <w:rFonts w:asciiTheme="majorBidi" w:hAnsiTheme="majorBidi" w:cstheme="majorBidi"/>
          <w:noProof/>
          <w:sz w:val="24"/>
          <w:szCs w:val="24"/>
        </w:rPr>
        <w:pict>
          <v:shape id="_x0000_s1081" style="position:absolute;left:0;text-align:left;margin-left:277.9pt;margin-top:129.35pt;width:102pt;height:180.8pt;z-index:-251655680;mso-position-horizontal-relative:margin;mso-position-vertical-relative:margin" coordsize="2040,2440" o:allowincell="f" path="m,2440r2040,l2040,,,,,2440xe" fillcolor="#b2a1c7 [1943]" strokecolor="#8064a2 [3207]" strokeweight="1pt">
            <v:fill color2="#8064a2 [3207]" focus="50%" type="gradient"/>
            <v:shadow on="t" type="perspective" color="#3f3151 [1607]" offset="1pt" offset2="-3pt"/>
            <w10:wrap anchorx="margin" anchory="margin"/>
          </v:shape>
        </w:pict>
      </w:r>
      <w:r>
        <w:rPr>
          <w:rFonts w:asciiTheme="majorBidi" w:hAnsiTheme="majorBidi" w:cstheme="majorBidi"/>
          <w:noProof/>
          <w:sz w:val="24"/>
          <w:szCs w:val="24"/>
        </w:rPr>
        <w:pict>
          <v:shape id="_x0000_s1082" style="position:absolute;left:0;text-align:left;margin-left:156.55pt;margin-top:129.35pt;width:104pt;height:180.8pt;z-index:-251654656;mso-position-horizontal-relative:margin;mso-position-vertical-relative:margin" coordsize="2080,2440" o:allowincell="f" path="m,2440r2080,l2080,,,,,2440xe" fillcolor="#b2a1c7 [1943]" strokecolor="#8064a2 [3207]" strokeweight="1pt">
            <v:fill color2="#8064a2 [3207]" focus="50%" type="gradient"/>
            <v:shadow on="t" type="perspective" color="#3f3151 [1607]" offset="1pt" offset2="-3pt"/>
            <w10:wrap anchorx="margin" anchory="margin"/>
          </v:shape>
        </w:pict>
      </w:r>
      <w:r>
        <w:rPr>
          <w:rFonts w:asciiTheme="majorBidi" w:hAnsiTheme="majorBidi" w:cstheme="majorBidi"/>
          <w:noProof/>
          <w:sz w:val="24"/>
          <w:szCs w:val="24"/>
        </w:rPr>
        <w:pict>
          <v:shape id="_x0000_s1072" style="position:absolute;left:0;text-align:left;margin-left:35.2pt;margin-top:129.35pt;width:104pt;height:180.8pt;z-index:-251657728;mso-position-horizontal-relative:margin;mso-position-vertical-relative:margin" coordsize="2080,2440" o:allowincell="f" path="m,2440r2080,l2080,,,,,2440xe" fillcolor="#b2a1c7 [1943]" strokecolor="#8064a2 [3207]" strokeweight="1pt">
            <v:fill color2="#8064a2 [3207]" focus="50%" type="gradient"/>
            <v:shadow on="t" type="perspective" color="#3f3151 [1607]" offset="1pt" offset2="-3pt"/>
            <w10:wrap anchorx="margin" anchory="margin"/>
          </v:shape>
        </w:pict>
      </w:r>
    </w:p>
    <w:p w:rsidR="00261543" w:rsidRPr="00FF70BA" w:rsidRDefault="00261543" w:rsidP="006B0558">
      <w:pPr>
        <w:framePr w:w="1906" w:h="3061" w:hRule="exact" w:wrap="auto" w:vAnchor="page" w:hAnchor="page" w:x="4621" w:y="4201"/>
        <w:widowControl w:val="0"/>
        <w:autoSpaceDE w:val="0"/>
        <w:autoSpaceDN w:val="0"/>
        <w:adjustRightInd w:val="0"/>
        <w:snapToGrid w:val="0"/>
        <w:spacing w:after="0" w:line="360" w:lineRule="auto"/>
        <w:jc w:val="center"/>
        <w:rPr>
          <w:rFonts w:asciiTheme="majorBidi" w:hAnsiTheme="majorBidi" w:cstheme="majorBidi"/>
          <w:b/>
          <w:bCs/>
          <w:color w:val="231F20"/>
          <w:sz w:val="16"/>
          <w:szCs w:val="16"/>
        </w:rPr>
      </w:pPr>
      <w:r w:rsidRPr="00FF70BA">
        <w:rPr>
          <w:rFonts w:asciiTheme="majorBidi" w:hAnsiTheme="majorBidi" w:cstheme="majorBidi"/>
          <w:b/>
          <w:bCs/>
          <w:color w:val="231F20"/>
          <w:sz w:val="16"/>
          <w:szCs w:val="16"/>
        </w:rPr>
        <w:t>2</w:t>
      </w:r>
      <w:r w:rsidRPr="00FF70BA">
        <w:rPr>
          <w:rFonts w:asciiTheme="majorBidi" w:hAnsiTheme="majorBidi" w:cstheme="majorBidi"/>
          <w:b/>
          <w:bCs/>
          <w:color w:val="231F20"/>
          <w:sz w:val="16"/>
          <w:szCs w:val="16"/>
          <w:vertAlign w:val="superscript"/>
        </w:rPr>
        <w:t xml:space="preserve">éme </w:t>
      </w:r>
      <w:r w:rsidRPr="00FF70BA">
        <w:rPr>
          <w:rFonts w:asciiTheme="majorBidi" w:hAnsiTheme="majorBidi" w:cstheme="majorBidi"/>
          <w:b/>
          <w:bCs/>
          <w:color w:val="231F20"/>
          <w:sz w:val="16"/>
          <w:szCs w:val="16"/>
        </w:rPr>
        <w:t>pilier</w:t>
      </w:r>
    </w:p>
    <w:p w:rsidR="00261543" w:rsidRPr="00FF70BA" w:rsidRDefault="00261543" w:rsidP="006B0558">
      <w:pPr>
        <w:framePr w:w="1906" w:h="3061" w:hRule="exact" w:wrap="auto" w:vAnchor="page" w:hAnchor="page" w:x="4621" w:y="4201"/>
        <w:widowControl w:val="0"/>
        <w:autoSpaceDE w:val="0"/>
        <w:autoSpaceDN w:val="0"/>
        <w:adjustRightInd w:val="0"/>
        <w:snapToGrid w:val="0"/>
        <w:spacing w:after="0" w:line="360" w:lineRule="auto"/>
        <w:jc w:val="center"/>
        <w:rPr>
          <w:rFonts w:asciiTheme="majorBidi" w:hAnsiTheme="majorBidi" w:cstheme="majorBidi"/>
          <w:sz w:val="24"/>
          <w:szCs w:val="24"/>
        </w:rPr>
      </w:pPr>
      <w:r w:rsidRPr="00FF70BA">
        <w:rPr>
          <w:rFonts w:asciiTheme="majorBidi" w:hAnsiTheme="majorBidi" w:cstheme="majorBidi"/>
          <w:b/>
          <w:bCs/>
          <w:color w:val="231F20"/>
          <w:sz w:val="16"/>
          <w:szCs w:val="16"/>
        </w:rPr>
        <w:t>Exigences qualitatives</w:t>
      </w:r>
    </w:p>
    <w:p w:rsidR="00261543" w:rsidRDefault="00261543" w:rsidP="006B0558">
      <w:pPr>
        <w:framePr w:w="1906" w:h="3061" w:hRule="exact" w:wrap="auto" w:vAnchor="page" w:hAnchor="page" w:x="4621" w:y="4201"/>
        <w:widowControl w:val="0"/>
        <w:autoSpaceDE w:val="0"/>
        <w:autoSpaceDN w:val="0"/>
        <w:adjustRightInd w:val="0"/>
        <w:snapToGrid w:val="0"/>
        <w:spacing w:after="0" w:line="360" w:lineRule="auto"/>
        <w:jc w:val="both"/>
        <w:rPr>
          <w:rFonts w:asciiTheme="majorBidi" w:hAnsiTheme="majorBidi" w:cstheme="majorBidi"/>
          <w:sz w:val="24"/>
          <w:szCs w:val="24"/>
        </w:rPr>
      </w:pPr>
    </w:p>
    <w:p w:rsidR="00261543" w:rsidRPr="00FF70BA" w:rsidRDefault="00261543" w:rsidP="006B0558">
      <w:pPr>
        <w:framePr w:w="1906" w:h="3061" w:hRule="exact" w:wrap="auto" w:vAnchor="page" w:hAnchor="page" w:x="4621" w:y="4201"/>
        <w:widowControl w:val="0"/>
        <w:autoSpaceDE w:val="0"/>
        <w:autoSpaceDN w:val="0"/>
        <w:adjustRightInd w:val="0"/>
        <w:snapToGrid w:val="0"/>
        <w:spacing w:after="0" w:line="360" w:lineRule="auto"/>
        <w:jc w:val="both"/>
        <w:rPr>
          <w:rFonts w:asciiTheme="majorBidi" w:hAnsiTheme="majorBidi" w:cstheme="majorBidi"/>
          <w:color w:val="231F20"/>
          <w:sz w:val="20"/>
          <w:szCs w:val="20"/>
        </w:rPr>
      </w:pPr>
      <w:r w:rsidRPr="00FF70BA">
        <w:rPr>
          <w:rFonts w:asciiTheme="majorBidi" w:hAnsiTheme="majorBidi" w:cstheme="majorBidi"/>
          <w:color w:val="231F20"/>
          <w:sz w:val="20"/>
          <w:szCs w:val="20"/>
        </w:rPr>
        <w:t>Principes de contrôle interne et de gestion des risques</w:t>
      </w:r>
    </w:p>
    <w:p w:rsidR="00261543" w:rsidRPr="00FF70BA" w:rsidRDefault="00261543" w:rsidP="006B0558">
      <w:pPr>
        <w:framePr w:w="1906" w:h="3061" w:hRule="exact" w:wrap="auto" w:vAnchor="page" w:hAnchor="page" w:x="4621" w:y="4201"/>
        <w:widowControl w:val="0"/>
        <w:autoSpaceDE w:val="0"/>
        <w:autoSpaceDN w:val="0"/>
        <w:adjustRightInd w:val="0"/>
        <w:snapToGrid w:val="0"/>
        <w:spacing w:after="0" w:line="360" w:lineRule="auto"/>
        <w:jc w:val="both"/>
        <w:rPr>
          <w:rFonts w:asciiTheme="majorBidi" w:hAnsiTheme="majorBidi" w:cstheme="majorBidi"/>
          <w:sz w:val="20"/>
          <w:szCs w:val="20"/>
        </w:rPr>
      </w:pPr>
    </w:p>
    <w:p w:rsidR="00261543" w:rsidRPr="00FF70BA" w:rsidRDefault="00261543" w:rsidP="006B0558">
      <w:pPr>
        <w:framePr w:w="1906" w:h="3061" w:hRule="exact" w:wrap="auto" w:vAnchor="page" w:hAnchor="page" w:x="4621" w:y="4201"/>
        <w:widowControl w:val="0"/>
        <w:autoSpaceDE w:val="0"/>
        <w:autoSpaceDN w:val="0"/>
        <w:adjustRightInd w:val="0"/>
        <w:snapToGrid w:val="0"/>
        <w:spacing w:after="0" w:line="360" w:lineRule="auto"/>
        <w:jc w:val="both"/>
        <w:rPr>
          <w:rFonts w:asciiTheme="majorBidi" w:hAnsiTheme="majorBidi" w:cstheme="majorBidi"/>
          <w:sz w:val="20"/>
          <w:szCs w:val="20"/>
        </w:rPr>
      </w:pPr>
      <w:r w:rsidRPr="00FF70BA">
        <w:rPr>
          <w:rFonts w:asciiTheme="majorBidi" w:hAnsiTheme="majorBidi" w:cstheme="majorBidi"/>
          <w:color w:val="231F20"/>
          <w:sz w:val="20"/>
          <w:szCs w:val="20"/>
        </w:rPr>
        <w:t>Processus de surveillance prudentielle</w:t>
      </w:r>
    </w:p>
    <w:p w:rsidR="00261543" w:rsidRPr="00FF70BA" w:rsidRDefault="00261543" w:rsidP="006B0558">
      <w:pPr>
        <w:framePr w:w="1848" w:h="2626" w:hRule="exact" w:wrap="auto" w:vAnchor="page" w:hAnchor="page" w:x="7036" w:y="4186"/>
        <w:widowControl w:val="0"/>
        <w:autoSpaceDE w:val="0"/>
        <w:autoSpaceDN w:val="0"/>
        <w:adjustRightInd w:val="0"/>
        <w:snapToGrid w:val="0"/>
        <w:spacing w:after="0" w:line="360" w:lineRule="auto"/>
        <w:jc w:val="center"/>
        <w:rPr>
          <w:rFonts w:asciiTheme="majorBidi" w:hAnsiTheme="majorBidi" w:cstheme="majorBidi"/>
          <w:b/>
          <w:bCs/>
          <w:color w:val="231F20"/>
          <w:sz w:val="16"/>
          <w:szCs w:val="16"/>
        </w:rPr>
      </w:pPr>
      <w:r w:rsidRPr="00FF70BA">
        <w:rPr>
          <w:rFonts w:asciiTheme="majorBidi" w:hAnsiTheme="majorBidi" w:cstheme="majorBidi"/>
          <w:b/>
          <w:bCs/>
          <w:color w:val="231F20"/>
          <w:sz w:val="16"/>
          <w:szCs w:val="16"/>
        </w:rPr>
        <w:t>3</w:t>
      </w:r>
      <w:r w:rsidRPr="00FF70BA">
        <w:rPr>
          <w:rFonts w:asciiTheme="majorBidi" w:hAnsiTheme="majorBidi" w:cstheme="majorBidi"/>
          <w:b/>
          <w:bCs/>
          <w:color w:val="231F20"/>
          <w:sz w:val="16"/>
          <w:szCs w:val="16"/>
          <w:vertAlign w:val="superscript"/>
        </w:rPr>
        <w:t xml:space="preserve">éme </w:t>
      </w:r>
      <w:r w:rsidRPr="00FF70BA">
        <w:rPr>
          <w:rFonts w:asciiTheme="majorBidi" w:hAnsiTheme="majorBidi" w:cstheme="majorBidi"/>
          <w:b/>
          <w:bCs/>
          <w:color w:val="231F20"/>
          <w:sz w:val="16"/>
          <w:szCs w:val="16"/>
        </w:rPr>
        <w:t>pilier</w:t>
      </w:r>
    </w:p>
    <w:p w:rsidR="00261543" w:rsidRPr="00FF70BA" w:rsidRDefault="00261543" w:rsidP="006B0558">
      <w:pPr>
        <w:framePr w:w="1848" w:h="2626" w:hRule="exact" w:wrap="auto" w:vAnchor="page" w:hAnchor="page" w:x="7036" w:y="4186"/>
        <w:widowControl w:val="0"/>
        <w:autoSpaceDE w:val="0"/>
        <w:autoSpaceDN w:val="0"/>
        <w:adjustRightInd w:val="0"/>
        <w:snapToGrid w:val="0"/>
        <w:spacing w:after="0" w:line="360" w:lineRule="auto"/>
        <w:jc w:val="center"/>
        <w:rPr>
          <w:rFonts w:asciiTheme="majorBidi" w:hAnsiTheme="majorBidi" w:cstheme="majorBidi"/>
          <w:sz w:val="24"/>
          <w:szCs w:val="24"/>
        </w:rPr>
      </w:pPr>
      <w:r w:rsidRPr="00FF70BA">
        <w:rPr>
          <w:rFonts w:asciiTheme="majorBidi" w:hAnsiTheme="majorBidi" w:cstheme="majorBidi"/>
          <w:b/>
          <w:bCs/>
          <w:color w:val="231F20"/>
          <w:sz w:val="16"/>
          <w:szCs w:val="16"/>
        </w:rPr>
        <w:t>Discipline de marché</w:t>
      </w:r>
    </w:p>
    <w:p w:rsidR="00261543" w:rsidRPr="00FF70BA" w:rsidRDefault="00261543" w:rsidP="006B0558">
      <w:pPr>
        <w:framePr w:w="1848" w:h="2626" w:hRule="exact" w:wrap="auto" w:vAnchor="page" w:hAnchor="page" w:x="7036" w:y="4186"/>
        <w:widowControl w:val="0"/>
        <w:autoSpaceDE w:val="0"/>
        <w:autoSpaceDN w:val="0"/>
        <w:adjustRightInd w:val="0"/>
        <w:snapToGrid w:val="0"/>
        <w:spacing w:after="0" w:line="360" w:lineRule="auto"/>
        <w:jc w:val="both"/>
        <w:rPr>
          <w:rFonts w:asciiTheme="majorBidi" w:hAnsiTheme="majorBidi" w:cstheme="majorBidi"/>
          <w:sz w:val="24"/>
          <w:szCs w:val="24"/>
        </w:rPr>
      </w:pPr>
    </w:p>
    <w:p w:rsidR="00261543" w:rsidRPr="00FF70BA" w:rsidRDefault="00261543" w:rsidP="006B0558">
      <w:pPr>
        <w:framePr w:w="1848" w:h="2626" w:hRule="exact" w:wrap="auto" w:vAnchor="page" w:hAnchor="page" w:x="7036" w:y="4186"/>
        <w:widowControl w:val="0"/>
        <w:autoSpaceDE w:val="0"/>
        <w:autoSpaceDN w:val="0"/>
        <w:adjustRightInd w:val="0"/>
        <w:snapToGrid w:val="0"/>
        <w:spacing w:after="0" w:line="360" w:lineRule="auto"/>
        <w:jc w:val="center"/>
        <w:rPr>
          <w:rFonts w:asciiTheme="majorBidi" w:hAnsiTheme="majorBidi" w:cstheme="majorBidi"/>
          <w:sz w:val="18"/>
          <w:szCs w:val="18"/>
        </w:rPr>
      </w:pPr>
      <w:r>
        <w:rPr>
          <w:rFonts w:asciiTheme="majorBidi" w:hAnsiTheme="majorBidi" w:cstheme="majorBidi"/>
          <w:color w:val="231F20"/>
          <w:sz w:val="18"/>
          <w:szCs w:val="18"/>
        </w:rPr>
        <w:t xml:space="preserve">Communication </w:t>
      </w:r>
      <w:r w:rsidRPr="00FF70BA">
        <w:rPr>
          <w:rFonts w:asciiTheme="majorBidi" w:hAnsiTheme="majorBidi" w:cstheme="majorBidi"/>
          <w:color w:val="231F20"/>
          <w:sz w:val="18"/>
          <w:szCs w:val="18"/>
        </w:rPr>
        <w:t>financière</w:t>
      </w:r>
    </w:p>
    <w:p w:rsidR="00261543" w:rsidRPr="00FF70BA" w:rsidRDefault="00261543" w:rsidP="006B0558">
      <w:pPr>
        <w:framePr w:w="1848" w:h="2626" w:hRule="exact" w:wrap="auto" w:vAnchor="page" w:hAnchor="page" w:x="7036" w:y="4186"/>
        <w:widowControl w:val="0"/>
        <w:autoSpaceDE w:val="0"/>
        <w:autoSpaceDN w:val="0"/>
        <w:adjustRightInd w:val="0"/>
        <w:snapToGrid w:val="0"/>
        <w:spacing w:after="0" w:line="360" w:lineRule="auto"/>
        <w:jc w:val="center"/>
        <w:rPr>
          <w:rFonts w:asciiTheme="majorBidi" w:hAnsiTheme="majorBidi" w:cstheme="majorBidi"/>
          <w:sz w:val="18"/>
          <w:szCs w:val="18"/>
        </w:rPr>
      </w:pPr>
    </w:p>
    <w:p w:rsidR="00261543" w:rsidRPr="00FF70BA" w:rsidRDefault="00261543" w:rsidP="006B0558">
      <w:pPr>
        <w:framePr w:w="1848" w:h="2626" w:hRule="exact" w:wrap="auto" w:vAnchor="page" w:hAnchor="page" w:x="7036" w:y="4186"/>
        <w:widowControl w:val="0"/>
        <w:autoSpaceDE w:val="0"/>
        <w:autoSpaceDN w:val="0"/>
        <w:adjustRightInd w:val="0"/>
        <w:snapToGrid w:val="0"/>
        <w:spacing w:after="0" w:line="360" w:lineRule="auto"/>
        <w:jc w:val="center"/>
        <w:rPr>
          <w:rFonts w:asciiTheme="majorBidi" w:hAnsiTheme="majorBidi" w:cstheme="majorBidi"/>
          <w:sz w:val="18"/>
          <w:szCs w:val="18"/>
        </w:rPr>
      </w:pPr>
      <w:r w:rsidRPr="00FF70BA">
        <w:rPr>
          <w:rFonts w:asciiTheme="majorBidi" w:hAnsiTheme="majorBidi" w:cstheme="majorBidi"/>
          <w:color w:val="231F20"/>
          <w:sz w:val="18"/>
          <w:szCs w:val="18"/>
        </w:rPr>
        <w:t>Transparence</w:t>
      </w:r>
    </w:p>
    <w:p w:rsidR="00410B8D" w:rsidRPr="00FF70BA" w:rsidRDefault="00410B8D" w:rsidP="006B0558">
      <w:pPr>
        <w:pStyle w:val="Paragraphedeliste"/>
        <w:autoSpaceDE w:val="0"/>
        <w:autoSpaceDN w:val="0"/>
        <w:adjustRightInd w:val="0"/>
        <w:spacing w:after="0" w:line="360" w:lineRule="auto"/>
        <w:ind w:left="0"/>
        <w:jc w:val="both"/>
        <w:rPr>
          <w:rFonts w:asciiTheme="majorBidi" w:hAnsiTheme="majorBidi" w:cstheme="majorBidi"/>
          <w:sz w:val="24"/>
          <w:szCs w:val="24"/>
        </w:rPr>
      </w:pPr>
    </w:p>
    <w:p w:rsidR="003E138C" w:rsidRPr="00FF70BA" w:rsidRDefault="006452C1" w:rsidP="006B0558">
      <w:pPr>
        <w:pStyle w:val="Paragraphedeliste"/>
        <w:autoSpaceDE w:val="0"/>
        <w:autoSpaceDN w:val="0"/>
        <w:adjustRightInd w:val="0"/>
        <w:spacing w:after="0" w:line="360" w:lineRule="auto"/>
        <w:ind w:left="0"/>
        <w:jc w:val="both"/>
        <w:rPr>
          <w:rFonts w:asciiTheme="majorBidi" w:hAnsiTheme="majorBidi" w:cstheme="majorBidi"/>
          <w:sz w:val="24"/>
          <w:szCs w:val="24"/>
        </w:rPr>
      </w:pPr>
      <w:r w:rsidRPr="00FF70BA">
        <w:rPr>
          <w:rFonts w:asciiTheme="majorBidi" w:hAnsiTheme="majorBidi" w:cstheme="majorBidi"/>
          <w:sz w:val="24"/>
          <w:szCs w:val="24"/>
        </w:rPr>
        <w:t xml:space="preserve"> </w:t>
      </w:r>
    </w:p>
    <w:p w:rsidR="003E138C" w:rsidRPr="00FF70BA" w:rsidRDefault="003E138C" w:rsidP="006B0558">
      <w:pPr>
        <w:pStyle w:val="Paragraphedeliste"/>
        <w:autoSpaceDE w:val="0"/>
        <w:autoSpaceDN w:val="0"/>
        <w:adjustRightInd w:val="0"/>
        <w:spacing w:after="0" w:line="360" w:lineRule="auto"/>
        <w:ind w:left="0"/>
        <w:jc w:val="both"/>
        <w:rPr>
          <w:rFonts w:asciiTheme="majorBidi" w:hAnsiTheme="majorBidi" w:cstheme="majorBidi"/>
          <w:sz w:val="24"/>
          <w:szCs w:val="24"/>
        </w:rPr>
      </w:pPr>
    </w:p>
    <w:p w:rsidR="00F97BAA" w:rsidRDefault="00F97BAA" w:rsidP="006B0558">
      <w:pPr>
        <w:pStyle w:val="Paragraphedeliste"/>
        <w:autoSpaceDE w:val="0"/>
        <w:autoSpaceDN w:val="0"/>
        <w:adjustRightInd w:val="0"/>
        <w:spacing w:after="0" w:line="360" w:lineRule="auto"/>
        <w:ind w:left="0"/>
        <w:jc w:val="both"/>
        <w:rPr>
          <w:rFonts w:asciiTheme="majorBidi" w:hAnsiTheme="majorBidi" w:cstheme="majorBidi"/>
          <w:b/>
          <w:bCs/>
          <w:sz w:val="24"/>
          <w:szCs w:val="24"/>
        </w:rPr>
      </w:pPr>
    </w:p>
    <w:p w:rsidR="00F97BAA" w:rsidRDefault="00F97BAA" w:rsidP="006B0558">
      <w:pPr>
        <w:pStyle w:val="Paragraphedeliste"/>
        <w:autoSpaceDE w:val="0"/>
        <w:autoSpaceDN w:val="0"/>
        <w:adjustRightInd w:val="0"/>
        <w:spacing w:after="0" w:line="360" w:lineRule="auto"/>
        <w:ind w:left="0"/>
        <w:jc w:val="both"/>
        <w:rPr>
          <w:rFonts w:asciiTheme="majorBidi" w:hAnsiTheme="majorBidi" w:cstheme="majorBidi"/>
          <w:b/>
          <w:bCs/>
          <w:sz w:val="24"/>
          <w:szCs w:val="24"/>
        </w:rPr>
      </w:pPr>
    </w:p>
    <w:p w:rsidR="00F97BAA" w:rsidRDefault="00F97BAA" w:rsidP="006B0558">
      <w:pPr>
        <w:pStyle w:val="Paragraphedeliste"/>
        <w:autoSpaceDE w:val="0"/>
        <w:autoSpaceDN w:val="0"/>
        <w:adjustRightInd w:val="0"/>
        <w:spacing w:after="0" w:line="360" w:lineRule="auto"/>
        <w:ind w:left="0"/>
        <w:jc w:val="both"/>
        <w:rPr>
          <w:rFonts w:asciiTheme="majorBidi" w:hAnsiTheme="majorBidi" w:cstheme="majorBidi"/>
          <w:b/>
          <w:bCs/>
          <w:sz w:val="24"/>
          <w:szCs w:val="24"/>
        </w:rPr>
      </w:pPr>
    </w:p>
    <w:p w:rsidR="00F97BAA" w:rsidRDefault="00F97BAA" w:rsidP="006B0558">
      <w:pPr>
        <w:pStyle w:val="Paragraphedeliste"/>
        <w:autoSpaceDE w:val="0"/>
        <w:autoSpaceDN w:val="0"/>
        <w:adjustRightInd w:val="0"/>
        <w:spacing w:after="0" w:line="360" w:lineRule="auto"/>
        <w:ind w:left="0"/>
        <w:jc w:val="both"/>
        <w:rPr>
          <w:rFonts w:asciiTheme="majorBidi" w:hAnsiTheme="majorBidi" w:cstheme="majorBidi"/>
          <w:b/>
          <w:bCs/>
          <w:sz w:val="24"/>
          <w:szCs w:val="24"/>
        </w:rPr>
      </w:pPr>
    </w:p>
    <w:p w:rsidR="00F97BAA" w:rsidRDefault="00F97BAA" w:rsidP="006B0558">
      <w:pPr>
        <w:pStyle w:val="Paragraphedeliste"/>
        <w:autoSpaceDE w:val="0"/>
        <w:autoSpaceDN w:val="0"/>
        <w:adjustRightInd w:val="0"/>
        <w:spacing w:after="0" w:line="360" w:lineRule="auto"/>
        <w:ind w:left="0"/>
        <w:jc w:val="both"/>
        <w:rPr>
          <w:rFonts w:asciiTheme="majorBidi" w:hAnsiTheme="majorBidi" w:cstheme="majorBidi"/>
          <w:b/>
          <w:bCs/>
          <w:sz w:val="24"/>
          <w:szCs w:val="24"/>
        </w:rPr>
      </w:pPr>
    </w:p>
    <w:p w:rsidR="00F97BAA" w:rsidRDefault="00F97BAA" w:rsidP="006B0558">
      <w:pPr>
        <w:pStyle w:val="Paragraphedeliste"/>
        <w:autoSpaceDE w:val="0"/>
        <w:autoSpaceDN w:val="0"/>
        <w:adjustRightInd w:val="0"/>
        <w:spacing w:after="0" w:line="360" w:lineRule="auto"/>
        <w:ind w:left="0"/>
        <w:jc w:val="both"/>
        <w:rPr>
          <w:rFonts w:asciiTheme="majorBidi" w:hAnsiTheme="majorBidi" w:cstheme="majorBidi"/>
          <w:b/>
          <w:bCs/>
          <w:sz w:val="24"/>
          <w:szCs w:val="24"/>
        </w:rPr>
      </w:pPr>
    </w:p>
    <w:p w:rsidR="00F370E7" w:rsidRPr="00FF70BA" w:rsidRDefault="009B0532" w:rsidP="006B0558">
      <w:pPr>
        <w:pStyle w:val="Paragraphedeliste"/>
        <w:autoSpaceDE w:val="0"/>
        <w:autoSpaceDN w:val="0"/>
        <w:adjustRightInd w:val="0"/>
        <w:spacing w:after="0" w:line="360" w:lineRule="auto"/>
        <w:ind w:left="0"/>
        <w:jc w:val="both"/>
        <w:rPr>
          <w:rFonts w:asciiTheme="majorBidi" w:hAnsiTheme="majorBidi" w:cstheme="majorBidi"/>
          <w:b/>
          <w:bCs/>
          <w:sz w:val="24"/>
          <w:szCs w:val="24"/>
        </w:rPr>
      </w:pPr>
      <w:r w:rsidRPr="00FF70BA">
        <w:rPr>
          <w:rFonts w:asciiTheme="majorBidi" w:hAnsiTheme="majorBidi" w:cstheme="majorBidi"/>
          <w:b/>
          <w:bCs/>
          <w:sz w:val="24"/>
          <w:szCs w:val="24"/>
        </w:rPr>
        <w:t>Figure N</w:t>
      </w:r>
      <w:r w:rsidR="000B4AF1" w:rsidRPr="00FF70BA">
        <w:rPr>
          <w:rFonts w:asciiTheme="majorBidi" w:hAnsiTheme="majorBidi" w:cstheme="majorBidi"/>
          <w:b/>
          <w:bCs/>
          <w:sz w:val="24"/>
          <w:szCs w:val="24"/>
        </w:rPr>
        <w:t>°</w:t>
      </w:r>
      <w:r w:rsidR="00F624AA" w:rsidRPr="00FF70BA">
        <w:rPr>
          <w:rFonts w:asciiTheme="majorBidi" w:hAnsiTheme="majorBidi" w:cstheme="majorBidi"/>
          <w:b/>
          <w:bCs/>
          <w:sz w:val="24"/>
          <w:szCs w:val="24"/>
        </w:rPr>
        <w:t>1</w:t>
      </w:r>
      <w:r w:rsidR="000B4AF1" w:rsidRPr="00FF70BA">
        <w:rPr>
          <w:rFonts w:asciiTheme="majorBidi" w:hAnsiTheme="majorBidi" w:cstheme="majorBidi"/>
          <w:b/>
          <w:bCs/>
          <w:sz w:val="24"/>
          <w:szCs w:val="24"/>
        </w:rPr>
        <w:t>: La structure à trois piliers de solvabilité II</w:t>
      </w:r>
    </w:p>
    <w:p w:rsidR="009B0532" w:rsidRPr="0013154F" w:rsidRDefault="0013154F" w:rsidP="006B0558">
      <w:pPr>
        <w:pStyle w:val="Paragraphedeliste"/>
        <w:autoSpaceDE w:val="0"/>
        <w:autoSpaceDN w:val="0"/>
        <w:adjustRightInd w:val="0"/>
        <w:spacing w:after="0" w:line="360" w:lineRule="auto"/>
        <w:ind w:left="0"/>
        <w:jc w:val="both"/>
        <w:rPr>
          <w:rFonts w:asciiTheme="majorBidi" w:hAnsiTheme="majorBidi" w:cstheme="majorBidi"/>
          <w:b/>
          <w:bCs/>
          <w:sz w:val="24"/>
          <w:szCs w:val="24"/>
        </w:rPr>
      </w:pPr>
      <w:r w:rsidRPr="0013154F">
        <w:rPr>
          <w:rFonts w:asciiTheme="majorBidi" w:hAnsiTheme="majorBidi" w:cstheme="majorBidi"/>
          <w:b/>
          <w:bCs/>
          <w:sz w:val="24"/>
          <w:szCs w:val="24"/>
        </w:rPr>
        <w:t xml:space="preserve">Source: </w:t>
      </w:r>
      <w:r w:rsidRPr="00CE2BD8">
        <w:rPr>
          <w:rFonts w:asciiTheme="majorBidi" w:hAnsiTheme="majorBidi" w:cstheme="majorBidi"/>
          <w:b/>
          <w:bCs/>
        </w:rPr>
        <w:t xml:space="preserve">Swiss Re,  </w:t>
      </w:r>
      <w:r w:rsidRPr="00CE2BD8">
        <w:rPr>
          <w:rFonts w:asciiTheme="majorBidi" w:hAnsiTheme="majorBidi" w:cstheme="majorBidi"/>
          <w:b/>
          <w:bCs/>
          <w:u w:val="single"/>
        </w:rPr>
        <w:t>Solvabilité II: une approche intégrée des risques pour les assureurs européens</w:t>
      </w:r>
      <w:r w:rsidRPr="00CE2BD8">
        <w:rPr>
          <w:rFonts w:asciiTheme="majorBidi" w:hAnsiTheme="majorBidi" w:cstheme="majorBidi"/>
          <w:b/>
          <w:bCs/>
        </w:rPr>
        <w:t>, Sigma n°4/2006</w:t>
      </w:r>
    </w:p>
    <w:p w:rsidR="00F32EF0" w:rsidRPr="0013154F" w:rsidRDefault="00F32EF0" w:rsidP="006B0558">
      <w:pPr>
        <w:pStyle w:val="Paragraphedeliste"/>
        <w:autoSpaceDE w:val="0"/>
        <w:autoSpaceDN w:val="0"/>
        <w:adjustRightInd w:val="0"/>
        <w:spacing w:after="0" w:line="360" w:lineRule="auto"/>
        <w:ind w:left="0"/>
        <w:jc w:val="both"/>
        <w:rPr>
          <w:rFonts w:asciiTheme="majorBidi" w:hAnsiTheme="majorBidi" w:cstheme="majorBidi"/>
          <w:b/>
          <w:bCs/>
          <w:sz w:val="24"/>
          <w:szCs w:val="24"/>
        </w:rPr>
      </w:pPr>
    </w:p>
    <w:p w:rsidR="000247D4" w:rsidRPr="00246F0A" w:rsidRDefault="00496ADC" w:rsidP="006B0558">
      <w:pPr>
        <w:pStyle w:val="Default"/>
        <w:spacing w:line="360" w:lineRule="auto"/>
        <w:jc w:val="both"/>
        <w:rPr>
          <w:rFonts w:asciiTheme="majorBidi" w:hAnsiTheme="majorBidi" w:cstheme="majorBidi"/>
          <w:b/>
          <w:bCs/>
          <w:sz w:val="28"/>
          <w:szCs w:val="28"/>
        </w:rPr>
      </w:pPr>
      <w:r w:rsidRPr="00FF70BA">
        <w:rPr>
          <w:rFonts w:asciiTheme="majorBidi" w:hAnsiTheme="majorBidi" w:cstheme="majorBidi"/>
          <w:b/>
          <w:bCs/>
          <w:sz w:val="28"/>
          <w:szCs w:val="28"/>
        </w:rPr>
        <w:t>2.1. PILIER N°1: EXIGENCES QUANTITATIVES EN FONDS PROPRES ET PROVISIONS</w:t>
      </w:r>
    </w:p>
    <w:p w:rsidR="000247D4" w:rsidRPr="00FF70BA" w:rsidRDefault="000247D4" w:rsidP="006B0558">
      <w:pPr>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ab/>
        <w:t>Le premier pilier est constitué des règles relatives aux ressources financières –règles prudentielles sur les provisions techniques. Les investissements et les exigences de fonds propres.</w:t>
      </w:r>
    </w:p>
    <w:p w:rsidR="00EB4FD8" w:rsidRDefault="000247D4" w:rsidP="006B0558">
      <w:pPr>
        <w:spacing w:line="360" w:lineRule="auto"/>
        <w:jc w:val="both"/>
        <w:rPr>
          <w:rFonts w:asciiTheme="majorBidi" w:hAnsiTheme="majorBidi" w:cstheme="majorBidi"/>
          <w:sz w:val="24"/>
          <w:szCs w:val="24"/>
        </w:rPr>
      </w:pPr>
      <w:r w:rsidRPr="00FF70BA">
        <w:rPr>
          <w:rFonts w:asciiTheme="majorBidi" w:hAnsiTheme="majorBidi" w:cstheme="majorBidi"/>
          <w:sz w:val="24"/>
          <w:szCs w:val="24"/>
        </w:rPr>
        <w:tab/>
        <w:t xml:space="preserve">Les règles d’évaluation des provisions techniques sont l’une des principales composantes du premier pilier. Car le montant des provisions aura un impact décisif sur les exigences de solvabilités. Solvabilité Il est destiné à harmoniser les méthodes de calcul des provisions techniques et à assurer de leur conformité aux nouvelles normes comptables internationales. Les international financial reporting standards (IFRS).  Toutefois, si les IFRS n’étaient pas prêtes lors de l’introduction de solvabilité II ou si elles ne convenaient </w:t>
      </w:r>
      <w:r w:rsidR="00316E80" w:rsidRPr="00FF70BA">
        <w:rPr>
          <w:rFonts w:asciiTheme="majorBidi" w:hAnsiTheme="majorBidi" w:cstheme="majorBidi"/>
          <w:sz w:val="24"/>
          <w:szCs w:val="24"/>
        </w:rPr>
        <w:t>pas au regard de la solvabilité, Un principe comptable différent</w:t>
      </w:r>
      <w:r w:rsidRPr="00FF70BA">
        <w:rPr>
          <w:rFonts w:asciiTheme="majorBidi" w:hAnsiTheme="majorBidi" w:cstheme="majorBidi"/>
          <w:sz w:val="24"/>
          <w:szCs w:val="24"/>
        </w:rPr>
        <w:t xml:space="preserve"> po</w:t>
      </w:r>
      <w:r w:rsidR="00316E80" w:rsidRPr="00FF70BA">
        <w:rPr>
          <w:rFonts w:asciiTheme="majorBidi" w:hAnsiTheme="majorBidi" w:cstheme="majorBidi"/>
          <w:sz w:val="24"/>
          <w:szCs w:val="24"/>
        </w:rPr>
        <w:t xml:space="preserve">urrait être élaboré. </w:t>
      </w:r>
    </w:p>
    <w:p w:rsidR="00246F0A" w:rsidRPr="00FF70BA" w:rsidRDefault="00246F0A" w:rsidP="006B0558">
      <w:pPr>
        <w:spacing w:line="360" w:lineRule="auto"/>
        <w:jc w:val="both"/>
        <w:rPr>
          <w:rFonts w:asciiTheme="majorBidi" w:hAnsiTheme="majorBidi" w:cstheme="majorBidi"/>
          <w:sz w:val="24"/>
          <w:szCs w:val="24"/>
        </w:rPr>
      </w:pPr>
    </w:p>
    <w:p w:rsidR="007754B2" w:rsidRDefault="009C5AC6" w:rsidP="006B0558">
      <w:pPr>
        <w:spacing w:line="360" w:lineRule="auto"/>
        <w:jc w:val="both"/>
        <w:rPr>
          <w:rFonts w:asciiTheme="majorBidi" w:hAnsiTheme="majorBidi" w:cstheme="majorBidi"/>
          <w:sz w:val="24"/>
          <w:szCs w:val="24"/>
        </w:rPr>
      </w:pPr>
      <w:r>
        <w:rPr>
          <w:rFonts w:asciiTheme="majorBidi" w:hAnsiTheme="majorBidi" w:cstheme="majorBidi"/>
          <w:noProof/>
          <w:sz w:val="24"/>
          <w:szCs w:val="24"/>
        </w:rPr>
        <w:lastRenderedPageBreak/>
        <w:pict>
          <v:group id="_x0000_s1070" style="position:absolute;left:0;text-align:left;margin-left:-13.75pt;margin-top:104.15pt;width:540.5pt;height:235.95pt;z-index:251656704" coordorigin="1348,9244" coordsize="10093,4719">
            <v:group id="_x0000_s1067" style="position:absolute;left:1348;top:9244;width:10093;height:4719" coordorigin="1525,9244" coordsize="10093,4719">
              <v:group id="_x0000_s1065" style="position:absolute;left:1525;top:9318;width:4436;height:4645" coordorigin="1525,9318" coordsize="4436,4645">
                <v:shapetype id="_x0000_t202" coordsize="21600,21600" o:spt="202" path="m,l,21600r21600,l21600,xe">
                  <v:stroke joinstyle="miter"/>
                  <v:path gradientshapeok="t" o:connecttype="rect"/>
                </v:shapetype>
                <v:shape id="_x0000_s1039" type="#_x0000_t202" style="position:absolute;left:4643;top:9942;width:1318;height:1286" o:regroupid="5" stroked="f">
                  <v:textbox style="mso-next-textbox:#_x0000_s1039">
                    <w:txbxContent>
                      <w:p w:rsidR="00E32748" w:rsidRPr="002E1747" w:rsidRDefault="00E32748">
                        <w:pPr>
                          <w:rPr>
                            <w:rFonts w:asciiTheme="majorBidi" w:hAnsiTheme="majorBidi" w:cstheme="majorBidi"/>
                            <w:sz w:val="24"/>
                            <w:szCs w:val="24"/>
                          </w:rPr>
                        </w:pPr>
                        <w:r w:rsidRPr="002E1747">
                          <w:rPr>
                            <w:rFonts w:asciiTheme="majorBidi" w:hAnsiTheme="majorBidi" w:cstheme="majorBidi"/>
                            <w:sz w:val="24"/>
                            <w:szCs w:val="24"/>
                          </w:rPr>
                          <w:t xml:space="preserve">Capital disponible </w:t>
                        </w:r>
                      </w:p>
                    </w:txbxContent>
                  </v:textbox>
                </v:shape>
                <v:shape id="_x0000_s1054" type="#_x0000_t202" style="position:absolute;left:2112;top:9318;width:1736;height:543" o:regroupid="5" stroked="f">
                  <v:textbox style="mso-next-textbox:#_x0000_s1054">
                    <w:txbxContent>
                      <w:p w:rsidR="00E32748" w:rsidRPr="00A812D8" w:rsidRDefault="00E32748" w:rsidP="003A7AD7">
                        <w:pPr>
                          <w:rPr>
                            <w:rFonts w:asciiTheme="majorBidi" w:hAnsiTheme="majorBidi" w:cstheme="majorBidi"/>
                            <w:b/>
                            <w:bCs/>
                            <w:i/>
                            <w:iCs/>
                            <w:sz w:val="28"/>
                            <w:szCs w:val="28"/>
                          </w:rPr>
                        </w:pPr>
                        <w:r w:rsidRPr="00A812D8">
                          <w:rPr>
                            <w:rFonts w:asciiTheme="majorBidi" w:hAnsiTheme="majorBidi" w:cstheme="majorBidi"/>
                            <w:b/>
                            <w:bCs/>
                            <w:i/>
                            <w:iCs/>
                            <w:sz w:val="28"/>
                            <w:szCs w:val="28"/>
                          </w:rPr>
                          <w:t xml:space="preserve">Solvency I </w:t>
                        </w:r>
                      </w:p>
                    </w:txbxContent>
                  </v:textbox>
                </v:shape>
                <v:group id="_x0000_s1064" style="position:absolute;left:1525;top:9942;width:3118;height:4021" coordorigin="1525,9942" coordsize="3118,4021">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8" type="#_x0000_t88" style="position:absolute;left:4500;top:9942;width:143;height:1141" o:regroupid="5" filled="t" fillcolor="#666 [1936]" strokecolor="black [3200]" strokeweight="1pt">
                    <v:fill color2="black [3200]" focus="50%" type="gradient"/>
                    <v:shadow on="t" type="perspective" color="#7f7f7f [1601]" offset="1pt" offset2="-3pt"/>
                  </v:shape>
                  <v:rect id="_x0000_s1034" style="position:absolute;left:1525;top:9942;width:1317;height:4021" o:regroupid="6" fillcolor="#8064a2 [3207]" stroked="f" strokeweight="0">
                    <v:fill color2="#5e4878 [2375]" focusposition=".5,.5" focussize="" focus="100%" type="gradientRadial"/>
                    <v:shadow on="t" type="perspective" color="#3f3151 [1607]" offset="1pt" offset2="-3pt"/>
                    <v:textbox style="mso-next-textbox:#_x0000_s1034">
                      <w:txbxContent>
                        <w:p w:rsidR="00E32748" w:rsidRDefault="00E32748" w:rsidP="00BF0695">
                          <w:pPr>
                            <w:jc w:val="center"/>
                          </w:pPr>
                        </w:p>
                        <w:p w:rsidR="00E32748" w:rsidRDefault="00E32748" w:rsidP="00BF0695">
                          <w:pPr>
                            <w:jc w:val="center"/>
                          </w:pPr>
                        </w:p>
                        <w:p w:rsidR="00E32748" w:rsidRDefault="00E32748" w:rsidP="00BF0695">
                          <w:pPr>
                            <w:jc w:val="center"/>
                          </w:pPr>
                        </w:p>
                        <w:p w:rsidR="00E32748" w:rsidRPr="00A812D8" w:rsidRDefault="00E32748" w:rsidP="00BF0695">
                          <w:pPr>
                            <w:jc w:val="center"/>
                            <w:rPr>
                              <w:rFonts w:asciiTheme="majorBidi" w:hAnsiTheme="majorBidi" w:cstheme="majorBidi"/>
                            </w:rPr>
                          </w:pPr>
                          <w:r w:rsidRPr="00A812D8">
                            <w:rPr>
                              <w:rFonts w:asciiTheme="majorBidi" w:hAnsiTheme="majorBidi" w:cstheme="majorBidi"/>
                            </w:rPr>
                            <w:t>Actifs éligibles en VNC</w:t>
                          </w:r>
                        </w:p>
                      </w:txbxContent>
                    </v:textbox>
                  </v:rect>
                  <v:rect id="_x0000_s1035" style="position:absolute;left:2992;top:9942;width:1317;height:665" o:regroupid="6" fillcolor="#9bbb59 [3206]" stroked="f" strokeweight="0">
                    <v:fill color2="#74903b [2374]" focusposition=".5,.5" focussize="" focus="100%" type="gradientRadial"/>
                    <v:shadow on="t" type="perspective" color="#4e6128 [1606]" offset="1pt" offset2="-3pt"/>
                    <v:textbox style="mso-next-textbox:#_x0000_s1035">
                      <w:txbxContent>
                        <w:p w:rsidR="00E32748" w:rsidRPr="00A812D8" w:rsidRDefault="00E32748" w:rsidP="00BF0695">
                          <w:pPr>
                            <w:jc w:val="center"/>
                            <w:rPr>
                              <w:rFonts w:asciiTheme="majorBidi" w:hAnsiTheme="majorBidi" w:cstheme="majorBidi"/>
                            </w:rPr>
                          </w:pPr>
                          <w:r w:rsidRPr="00A812D8">
                            <w:rPr>
                              <w:rFonts w:asciiTheme="majorBidi" w:hAnsiTheme="majorBidi" w:cstheme="majorBidi"/>
                            </w:rPr>
                            <w:t xml:space="preserve">Surplus </w:t>
                          </w:r>
                        </w:p>
                        <w:p w:rsidR="00E32748" w:rsidRDefault="00E32748" w:rsidP="00BF0695">
                          <w:pPr>
                            <w:jc w:val="center"/>
                          </w:pPr>
                        </w:p>
                        <w:p w:rsidR="00E32748" w:rsidRDefault="00E32748" w:rsidP="00BF0695">
                          <w:pPr>
                            <w:jc w:val="center"/>
                          </w:pPr>
                        </w:p>
                        <w:p w:rsidR="00E32748" w:rsidRDefault="00E32748" w:rsidP="00BF0695">
                          <w:pPr>
                            <w:jc w:val="center"/>
                          </w:pPr>
                        </w:p>
                      </w:txbxContent>
                    </v:textbox>
                  </v:rect>
                  <v:rect id="_x0000_s1036" style="position:absolute;left:2992;top:10677;width:1317;height:406" o:regroupid="6" fillcolor="#c0504d [3205]" stroked="f" strokeweight="0">
                    <v:fill color2="#923633 [2373]" focusposition=".5,.5" focussize="" focus="100%" type="gradientRadial"/>
                    <v:shadow on="t" type="perspective" color="#622423 [1605]" offset="1pt" offset2="-3pt"/>
                    <v:textbox style="mso-next-textbox:#_x0000_s1036">
                      <w:txbxContent>
                        <w:p w:rsidR="00E32748" w:rsidRPr="00A812D8" w:rsidRDefault="00E32748" w:rsidP="00BF0695">
                          <w:pPr>
                            <w:jc w:val="center"/>
                            <w:rPr>
                              <w:rFonts w:asciiTheme="majorBidi" w:hAnsiTheme="majorBidi" w:cstheme="majorBidi"/>
                            </w:rPr>
                          </w:pPr>
                          <w:r w:rsidRPr="00A812D8">
                            <w:rPr>
                              <w:rFonts w:asciiTheme="majorBidi" w:hAnsiTheme="majorBidi" w:cstheme="majorBidi"/>
                            </w:rPr>
                            <w:t>MSR</w:t>
                          </w:r>
                        </w:p>
                        <w:p w:rsidR="00E32748" w:rsidRDefault="00E32748" w:rsidP="00BF0695">
                          <w:pPr>
                            <w:jc w:val="center"/>
                          </w:pPr>
                        </w:p>
                        <w:p w:rsidR="00E32748" w:rsidRDefault="00E32748" w:rsidP="00BF0695">
                          <w:pPr>
                            <w:jc w:val="center"/>
                          </w:pPr>
                        </w:p>
                        <w:p w:rsidR="00E32748" w:rsidRDefault="00E32748" w:rsidP="00BF0695">
                          <w:pPr>
                            <w:jc w:val="center"/>
                          </w:pPr>
                        </w:p>
                      </w:txbxContent>
                    </v:textbox>
                  </v:rect>
                  <v:rect id="_x0000_s1037" style="position:absolute;left:2992;top:11228;width:1317;height:2735" o:regroupid="6" fillcolor="#4f81bd [3204]" stroked="f" strokeweight="0">
                    <v:fill color2="#365e8f [2372]" focusposition=".5,.5" focussize="" focus="100%" type="gradientRadial"/>
                    <v:shadow on="t" type="perspective" color="#243f60 [1604]" offset="1pt" offset2="-3pt"/>
                    <v:textbox style="mso-next-textbox:#_x0000_s1037">
                      <w:txbxContent>
                        <w:p w:rsidR="00E32748" w:rsidRPr="00A812D8" w:rsidRDefault="00E32748" w:rsidP="00BF0695">
                          <w:pPr>
                            <w:jc w:val="center"/>
                            <w:rPr>
                              <w:rFonts w:asciiTheme="majorBidi" w:hAnsiTheme="majorBidi" w:cstheme="majorBidi"/>
                            </w:rPr>
                          </w:pPr>
                        </w:p>
                        <w:p w:rsidR="00E32748" w:rsidRPr="00A812D8" w:rsidRDefault="00E32748" w:rsidP="00BF0695">
                          <w:pPr>
                            <w:jc w:val="center"/>
                            <w:rPr>
                              <w:rFonts w:asciiTheme="majorBidi" w:hAnsiTheme="majorBidi" w:cstheme="majorBidi"/>
                            </w:rPr>
                          </w:pPr>
                          <w:r w:rsidRPr="00A812D8">
                            <w:rPr>
                              <w:rFonts w:asciiTheme="majorBidi" w:hAnsiTheme="majorBidi" w:cstheme="majorBidi"/>
                            </w:rPr>
                            <w:t xml:space="preserve">Provisions techniques statutaires </w:t>
                          </w:r>
                        </w:p>
                        <w:p w:rsidR="00E32748" w:rsidRDefault="00E32748" w:rsidP="00BF0695">
                          <w:pPr>
                            <w:jc w:val="center"/>
                          </w:pPr>
                        </w:p>
                        <w:p w:rsidR="00E32748" w:rsidRDefault="00E32748" w:rsidP="00BF0695">
                          <w:pPr>
                            <w:jc w:val="center"/>
                          </w:pPr>
                        </w:p>
                        <w:p w:rsidR="00E32748" w:rsidRDefault="00E32748" w:rsidP="00BF0695">
                          <w:pPr>
                            <w:jc w:val="center"/>
                          </w:pPr>
                        </w:p>
                      </w:txbxContent>
                    </v:textbox>
                  </v:rect>
                </v:group>
              </v:group>
              <v:group id="_x0000_s1066" style="position:absolute;left:5429;top:9244;width:6189;height:4638" coordorigin="5429,9244" coordsize="6189,463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5429;top:11464;width:680;height:720" o:regroupid="4" fillcolor="#8064a2 [3207]" strokecolor="#f2f2f2 [3041]" strokeweight="3pt">
                  <v:shadow on="t" type="perspective" color="#3f3151 [1607]" opacity=".5" offset="1pt" offset2="-1pt"/>
                </v:shape>
                <v:shape id="_x0000_s1059" type="#_x0000_t202" style="position:absolute;left:10317;top:10282;width:1301;height:1286" o:regroupid="7" stroked="f">
                  <v:textbox style="mso-next-textbox:#_x0000_s1059">
                    <w:txbxContent>
                      <w:p w:rsidR="00E32748" w:rsidRPr="002E1747" w:rsidRDefault="00E32748" w:rsidP="00CA16F1">
                        <w:pPr>
                          <w:rPr>
                            <w:rFonts w:asciiTheme="majorBidi" w:hAnsiTheme="majorBidi" w:cstheme="majorBidi"/>
                            <w:sz w:val="24"/>
                            <w:szCs w:val="24"/>
                          </w:rPr>
                        </w:pPr>
                        <w:r w:rsidRPr="002E1747">
                          <w:rPr>
                            <w:rFonts w:asciiTheme="majorBidi" w:hAnsiTheme="majorBidi" w:cstheme="majorBidi"/>
                            <w:sz w:val="24"/>
                            <w:szCs w:val="24"/>
                          </w:rPr>
                          <w:t xml:space="preserve">Capital disponible </w:t>
                        </w:r>
                      </w:p>
                    </w:txbxContent>
                  </v:textbox>
                </v:shape>
                <v:rect id="_x0000_s1048" style="position:absolute;left:6533;top:9861;width:1317;height:4021" o:regroupid="8" fillcolor="#8064a2 [3207]" stroked="f" strokeweight="0">
                  <v:fill color2="#5e4878 [2375]" focusposition=".5,.5" focussize="" focus="100%" type="gradientRadial"/>
                  <v:shadow on="t" type="perspective" color="#3f3151 [1607]" offset="1pt" offset2="-3pt"/>
                  <v:textbox style="mso-next-textbox:#_x0000_s1048">
                    <w:txbxContent>
                      <w:p w:rsidR="00E32748" w:rsidRDefault="00E32748" w:rsidP="002E1747">
                        <w:pPr>
                          <w:jc w:val="center"/>
                        </w:pPr>
                      </w:p>
                      <w:p w:rsidR="00E32748" w:rsidRDefault="00E32748" w:rsidP="002E1747">
                        <w:pPr>
                          <w:jc w:val="center"/>
                        </w:pPr>
                      </w:p>
                      <w:p w:rsidR="00E32748" w:rsidRDefault="00E32748" w:rsidP="002E1747">
                        <w:pPr>
                          <w:jc w:val="center"/>
                        </w:pPr>
                      </w:p>
                      <w:p w:rsidR="00E32748" w:rsidRPr="00A812D8" w:rsidRDefault="00E32748" w:rsidP="002E1747">
                        <w:pPr>
                          <w:jc w:val="center"/>
                          <w:rPr>
                            <w:rFonts w:asciiTheme="majorBidi" w:hAnsiTheme="majorBidi" w:cstheme="majorBidi"/>
                          </w:rPr>
                        </w:pPr>
                        <w:r w:rsidRPr="00A812D8">
                          <w:rPr>
                            <w:rFonts w:asciiTheme="majorBidi" w:hAnsiTheme="majorBidi" w:cstheme="majorBidi"/>
                          </w:rPr>
                          <w:t xml:space="preserve">Valeur de marché des Actifs </w:t>
                        </w:r>
                      </w:p>
                    </w:txbxContent>
                  </v:textbox>
                </v:rect>
                <v:rect id="_x0000_s1049" style="position:absolute;left:8000;top:9861;width:1987;height:421" o:regroupid="8" fillcolor="#9bbb59 [3206]" stroked="f" strokeweight="0">
                  <v:fill color2="#74903b [2374]" focusposition=".5,.5" focussize="" focus="100%" type="gradientRadial"/>
                  <v:shadow on="t" type="perspective" color="#4e6128 [1606]" offset="1pt" offset2="-3pt"/>
                  <v:textbox style="mso-next-textbox:#_x0000_s1049">
                    <w:txbxContent>
                      <w:p w:rsidR="00E32748" w:rsidRPr="002E1747" w:rsidRDefault="00E32748" w:rsidP="002E1747">
                        <w:pPr>
                          <w:rPr>
                            <w:rFonts w:asciiTheme="majorBidi" w:hAnsiTheme="majorBidi" w:cstheme="majorBidi"/>
                            <w:sz w:val="20"/>
                            <w:szCs w:val="20"/>
                          </w:rPr>
                        </w:pPr>
                        <w:r w:rsidRPr="002E1747">
                          <w:rPr>
                            <w:rFonts w:asciiTheme="majorBidi" w:hAnsiTheme="majorBidi" w:cstheme="majorBidi"/>
                            <w:sz w:val="20"/>
                            <w:szCs w:val="20"/>
                          </w:rPr>
                          <w:t xml:space="preserve">Excédent de marge  </w:t>
                        </w:r>
                      </w:p>
                      <w:p w:rsidR="00E32748" w:rsidRDefault="00E32748" w:rsidP="002E1747">
                        <w:pPr>
                          <w:jc w:val="center"/>
                        </w:pPr>
                      </w:p>
                      <w:p w:rsidR="00E32748" w:rsidRDefault="00E32748" w:rsidP="002E1747">
                        <w:pPr>
                          <w:jc w:val="center"/>
                        </w:pPr>
                      </w:p>
                      <w:p w:rsidR="00E32748" w:rsidRDefault="00E32748" w:rsidP="002E1747">
                        <w:pPr>
                          <w:jc w:val="center"/>
                        </w:pPr>
                      </w:p>
                    </w:txbxContent>
                  </v:textbox>
                </v:rect>
                <v:rect id="_x0000_s1050" style="position:absolute;left:8000;top:10362;width:1987;height:1522" o:regroupid="8" fillcolor="#c0504d [3205]" stroked="f" strokeweight="0">
                  <v:fill color2="#923633 [2373]" focusposition=".5,.5" focussize="" focus="100%" type="gradientRadial"/>
                  <v:shadow on="t" type="perspective" color="#622423 [1605]" offset="1pt" offset2="-3pt"/>
                  <v:textbox style="mso-next-textbox:#_x0000_s1050">
                    <w:txbxContent>
                      <w:p w:rsidR="00E32748" w:rsidRPr="003A7AD7" w:rsidRDefault="00E32748" w:rsidP="002E1747">
                        <w:pPr>
                          <w:jc w:val="center"/>
                          <w:rPr>
                            <w:rFonts w:asciiTheme="majorBidi" w:hAnsiTheme="majorBidi" w:cstheme="majorBidi"/>
                            <w:sz w:val="20"/>
                            <w:szCs w:val="20"/>
                            <w:lang w:val="en-US"/>
                          </w:rPr>
                        </w:pPr>
                        <w:r w:rsidRPr="003A7AD7">
                          <w:rPr>
                            <w:rFonts w:asciiTheme="majorBidi" w:hAnsiTheme="majorBidi" w:cstheme="majorBidi"/>
                            <w:sz w:val="20"/>
                            <w:szCs w:val="20"/>
                            <w:lang w:val="en-US"/>
                          </w:rPr>
                          <w:t>Solvency capital requirement (SCR)</w:t>
                        </w:r>
                      </w:p>
                      <w:p w:rsidR="00E32748" w:rsidRPr="003A7AD7" w:rsidRDefault="00E32748" w:rsidP="002E1747">
                        <w:pPr>
                          <w:jc w:val="center"/>
                          <w:rPr>
                            <w:rFonts w:asciiTheme="majorBidi" w:hAnsiTheme="majorBidi" w:cstheme="majorBidi"/>
                            <w:sz w:val="20"/>
                            <w:szCs w:val="20"/>
                            <w:lang w:val="en-US"/>
                          </w:rPr>
                        </w:pPr>
                        <w:r w:rsidRPr="003A7AD7">
                          <w:rPr>
                            <w:rFonts w:asciiTheme="majorBidi" w:hAnsiTheme="majorBidi" w:cstheme="majorBidi"/>
                            <w:sz w:val="20"/>
                            <w:szCs w:val="20"/>
                            <w:lang w:val="en-US"/>
                          </w:rPr>
                          <w:t>Minimum capital requirement (MCR)</w:t>
                        </w:r>
                      </w:p>
                      <w:p w:rsidR="00E32748" w:rsidRPr="002E1747" w:rsidRDefault="00E32748" w:rsidP="002E1747">
                        <w:pPr>
                          <w:jc w:val="center"/>
                          <w:rPr>
                            <w:lang w:val="en-US"/>
                          </w:rPr>
                        </w:pPr>
                      </w:p>
                      <w:p w:rsidR="00E32748" w:rsidRPr="002E1747" w:rsidRDefault="00E32748" w:rsidP="002E1747">
                        <w:pPr>
                          <w:jc w:val="center"/>
                          <w:rPr>
                            <w:lang w:val="en-US"/>
                          </w:rPr>
                        </w:pPr>
                      </w:p>
                      <w:p w:rsidR="00E32748" w:rsidRPr="002E1747" w:rsidRDefault="00E32748" w:rsidP="002E1747">
                        <w:pPr>
                          <w:jc w:val="center"/>
                          <w:rPr>
                            <w:lang w:val="en-US"/>
                          </w:rPr>
                        </w:pPr>
                      </w:p>
                    </w:txbxContent>
                  </v:textbox>
                </v:rect>
                <v:rect id="_x0000_s1051" style="position:absolute;left:8000;top:12345;width:1987;height:1536" o:regroupid="8" fillcolor="#4f81bd [3204]" stroked="f" strokeweight="0">
                  <v:fill color2="#365e8f [2372]" focusposition=".5,.5" focussize="" focus="100%" type="gradientRadial"/>
                  <v:shadow on="t" type="perspective" color="#243f60 [1604]" offset="1pt" offset2="-3pt"/>
                  <v:textbox style="mso-next-textbox:#_x0000_s1051">
                    <w:txbxContent>
                      <w:p w:rsidR="00E32748" w:rsidRPr="00A812D8" w:rsidRDefault="00E32748" w:rsidP="002E1747">
                        <w:pPr>
                          <w:jc w:val="center"/>
                          <w:rPr>
                            <w:rFonts w:asciiTheme="majorBidi" w:hAnsiTheme="majorBidi" w:cstheme="majorBidi"/>
                          </w:rPr>
                        </w:pPr>
                        <w:r w:rsidRPr="00A812D8">
                          <w:rPr>
                            <w:rFonts w:asciiTheme="majorBidi" w:hAnsiTheme="majorBidi" w:cstheme="majorBidi"/>
                          </w:rPr>
                          <w:t>Provisions techniques Best Estimate</w:t>
                        </w:r>
                      </w:p>
                      <w:p w:rsidR="00E32748" w:rsidRDefault="00E32748" w:rsidP="002E1747">
                        <w:pPr>
                          <w:jc w:val="center"/>
                        </w:pPr>
                      </w:p>
                      <w:p w:rsidR="00E32748" w:rsidRDefault="00E32748" w:rsidP="002E1747">
                        <w:pPr>
                          <w:jc w:val="center"/>
                        </w:pPr>
                      </w:p>
                      <w:p w:rsidR="00E32748" w:rsidRDefault="00E32748" w:rsidP="002E1747">
                        <w:pPr>
                          <w:jc w:val="center"/>
                        </w:pPr>
                      </w:p>
                    </w:txbxContent>
                  </v:textbox>
                </v:rect>
                <v:rect id="_x0000_s1053" style="position:absolute;left:8000;top:11965;width:1987;height:353" o:regroupid="8" fillcolor="#4f81bd [3204]" stroked="f" strokeweight="0">
                  <v:fill color2="#365e8f [2372]" focusposition=".5,.5" focussize="" focus="100%" type="gradientRadial"/>
                  <v:shadow on="t" type="perspective" color="#243f60 [1604]" offset="1pt" offset2="-3pt"/>
                  <v:textbox style="mso-next-textbox:#_x0000_s1053">
                    <w:txbxContent>
                      <w:p w:rsidR="00E32748" w:rsidRPr="003A7AD7" w:rsidRDefault="00E32748">
                        <w:pPr>
                          <w:rPr>
                            <w:rFonts w:asciiTheme="majorBidi" w:hAnsiTheme="majorBidi" w:cstheme="majorBidi"/>
                            <w:b/>
                            <w:bCs/>
                            <w:sz w:val="14"/>
                            <w:szCs w:val="14"/>
                          </w:rPr>
                        </w:pPr>
                        <w:r w:rsidRPr="003A7AD7">
                          <w:rPr>
                            <w:rFonts w:asciiTheme="majorBidi" w:hAnsiTheme="majorBidi" w:cstheme="majorBidi"/>
                            <w:b/>
                            <w:bCs/>
                            <w:sz w:val="14"/>
                            <w:szCs w:val="14"/>
                          </w:rPr>
                          <w:t xml:space="preserve">Marge pour risque </w:t>
                        </w:r>
                      </w:p>
                    </w:txbxContent>
                  </v:textbox>
                </v:rect>
                <v:shape id="_x0000_s1057" type="#_x0000_t202" style="position:absolute;left:7432;top:9244;width:1736;height:543" o:regroupid="8" stroked="f">
                  <v:textbox style="mso-next-textbox:#_x0000_s1057">
                    <w:txbxContent>
                      <w:p w:rsidR="00E32748" w:rsidRPr="00A812D8" w:rsidRDefault="00E32748" w:rsidP="003A7AD7">
                        <w:pPr>
                          <w:rPr>
                            <w:rFonts w:asciiTheme="majorBidi" w:hAnsiTheme="majorBidi" w:cstheme="majorBidi"/>
                            <w:b/>
                            <w:bCs/>
                            <w:i/>
                            <w:iCs/>
                            <w:sz w:val="28"/>
                            <w:szCs w:val="28"/>
                          </w:rPr>
                        </w:pPr>
                        <w:r w:rsidRPr="00A812D8">
                          <w:rPr>
                            <w:rFonts w:asciiTheme="majorBidi" w:hAnsiTheme="majorBidi" w:cstheme="majorBidi"/>
                            <w:b/>
                            <w:bCs/>
                            <w:i/>
                            <w:iCs/>
                            <w:sz w:val="28"/>
                            <w:szCs w:val="28"/>
                          </w:rPr>
                          <w:t>Solvency II</w:t>
                        </w:r>
                      </w:p>
                    </w:txbxContent>
                  </v:textbox>
                </v:shape>
              </v:group>
            </v:group>
            <v:shape id="_x0000_s1058" type="#_x0000_t88" style="position:absolute;left:10174;top:9861;width:143;height:2023" o:regroupid="8" filled="t" fillcolor="#666 [1936]" strokecolor="black [3200]" strokeweight="1pt">
              <v:fill color2="black [3200]" focus="50%" type="gradient"/>
              <v:shadow on="t" type="perspective" color="#7f7f7f [1601]" offset="1pt" offset2="-3pt"/>
            </v:shape>
          </v:group>
        </w:pict>
      </w:r>
      <w:r w:rsidR="00496ADC" w:rsidRPr="00FF70BA">
        <w:rPr>
          <w:rFonts w:asciiTheme="majorBidi" w:hAnsiTheme="majorBidi" w:cstheme="majorBidi"/>
          <w:sz w:val="24"/>
          <w:szCs w:val="24"/>
        </w:rPr>
        <w:tab/>
        <w:t>L</w:t>
      </w:r>
      <w:r w:rsidR="000247D4" w:rsidRPr="00FF70BA">
        <w:rPr>
          <w:rFonts w:asciiTheme="majorBidi" w:hAnsiTheme="majorBidi" w:cstheme="majorBidi"/>
          <w:sz w:val="24"/>
          <w:szCs w:val="24"/>
        </w:rPr>
        <w:t>e projet d’introduction d’une évaluation des actifs et des passifs cohérente avec le marché</w:t>
      </w:r>
      <w:r w:rsidR="00316E80" w:rsidRPr="00FF70BA">
        <w:rPr>
          <w:rFonts w:asciiTheme="majorBidi" w:hAnsiTheme="majorBidi" w:cstheme="majorBidi"/>
          <w:sz w:val="24"/>
          <w:szCs w:val="24"/>
        </w:rPr>
        <w:t xml:space="preserve"> (juste-valeur au sens des IFRS</w:t>
      </w:r>
      <w:r w:rsidR="00CA16F1" w:rsidRPr="00FF70BA">
        <w:rPr>
          <w:rFonts w:asciiTheme="majorBidi" w:hAnsiTheme="majorBidi" w:cstheme="majorBidi"/>
          <w:sz w:val="24"/>
          <w:szCs w:val="24"/>
        </w:rPr>
        <w:t xml:space="preserve"> ou l’évaluation économique du bilan) </w:t>
      </w:r>
      <w:r w:rsidR="000247D4" w:rsidRPr="00FF70BA">
        <w:rPr>
          <w:rFonts w:asciiTheme="majorBidi" w:hAnsiTheme="majorBidi" w:cstheme="majorBidi"/>
          <w:sz w:val="24"/>
          <w:szCs w:val="24"/>
        </w:rPr>
        <w:t>est l’une des principales différences entre Solvabilité II et solvabilité I. Il aura un impact déterminant sur les résultats du calcul de la solvabilité.</w:t>
      </w:r>
      <w:r w:rsidR="003A7AD7" w:rsidRPr="00FF70BA">
        <w:rPr>
          <w:rFonts w:asciiTheme="majorBidi" w:hAnsiTheme="majorBidi" w:cstheme="majorBidi"/>
          <w:sz w:val="24"/>
          <w:szCs w:val="24"/>
        </w:rPr>
        <w:t xml:space="preserve"> Le schéma suivant </w:t>
      </w:r>
      <w:r w:rsidR="00CA16F1" w:rsidRPr="00FF70BA">
        <w:rPr>
          <w:rFonts w:asciiTheme="majorBidi" w:hAnsiTheme="majorBidi" w:cstheme="majorBidi"/>
          <w:sz w:val="24"/>
          <w:szCs w:val="24"/>
        </w:rPr>
        <w:t xml:space="preserve"> montre l’impact du passage de solvency I à solvency II:</w:t>
      </w:r>
      <w:r w:rsidR="00BF0695" w:rsidRPr="00FF70BA">
        <w:rPr>
          <w:rFonts w:asciiTheme="majorBidi" w:hAnsiTheme="majorBidi" w:cstheme="majorBidi"/>
          <w:sz w:val="24"/>
          <w:szCs w:val="24"/>
        </w:rPr>
        <w:t xml:space="preserve">          </w:t>
      </w:r>
      <w:r w:rsidR="00B20C63" w:rsidRPr="00FF70BA">
        <w:rPr>
          <w:rFonts w:asciiTheme="majorBidi" w:hAnsiTheme="majorBidi" w:cstheme="majorBidi"/>
          <w:sz w:val="24"/>
          <w:szCs w:val="24"/>
        </w:rPr>
        <w:t xml:space="preserve">                               </w:t>
      </w:r>
    </w:p>
    <w:p w:rsidR="004B336E" w:rsidRPr="00FF70BA" w:rsidRDefault="004B336E" w:rsidP="006B0558">
      <w:pPr>
        <w:spacing w:line="360" w:lineRule="auto"/>
        <w:jc w:val="both"/>
        <w:rPr>
          <w:rFonts w:asciiTheme="majorBidi" w:hAnsiTheme="majorBidi" w:cstheme="majorBidi"/>
          <w:sz w:val="24"/>
          <w:szCs w:val="24"/>
        </w:rPr>
      </w:pPr>
    </w:p>
    <w:p w:rsidR="004B336E" w:rsidRPr="00FF70BA" w:rsidRDefault="004B336E" w:rsidP="006B0558">
      <w:pPr>
        <w:spacing w:line="360" w:lineRule="auto"/>
        <w:jc w:val="both"/>
        <w:rPr>
          <w:rFonts w:asciiTheme="majorBidi" w:hAnsiTheme="majorBidi" w:cstheme="majorBidi"/>
          <w:sz w:val="24"/>
          <w:szCs w:val="24"/>
        </w:rPr>
      </w:pPr>
    </w:p>
    <w:p w:rsidR="004B336E" w:rsidRPr="00FF70BA" w:rsidRDefault="009C5AC6" w:rsidP="006B0558">
      <w:pPr>
        <w:spacing w:line="360" w:lineRule="auto"/>
        <w:jc w:val="both"/>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68" type="#_x0000_t32" style="position:absolute;left:0;text-align:left;margin-left:333.6pt;margin-top:21.55pt;width:106.4pt;height:.05pt;z-index:251657728" o:connectortype="straight" strokecolor="#f79646 [3209]" strokeweight="1pt">
            <v:stroke dashstyle="dash"/>
            <v:shadow color="#868686"/>
          </v:shape>
        </w:pict>
      </w:r>
    </w:p>
    <w:p w:rsidR="00B20C63" w:rsidRPr="00FF70BA" w:rsidRDefault="00B20C63" w:rsidP="006B0558">
      <w:pPr>
        <w:spacing w:line="360" w:lineRule="auto"/>
        <w:jc w:val="both"/>
        <w:rPr>
          <w:rFonts w:asciiTheme="majorBidi" w:hAnsiTheme="majorBidi" w:cstheme="majorBidi"/>
          <w:sz w:val="24"/>
          <w:szCs w:val="24"/>
        </w:rPr>
      </w:pPr>
    </w:p>
    <w:p w:rsidR="00B20C63" w:rsidRPr="00FF70BA" w:rsidRDefault="00B20C63" w:rsidP="006B0558">
      <w:pPr>
        <w:spacing w:line="360" w:lineRule="auto"/>
        <w:jc w:val="both"/>
        <w:rPr>
          <w:rFonts w:asciiTheme="majorBidi" w:hAnsiTheme="majorBidi" w:cstheme="majorBidi"/>
          <w:sz w:val="24"/>
          <w:szCs w:val="24"/>
        </w:rPr>
      </w:pPr>
    </w:p>
    <w:p w:rsidR="00B20C63" w:rsidRPr="00FF70BA" w:rsidRDefault="00B20C63" w:rsidP="006B0558">
      <w:pPr>
        <w:spacing w:line="360" w:lineRule="auto"/>
        <w:jc w:val="both"/>
        <w:rPr>
          <w:rFonts w:asciiTheme="majorBidi" w:hAnsiTheme="majorBidi" w:cstheme="majorBidi"/>
          <w:sz w:val="24"/>
          <w:szCs w:val="24"/>
        </w:rPr>
      </w:pPr>
    </w:p>
    <w:p w:rsidR="00B20C63" w:rsidRPr="00FF70BA" w:rsidRDefault="00B20C63" w:rsidP="006B0558">
      <w:pPr>
        <w:spacing w:line="360" w:lineRule="auto"/>
        <w:jc w:val="both"/>
        <w:rPr>
          <w:rFonts w:asciiTheme="majorBidi" w:hAnsiTheme="majorBidi" w:cstheme="majorBidi"/>
          <w:sz w:val="24"/>
          <w:szCs w:val="24"/>
        </w:rPr>
      </w:pPr>
    </w:p>
    <w:p w:rsidR="004B336E" w:rsidRPr="00FF70BA" w:rsidRDefault="004B336E" w:rsidP="006B0558">
      <w:pPr>
        <w:spacing w:line="360" w:lineRule="auto"/>
        <w:jc w:val="both"/>
        <w:rPr>
          <w:rFonts w:asciiTheme="majorBidi" w:hAnsiTheme="majorBidi" w:cstheme="majorBidi"/>
          <w:sz w:val="24"/>
          <w:szCs w:val="24"/>
        </w:rPr>
      </w:pPr>
    </w:p>
    <w:p w:rsidR="00C10FF6" w:rsidRDefault="00F624AA" w:rsidP="00C10FF6">
      <w:pPr>
        <w:spacing w:after="0" w:line="360" w:lineRule="auto"/>
        <w:jc w:val="both"/>
        <w:rPr>
          <w:rFonts w:asciiTheme="majorBidi" w:hAnsiTheme="majorBidi" w:cstheme="majorBidi"/>
          <w:b/>
          <w:bCs/>
          <w:sz w:val="24"/>
          <w:szCs w:val="24"/>
        </w:rPr>
      </w:pPr>
      <w:r w:rsidRPr="00FF70BA">
        <w:rPr>
          <w:rFonts w:asciiTheme="majorBidi" w:hAnsiTheme="majorBidi" w:cstheme="majorBidi"/>
          <w:b/>
          <w:bCs/>
          <w:sz w:val="24"/>
          <w:szCs w:val="24"/>
        </w:rPr>
        <w:t>Figur</w:t>
      </w:r>
      <w:r w:rsidR="00734406">
        <w:rPr>
          <w:rFonts w:asciiTheme="majorBidi" w:hAnsiTheme="majorBidi" w:cstheme="majorBidi"/>
          <w:b/>
          <w:bCs/>
          <w:sz w:val="24"/>
          <w:szCs w:val="24"/>
        </w:rPr>
        <w:t>e N°2: L’impact du passage de SI  à SII</w:t>
      </w:r>
      <w:r w:rsidRPr="00FF70BA">
        <w:rPr>
          <w:rFonts w:asciiTheme="majorBidi" w:hAnsiTheme="majorBidi" w:cstheme="majorBidi"/>
          <w:b/>
          <w:bCs/>
          <w:sz w:val="24"/>
          <w:szCs w:val="24"/>
        </w:rPr>
        <w:t xml:space="preserve"> sur le bilan </w:t>
      </w:r>
    </w:p>
    <w:p w:rsidR="00F624AA" w:rsidRDefault="00F624AA" w:rsidP="00E12BF1">
      <w:pPr>
        <w:spacing w:after="0" w:line="360" w:lineRule="auto"/>
        <w:jc w:val="both"/>
        <w:rPr>
          <w:rFonts w:asciiTheme="majorBidi" w:hAnsiTheme="majorBidi" w:cstheme="majorBidi"/>
          <w:b/>
          <w:bCs/>
          <w:sz w:val="24"/>
          <w:szCs w:val="24"/>
        </w:rPr>
      </w:pPr>
      <w:r w:rsidRPr="00C10FF6">
        <w:rPr>
          <w:rFonts w:asciiTheme="majorBidi" w:hAnsiTheme="majorBidi" w:cstheme="majorBidi"/>
          <w:b/>
          <w:bCs/>
          <w:sz w:val="24"/>
          <w:szCs w:val="24"/>
        </w:rPr>
        <w:t>Source:</w:t>
      </w:r>
      <w:r w:rsidR="00CE2BD8" w:rsidRPr="00C10FF6">
        <w:rPr>
          <w:rFonts w:asciiTheme="majorBidi" w:hAnsiTheme="majorBidi" w:cstheme="majorBidi"/>
          <w:b/>
          <w:bCs/>
          <w:sz w:val="24"/>
          <w:szCs w:val="24"/>
        </w:rPr>
        <w:t xml:space="preserve"> </w:t>
      </w:r>
      <w:r w:rsidRPr="00C10FF6">
        <w:rPr>
          <w:rFonts w:asciiTheme="majorBidi" w:hAnsiTheme="majorBidi" w:cstheme="majorBidi"/>
          <w:b/>
          <w:bCs/>
          <w:sz w:val="24"/>
          <w:szCs w:val="24"/>
        </w:rPr>
        <w:t xml:space="preserve">  </w:t>
      </w:r>
      <w:r w:rsidR="00B63CD9" w:rsidRPr="00B63CD9">
        <w:rPr>
          <w:rFonts w:asciiTheme="majorBidi" w:hAnsiTheme="majorBidi" w:cstheme="majorBidi"/>
        </w:rPr>
        <w:t>www.ceiops.org</w:t>
      </w:r>
      <w:r w:rsidR="00C10FF6">
        <w:t xml:space="preserve"> </w:t>
      </w:r>
    </w:p>
    <w:p w:rsidR="00E12BF1" w:rsidRPr="00C10FF6" w:rsidRDefault="00E12BF1" w:rsidP="00E12BF1">
      <w:pPr>
        <w:spacing w:after="0" w:line="360" w:lineRule="auto"/>
        <w:jc w:val="both"/>
        <w:rPr>
          <w:rFonts w:asciiTheme="majorBidi" w:hAnsiTheme="majorBidi" w:cstheme="majorBidi"/>
          <w:b/>
          <w:bCs/>
          <w:sz w:val="24"/>
          <w:szCs w:val="24"/>
        </w:rPr>
      </w:pPr>
    </w:p>
    <w:p w:rsidR="00F72708" w:rsidRDefault="00D070F1" w:rsidP="00E12BF1">
      <w:pPr>
        <w:autoSpaceDE w:val="0"/>
        <w:autoSpaceDN w:val="0"/>
        <w:adjustRightInd w:val="0"/>
        <w:spacing w:after="0" w:line="360" w:lineRule="auto"/>
        <w:jc w:val="both"/>
        <w:rPr>
          <w:rFonts w:asciiTheme="majorBidi" w:hAnsiTheme="majorBidi" w:cstheme="majorBidi"/>
          <w:sz w:val="24"/>
          <w:szCs w:val="24"/>
        </w:rPr>
      </w:pPr>
      <w:r w:rsidRPr="00C10FF6">
        <w:rPr>
          <w:rFonts w:asciiTheme="majorBidi" w:hAnsiTheme="majorBidi" w:cstheme="majorBidi"/>
          <w:sz w:val="24"/>
          <w:szCs w:val="24"/>
        </w:rPr>
        <w:tab/>
      </w:r>
      <w:r w:rsidR="003379CA" w:rsidRPr="00C10FF6">
        <w:rPr>
          <w:rFonts w:asciiTheme="majorBidi" w:hAnsiTheme="majorBidi" w:cstheme="majorBidi"/>
          <w:sz w:val="24"/>
          <w:szCs w:val="24"/>
        </w:rPr>
        <w:t xml:space="preserve"> </w:t>
      </w:r>
      <w:r w:rsidRPr="00FF70BA">
        <w:rPr>
          <w:rFonts w:asciiTheme="majorBidi" w:hAnsiTheme="majorBidi" w:cstheme="majorBidi"/>
          <w:sz w:val="24"/>
          <w:szCs w:val="24"/>
        </w:rPr>
        <w:t>En accord avec les développements attendus de l’IASB</w:t>
      </w:r>
      <w:r w:rsidR="00E12BF1" w:rsidRPr="00E12BF1">
        <w:rPr>
          <w:rStyle w:val="Appelnotedebasdep"/>
          <w:rFonts w:asciiTheme="majorBidi" w:hAnsiTheme="majorBidi" w:cstheme="majorBidi"/>
          <w:sz w:val="24"/>
          <w:szCs w:val="24"/>
        </w:rPr>
        <w:footnoteReference w:customMarkFollows="1" w:id="8"/>
        <w:sym w:font="Symbol" w:char="F02A"/>
      </w:r>
      <w:r w:rsidRPr="00FF70BA">
        <w:rPr>
          <w:rFonts w:asciiTheme="majorBidi" w:hAnsiTheme="majorBidi" w:cstheme="majorBidi"/>
          <w:sz w:val="24"/>
          <w:szCs w:val="24"/>
        </w:rPr>
        <w:t>, les provisions techniques devront être</w:t>
      </w:r>
      <w:r w:rsidR="003379CA" w:rsidRPr="00FF70BA">
        <w:rPr>
          <w:rFonts w:asciiTheme="majorBidi" w:hAnsiTheme="majorBidi" w:cstheme="majorBidi"/>
          <w:sz w:val="24"/>
          <w:szCs w:val="24"/>
        </w:rPr>
        <w:t xml:space="preserve"> </w:t>
      </w:r>
      <w:r w:rsidRPr="00FF70BA">
        <w:rPr>
          <w:rFonts w:asciiTheme="majorBidi" w:hAnsiTheme="majorBidi" w:cstheme="majorBidi"/>
          <w:sz w:val="24"/>
          <w:szCs w:val="24"/>
        </w:rPr>
        <w:t>calculées</w:t>
      </w:r>
      <w:r w:rsidR="0040266F" w:rsidRPr="00FF70BA">
        <w:rPr>
          <w:rFonts w:asciiTheme="majorBidi" w:hAnsiTheme="majorBidi" w:cstheme="majorBidi"/>
          <w:sz w:val="24"/>
          <w:szCs w:val="24"/>
        </w:rPr>
        <w:t xml:space="preserve">  comme la somme de la meilleure estimation des flux futurs (« </w:t>
      </w:r>
      <w:r w:rsidR="0040266F" w:rsidRPr="00FF70BA">
        <w:rPr>
          <w:rFonts w:asciiTheme="majorBidi" w:hAnsiTheme="majorBidi" w:cstheme="majorBidi"/>
          <w:i/>
          <w:iCs/>
          <w:sz w:val="24"/>
          <w:szCs w:val="24"/>
        </w:rPr>
        <w:t xml:space="preserve">Best Estimate </w:t>
      </w:r>
      <w:r w:rsidR="0040266F" w:rsidRPr="00FF70BA">
        <w:rPr>
          <w:rFonts w:asciiTheme="majorBidi" w:hAnsiTheme="majorBidi" w:cstheme="majorBidi"/>
          <w:sz w:val="24"/>
          <w:szCs w:val="24"/>
        </w:rPr>
        <w:t xml:space="preserve">») et d’une marge pour risque, sauf si l’engagement est totalement réplicable par des instruments financiers. Dans ce cas, les provisions sont calculées comme un tout (« </w:t>
      </w:r>
      <w:r w:rsidR="0040266F" w:rsidRPr="00FF70BA">
        <w:rPr>
          <w:rFonts w:asciiTheme="majorBidi" w:hAnsiTheme="majorBidi" w:cstheme="majorBidi"/>
          <w:i/>
          <w:iCs/>
          <w:sz w:val="24"/>
          <w:szCs w:val="24"/>
        </w:rPr>
        <w:t>as a whole</w:t>
      </w:r>
      <w:r w:rsidR="0040266F" w:rsidRPr="00FF70BA">
        <w:rPr>
          <w:rFonts w:asciiTheme="majorBidi" w:hAnsiTheme="majorBidi" w:cstheme="majorBidi"/>
          <w:sz w:val="24"/>
          <w:szCs w:val="24"/>
        </w:rPr>
        <w:t xml:space="preserve">») sans marge pour risque. </w:t>
      </w:r>
    </w:p>
    <w:p w:rsidR="00E84482" w:rsidRPr="00FF70BA" w:rsidRDefault="00E84482" w:rsidP="006B0558">
      <w:pPr>
        <w:autoSpaceDE w:val="0"/>
        <w:autoSpaceDN w:val="0"/>
        <w:adjustRightInd w:val="0"/>
        <w:spacing w:after="0" w:line="360" w:lineRule="auto"/>
        <w:jc w:val="both"/>
        <w:rPr>
          <w:rFonts w:asciiTheme="majorBidi" w:hAnsiTheme="majorBidi" w:cstheme="majorBidi"/>
          <w:sz w:val="24"/>
          <w:szCs w:val="24"/>
        </w:rPr>
      </w:pPr>
    </w:p>
    <w:p w:rsidR="00261543" w:rsidRDefault="00F72708" w:rsidP="00C10FF6">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ab/>
      </w:r>
      <w:r w:rsidR="0040266F" w:rsidRPr="00FF70BA">
        <w:rPr>
          <w:rFonts w:asciiTheme="majorBidi" w:hAnsiTheme="majorBidi" w:cstheme="majorBidi"/>
          <w:sz w:val="24"/>
          <w:szCs w:val="24"/>
        </w:rPr>
        <w:t xml:space="preserve"> La meilleure estimation correspond au montant probabilisé des flux futurs de trésorerie liés au contrat (entrants ou sortants) actualisés au taux sans risque pertinent. La marge pour risque représente quant à elle le coût du capital que devrait lever le cessionnaire pour couvrir son exigence de capital jusqu’à l’extinction des passifs.</w:t>
      </w:r>
      <w:r w:rsidR="0040266F" w:rsidRPr="00FF70BA">
        <w:rPr>
          <w:rStyle w:val="Appelnotedebasdep"/>
          <w:rFonts w:asciiTheme="majorBidi" w:hAnsiTheme="majorBidi" w:cstheme="majorBidi"/>
          <w:sz w:val="24"/>
          <w:szCs w:val="24"/>
        </w:rPr>
        <w:footnoteReference w:id="9"/>
      </w:r>
    </w:p>
    <w:p w:rsidR="00A61B98" w:rsidRPr="00FF70BA" w:rsidRDefault="000247D4" w:rsidP="006B0558">
      <w:pPr>
        <w:spacing w:line="360" w:lineRule="auto"/>
        <w:jc w:val="both"/>
        <w:rPr>
          <w:rFonts w:asciiTheme="majorBidi" w:hAnsiTheme="majorBidi" w:cstheme="majorBidi"/>
          <w:sz w:val="24"/>
          <w:szCs w:val="24"/>
        </w:rPr>
      </w:pPr>
      <w:r w:rsidRPr="00FF70BA">
        <w:rPr>
          <w:rFonts w:asciiTheme="majorBidi" w:hAnsiTheme="majorBidi" w:cstheme="majorBidi"/>
          <w:sz w:val="24"/>
          <w:szCs w:val="24"/>
        </w:rPr>
        <w:lastRenderedPageBreak/>
        <w:t xml:space="preserve"> Solvabilité II s’appuie sur deux niveaux d’exigences de fonds propres :</w:t>
      </w:r>
      <w:r w:rsidR="00A61B98" w:rsidRPr="00FF70BA">
        <w:rPr>
          <w:rStyle w:val="Appelnotedebasdep"/>
          <w:rFonts w:asciiTheme="majorBidi" w:hAnsiTheme="majorBidi" w:cstheme="majorBidi"/>
          <w:sz w:val="24"/>
          <w:szCs w:val="24"/>
        </w:rPr>
        <w:footnoteReference w:id="10"/>
      </w:r>
    </w:p>
    <w:p w:rsidR="00A61B98" w:rsidRPr="00FF70BA" w:rsidRDefault="00A61B98" w:rsidP="006B0558">
      <w:pPr>
        <w:spacing w:line="360" w:lineRule="auto"/>
        <w:jc w:val="both"/>
        <w:rPr>
          <w:rFonts w:asciiTheme="majorBidi" w:hAnsiTheme="majorBidi" w:cstheme="majorBidi"/>
          <w:sz w:val="24"/>
          <w:szCs w:val="24"/>
        </w:rPr>
      </w:pPr>
      <w:r w:rsidRPr="00FF70BA">
        <w:rPr>
          <w:rFonts w:asciiTheme="majorBidi" w:hAnsiTheme="majorBidi" w:cstheme="majorBidi"/>
          <w:b/>
          <w:bCs/>
          <w:sz w:val="24"/>
          <w:szCs w:val="24"/>
        </w:rPr>
        <w:t>Le Minimum Capital Requirement (MCR):</w:t>
      </w:r>
      <w:r w:rsidRPr="00FF70BA">
        <w:rPr>
          <w:rFonts w:asciiTheme="majorBidi" w:hAnsiTheme="majorBidi" w:cstheme="majorBidi"/>
          <w:sz w:val="24"/>
          <w:szCs w:val="24"/>
        </w:rPr>
        <w:t xml:space="preserve"> l’</w:t>
      </w:r>
      <w:r w:rsidR="000247D4" w:rsidRPr="00FF70BA">
        <w:rPr>
          <w:rFonts w:asciiTheme="majorBidi" w:hAnsiTheme="majorBidi" w:cstheme="majorBidi"/>
          <w:sz w:val="24"/>
          <w:szCs w:val="24"/>
        </w:rPr>
        <w:t>exigence minimale</w:t>
      </w:r>
      <w:r w:rsidRPr="00FF70BA">
        <w:rPr>
          <w:rFonts w:asciiTheme="majorBidi" w:hAnsiTheme="majorBidi" w:cstheme="majorBidi"/>
          <w:sz w:val="24"/>
          <w:szCs w:val="24"/>
        </w:rPr>
        <w:t xml:space="preserve"> de fonds propres</w:t>
      </w:r>
      <w:r w:rsidR="000247D4" w:rsidRPr="00FF70BA">
        <w:rPr>
          <w:rFonts w:asciiTheme="majorBidi" w:hAnsiTheme="majorBidi" w:cstheme="majorBidi"/>
          <w:sz w:val="24"/>
          <w:szCs w:val="24"/>
        </w:rPr>
        <w:t xml:space="preserve"> </w:t>
      </w:r>
      <w:r w:rsidRPr="00FF70BA">
        <w:rPr>
          <w:rFonts w:asciiTheme="majorBidi" w:hAnsiTheme="majorBidi" w:cstheme="majorBidi"/>
          <w:sz w:val="24"/>
          <w:szCs w:val="24"/>
        </w:rPr>
        <w:t>qui désigne le  niveau</w:t>
      </w:r>
      <w:r w:rsidR="000247D4" w:rsidRPr="00FF70BA">
        <w:rPr>
          <w:rFonts w:asciiTheme="majorBidi" w:hAnsiTheme="majorBidi" w:cstheme="majorBidi"/>
          <w:sz w:val="24"/>
          <w:szCs w:val="24"/>
        </w:rPr>
        <w:t xml:space="preserve"> des fonds propres au dessous duquel</w:t>
      </w:r>
      <w:r w:rsidRPr="00FF70BA">
        <w:rPr>
          <w:rFonts w:asciiTheme="majorBidi" w:hAnsiTheme="majorBidi" w:cstheme="majorBidi"/>
          <w:sz w:val="24"/>
          <w:szCs w:val="24"/>
        </w:rPr>
        <w:t xml:space="preserve"> les activités d’une entreprise</w:t>
      </w:r>
      <w:r w:rsidR="000247D4" w:rsidRPr="00FF70BA">
        <w:rPr>
          <w:rFonts w:asciiTheme="majorBidi" w:hAnsiTheme="majorBidi" w:cstheme="majorBidi"/>
          <w:sz w:val="24"/>
          <w:szCs w:val="24"/>
        </w:rPr>
        <w:t xml:space="preserve"> d’assurance présentent un risque inacceptable pour les preneurs d’assurances. Si les fonds propres disponibles d’une entreprise tombent en dessous de l’exigence minimale de fonds propres, il convient de déclencher une intervention pr</w:t>
      </w:r>
      <w:r w:rsidRPr="00FF70BA">
        <w:rPr>
          <w:rFonts w:asciiTheme="majorBidi" w:hAnsiTheme="majorBidi" w:cstheme="majorBidi"/>
          <w:sz w:val="24"/>
          <w:szCs w:val="24"/>
        </w:rPr>
        <w:t>udentielle de dernier ressort.  </w:t>
      </w:r>
      <w:r w:rsidR="000247D4" w:rsidRPr="00FF70BA">
        <w:rPr>
          <w:rFonts w:asciiTheme="majorBidi" w:hAnsiTheme="majorBidi" w:cstheme="majorBidi"/>
          <w:sz w:val="24"/>
          <w:szCs w:val="24"/>
        </w:rPr>
        <w:t xml:space="preserve"> L’exigence minimale  de fonds propres doit constituer un indicateur </w:t>
      </w:r>
      <w:r w:rsidRPr="00FF70BA">
        <w:rPr>
          <w:rFonts w:asciiTheme="majorBidi" w:hAnsiTheme="majorBidi" w:cstheme="majorBidi"/>
          <w:sz w:val="24"/>
          <w:szCs w:val="24"/>
        </w:rPr>
        <w:t>simple, robuste et objectif. </w:t>
      </w:r>
    </w:p>
    <w:p w:rsidR="000247D4" w:rsidRPr="00FF70BA" w:rsidRDefault="00A61B98" w:rsidP="006B0558">
      <w:pPr>
        <w:spacing w:after="0" w:line="360" w:lineRule="auto"/>
        <w:jc w:val="both"/>
        <w:rPr>
          <w:rFonts w:asciiTheme="majorBidi" w:hAnsiTheme="majorBidi" w:cstheme="majorBidi"/>
          <w:sz w:val="24"/>
          <w:szCs w:val="24"/>
        </w:rPr>
      </w:pPr>
      <w:r w:rsidRPr="00FF70BA">
        <w:rPr>
          <w:rFonts w:asciiTheme="majorBidi" w:hAnsiTheme="majorBidi" w:cstheme="majorBidi"/>
          <w:b/>
          <w:bCs/>
          <w:sz w:val="24"/>
          <w:szCs w:val="24"/>
        </w:rPr>
        <w:t>Le Solvency Capital Requirement (SCR):</w:t>
      </w:r>
      <w:r w:rsidRPr="00FF70BA">
        <w:rPr>
          <w:rFonts w:asciiTheme="majorBidi" w:hAnsiTheme="majorBidi" w:cstheme="majorBidi"/>
          <w:sz w:val="24"/>
          <w:szCs w:val="24"/>
        </w:rPr>
        <w:t xml:space="preserve"> l’</w:t>
      </w:r>
      <w:r w:rsidR="000247D4" w:rsidRPr="00FF70BA">
        <w:rPr>
          <w:rFonts w:asciiTheme="majorBidi" w:hAnsiTheme="majorBidi" w:cstheme="majorBidi"/>
          <w:sz w:val="24"/>
          <w:szCs w:val="24"/>
        </w:rPr>
        <w:t>exigence de capital de solvabilité</w:t>
      </w:r>
      <w:r w:rsidR="00430404" w:rsidRPr="00FF70BA">
        <w:rPr>
          <w:rFonts w:asciiTheme="majorBidi" w:hAnsiTheme="majorBidi" w:cstheme="majorBidi"/>
          <w:sz w:val="24"/>
          <w:szCs w:val="24"/>
        </w:rPr>
        <w:t xml:space="preserve">, elle </w:t>
      </w:r>
      <w:r w:rsidR="000247D4" w:rsidRPr="00FF70BA">
        <w:rPr>
          <w:rFonts w:asciiTheme="majorBidi" w:hAnsiTheme="majorBidi" w:cstheme="majorBidi"/>
          <w:sz w:val="24"/>
          <w:szCs w:val="24"/>
        </w:rPr>
        <w:t xml:space="preserve"> doit correspondre à un niveau de capital permettant à une entreprise d’assurance d’absorber les sinistres imprévus significatifs et de donner aux preneurs d’assurance l’assurance raisonnable que les versements seront effectués à leur échéances. Elle doit correspondre aux fonds propres requis pour remplir toutes les obligations à un horizon temporel donné et en </w:t>
      </w:r>
      <w:r w:rsidR="00430404" w:rsidRPr="00FF70BA">
        <w:rPr>
          <w:rFonts w:asciiTheme="majorBidi" w:hAnsiTheme="majorBidi" w:cstheme="majorBidi"/>
          <w:sz w:val="24"/>
          <w:szCs w:val="24"/>
        </w:rPr>
        <w:t>fonction d’un niveau défini. </w:t>
      </w:r>
      <w:r w:rsidR="000247D4" w:rsidRPr="00FF70BA">
        <w:rPr>
          <w:rFonts w:asciiTheme="majorBidi" w:hAnsiTheme="majorBidi" w:cstheme="majorBidi"/>
          <w:sz w:val="24"/>
          <w:szCs w:val="24"/>
        </w:rPr>
        <w:t xml:space="preserve"> Par conséquent, tous les risques importants quantifiables auxquels un assureur est exposé (risque de souscription, de crédit ; opérationnel et de liquidité) doivent être pris en compte dans ce calcul.</w:t>
      </w:r>
    </w:p>
    <w:p w:rsidR="00E744B5" w:rsidRPr="00FF70BA" w:rsidRDefault="000247D4" w:rsidP="006B0558">
      <w:pPr>
        <w:pStyle w:val="Default"/>
        <w:spacing w:line="360" w:lineRule="auto"/>
        <w:jc w:val="both"/>
        <w:rPr>
          <w:rFonts w:asciiTheme="majorBidi" w:hAnsiTheme="majorBidi" w:cstheme="majorBidi"/>
        </w:rPr>
      </w:pPr>
      <w:r w:rsidRPr="00FF70BA">
        <w:rPr>
          <w:rFonts w:asciiTheme="majorBidi" w:hAnsiTheme="majorBidi" w:cstheme="majorBidi"/>
        </w:rPr>
        <w:t>L’exigence de capital de solvabilité se calcule soit de l’approche standard soit du modèle interne de risques de l’assureur, qui doit être validé et approuv</w:t>
      </w:r>
      <w:r w:rsidR="00430404" w:rsidRPr="00FF70BA">
        <w:rPr>
          <w:rFonts w:asciiTheme="majorBidi" w:hAnsiTheme="majorBidi" w:cstheme="majorBidi"/>
        </w:rPr>
        <w:t>é par les autorités de contrôle</w:t>
      </w:r>
      <w:r w:rsidRPr="00FF70BA">
        <w:rPr>
          <w:rFonts w:asciiTheme="majorBidi" w:hAnsiTheme="majorBidi" w:cstheme="majorBidi"/>
        </w:rPr>
        <w:t xml:space="preserve">. La possibilité d’utiliser leurs propres modèles de risque devrait permettre aux assureurs de calculer leur capital de solvabilité de façon à refléter leur profil de risque objectif. D’une </w:t>
      </w:r>
      <w:r w:rsidR="00430404" w:rsidRPr="00FF70BA">
        <w:rPr>
          <w:rFonts w:asciiTheme="majorBidi" w:hAnsiTheme="majorBidi" w:cstheme="majorBidi"/>
        </w:rPr>
        <w:t xml:space="preserve">manière générale, </w:t>
      </w:r>
      <w:r w:rsidRPr="00FF70BA">
        <w:rPr>
          <w:rFonts w:asciiTheme="majorBidi" w:hAnsiTheme="majorBidi" w:cstheme="majorBidi"/>
        </w:rPr>
        <w:t xml:space="preserve">l’exigence de capital de solvabilité calculée à </w:t>
      </w:r>
      <w:r w:rsidR="00430404" w:rsidRPr="00FF70BA">
        <w:rPr>
          <w:rFonts w:asciiTheme="majorBidi" w:hAnsiTheme="majorBidi" w:cstheme="majorBidi"/>
        </w:rPr>
        <w:t>l’aide des modèles internes est</w:t>
      </w:r>
      <w:r w:rsidRPr="00FF70BA">
        <w:rPr>
          <w:rFonts w:asciiTheme="majorBidi" w:hAnsiTheme="majorBidi" w:cstheme="majorBidi"/>
        </w:rPr>
        <w:t xml:space="preserve"> inférieure à celle du modèle standard. </w:t>
      </w:r>
    </w:p>
    <w:p w:rsidR="00E744B5" w:rsidRPr="00FF70BA" w:rsidRDefault="00E744B5" w:rsidP="006B0558">
      <w:pPr>
        <w:pStyle w:val="Default"/>
        <w:spacing w:line="360" w:lineRule="auto"/>
        <w:jc w:val="both"/>
        <w:rPr>
          <w:rFonts w:asciiTheme="majorBidi" w:hAnsiTheme="majorBidi" w:cstheme="majorBidi"/>
        </w:rPr>
      </w:pPr>
    </w:p>
    <w:p w:rsidR="008C271C" w:rsidRPr="00246F0A" w:rsidRDefault="00496ADC" w:rsidP="006B0558">
      <w:pPr>
        <w:pStyle w:val="Default"/>
        <w:spacing w:line="360" w:lineRule="auto"/>
        <w:jc w:val="both"/>
        <w:rPr>
          <w:rFonts w:asciiTheme="majorBidi" w:hAnsiTheme="majorBidi" w:cstheme="majorBidi"/>
          <w:b/>
          <w:bCs/>
          <w:sz w:val="28"/>
          <w:szCs w:val="28"/>
        </w:rPr>
      </w:pPr>
      <w:r w:rsidRPr="00FF70BA">
        <w:rPr>
          <w:rFonts w:asciiTheme="majorBidi" w:hAnsiTheme="majorBidi" w:cstheme="majorBidi"/>
          <w:b/>
          <w:bCs/>
          <w:sz w:val="28"/>
          <w:szCs w:val="28"/>
        </w:rPr>
        <w:t>2.2.  PILIER N°2: LES EXIGENCES QUALITATIVES ET LES REGLES DE</w:t>
      </w:r>
      <w:r w:rsidRPr="00FF70BA">
        <w:rPr>
          <w:rFonts w:asciiTheme="majorBidi" w:hAnsiTheme="majorBidi" w:cstheme="majorBidi"/>
          <w:sz w:val="28"/>
          <w:szCs w:val="28"/>
        </w:rPr>
        <w:t xml:space="preserve"> </w:t>
      </w:r>
      <w:r w:rsidRPr="00FF70BA">
        <w:rPr>
          <w:rFonts w:asciiTheme="majorBidi" w:hAnsiTheme="majorBidi" w:cstheme="majorBidi"/>
          <w:b/>
          <w:bCs/>
          <w:sz w:val="28"/>
          <w:szCs w:val="28"/>
        </w:rPr>
        <w:t>CONTROLE</w:t>
      </w:r>
    </w:p>
    <w:p w:rsidR="00377966" w:rsidRDefault="00936F0D" w:rsidP="009E189D">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color w:val="363636"/>
          <w:sz w:val="24"/>
          <w:szCs w:val="24"/>
        </w:rPr>
        <w:tab/>
      </w:r>
      <w:r w:rsidR="008C271C" w:rsidRPr="00FF70BA">
        <w:rPr>
          <w:rFonts w:asciiTheme="majorBidi" w:hAnsiTheme="majorBidi" w:cstheme="majorBidi"/>
          <w:sz w:val="24"/>
          <w:szCs w:val="24"/>
        </w:rPr>
        <w:t>Jusqu’à présent, l’attention s’est surtout portée sur le premier pilier, notamment à travers les études quantitatives d’impact.</w:t>
      </w:r>
      <w:r w:rsidRPr="00FF70BA">
        <w:rPr>
          <w:rFonts w:asciiTheme="majorBidi" w:hAnsiTheme="majorBidi" w:cstheme="majorBidi"/>
          <w:sz w:val="24"/>
          <w:szCs w:val="24"/>
        </w:rPr>
        <w:t xml:space="preserve"> </w:t>
      </w:r>
      <w:r w:rsidR="008C271C" w:rsidRPr="00FF70BA">
        <w:rPr>
          <w:rFonts w:asciiTheme="majorBidi" w:hAnsiTheme="majorBidi" w:cstheme="majorBidi"/>
          <w:sz w:val="24"/>
          <w:szCs w:val="24"/>
        </w:rPr>
        <w:t>Il est cependant crucial de ne pas négliger le deuxième pilier, qui sera tout aussi important que le premier, le complétera et déterminera le montant de l’éventuelle exigence de fonds propres supplémentaires (</w:t>
      </w:r>
      <w:r w:rsidR="008C271C" w:rsidRPr="00FF70BA">
        <w:rPr>
          <w:rFonts w:asciiTheme="majorBidi" w:hAnsiTheme="majorBidi" w:cstheme="majorBidi"/>
          <w:i/>
          <w:iCs/>
          <w:sz w:val="24"/>
          <w:szCs w:val="24"/>
        </w:rPr>
        <w:t>capital add-on</w:t>
      </w:r>
      <w:r w:rsidR="008C271C" w:rsidRPr="00FF70BA">
        <w:rPr>
          <w:rFonts w:asciiTheme="majorBidi" w:hAnsiTheme="majorBidi" w:cstheme="majorBidi"/>
          <w:sz w:val="24"/>
          <w:szCs w:val="24"/>
        </w:rPr>
        <w:t xml:space="preserve">). Les superviseurs porteront une attention particulière au deuxième pilier, dans la mesure où celui-ci se situe au </w:t>
      </w:r>
      <w:r w:rsidR="000C6683" w:rsidRPr="00FF70BA">
        <w:rPr>
          <w:rFonts w:asciiTheme="majorBidi" w:hAnsiTheme="majorBidi" w:cstheme="majorBidi"/>
          <w:sz w:val="24"/>
          <w:szCs w:val="24"/>
        </w:rPr>
        <w:t>cœur</w:t>
      </w:r>
      <w:r w:rsidR="008C271C" w:rsidRPr="00FF70BA">
        <w:rPr>
          <w:rFonts w:asciiTheme="majorBidi" w:hAnsiTheme="majorBidi" w:cstheme="majorBidi"/>
          <w:sz w:val="24"/>
          <w:szCs w:val="24"/>
        </w:rPr>
        <w:t xml:space="preserve"> de la philosophie de Solvabilité 2: assurer la maîtrise par les sociétés de leurs </w:t>
      </w:r>
      <w:r w:rsidR="008C271C" w:rsidRPr="00FF70BA">
        <w:rPr>
          <w:rFonts w:asciiTheme="majorBidi" w:hAnsiTheme="majorBidi" w:cstheme="majorBidi"/>
          <w:sz w:val="24"/>
          <w:szCs w:val="24"/>
        </w:rPr>
        <w:lastRenderedPageBreak/>
        <w:t>risques et veiller à leur correcte capitalisation. Dans cette perspective, les sociétés assujetties devront se doter de contrôles, de procédures ainsi que d’une méthodologie d’évaluation de leurs risques et des besoins en fonds propres correspondant. Ce processus d’estimation devra se faire dans un cadre défini : l’ORSA (</w:t>
      </w:r>
      <w:r w:rsidR="008C271C" w:rsidRPr="00FF70BA">
        <w:rPr>
          <w:rFonts w:asciiTheme="majorBidi" w:hAnsiTheme="majorBidi" w:cstheme="majorBidi"/>
          <w:i/>
          <w:iCs/>
          <w:sz w:val="24"/>
          <w:szCs w:val="24"/>
        </w:rPr>
        <w:t>Own Risk and Solvency Assessmen</w:t>
      </w:r>
      <w:r w:rsidR="009E189D">
        <w:rPr>
          <w:rFonts w:asciiTheme="majorBidi" w:hAnsiTheme="majorBidi" w:cstheme="majorBidi"/>
          <w:i/>
          <w:iCs/>
          <w:sz w:val="24"/>
          <w:szCs w:val="24"/>
        </w:rPr>
        <w:t>t</w:t>
      </w:r>
      <w:r w:rsidR="00E12BF1" w:rsidRPr="00E12BF1">
        <w:rPr>
          <w:rStyle w:val="Appelnotedebasdep"/>
          <w:rFonts w:asciiTheme="majorBidi" w:hAnsiTheme="majorBidi" w:cstheme="majorBidi"/>
          <w:i/>
          <w:iCs/>
          <w:sz w:val="24"/>
          <w:szCs w:val="24"/>
        </w:rPr>
        <w:footnoteReference w:customMarkFollows="1" w:id="11"/>
        <w:sym w:font="Symbol" w:char="F02A"/>
      </w:r>
      <w:r w:rsidR="008C271C" w:rsidRPr="00FF70BA">
        <w:rPr>
          <w:rFonts w:asciiTheme="majorBidi" w:hAnsiTheme="majorBidi" w:cstheme="majorBidi"/>
          <w:sz w:val="24"/>
          <w:szCs w:val="24"/>
        </w:rPr>
        <w:t>).</w:t>
      </w:r>
    </w:p>
    <w:p w:rsidR="00246F0A" w:rsidRPr="00FF70BA" w:rsidRDefault="00246F0A" w:rsidP="006B0558">
      <w:pPr>
        <w:autoSpaceDE w:val="0"/>
        <w:autoSpaceDN w:val="0"/>
        <w:adjustRightInd w:val="0"/>
        <w:spacing w:after="0" w:line="360" w:lineRule="auto"/>
        <w:jc w:val="both"/>
        <w:rPr>
          <w:rFonts w:asciiTheme="majorBidi" w:hAnsiTheme="majorBidi" w:cstheme="majorBidi"/>
          <w:sz w:val="24"/>
          <w:szCs w:val="24"/>
        </w:rPr>
      </w:pPr>
    </w:p>
    <w:p w:rsidR="00377966" w:rsidRDefault="00377966"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ab/>
        <w:t>De plus, la récente crise financière a sans aucun doute renforcé l’importance qui sera accordée au deuxième pilier : en exposant les limites de l’approche quantitative, elle a souligné la nécessité de renforcer les exigences qualitatives.</w:t>
      </w:r>
    </w:p>
    <w:p w:rsidR="00246F0A" w:rsidRPr="00FF70BA" w:rsidRDefault="00246F0A" w:rsidP="006B0558">
      <w:pPr>
        <w:autoSpaceDE w:val="0"/>
        <w:autoSpaceDN w:val="0"/>
        <w:adjustRightInd w:val="0"/>
        <w:spacing w:after="0" w:line="360" w:lineRule="auto"/>
        <w:jc w:val="both"/>
        <w:rPr>
          <w:rFonts w:asciiTheme="majorBidi" w:hAnsiTheme="majorBidi" w:cstheme="majorBidi"/>
          <w:sz w:val="24"/>
          <w:szCs w:val="24"/>
        </w:rPr>
      </w:pPr>
    </w:p>
    <w:p w:rsidR="00452920" w:rsidRDefault="00377966" w:rsidP="006B0558">
      <w:pPr>
        <w:pStyle w:val="Paragraphedeliste"/>
        <w:tabs>
          <w:tab w:val="left" w:pos="426"/>
        </w:tabs>
        <w:autoSpaceDE w:val="0"/>
        <w:autoSpaceDN w:val="0"/>
        <w:adjustRightInd w:val="0"/>
        <w:spacing w:after="0" w:line="360" w:lineRule="auto"/>
        <w:ind w:left="0"/>
        <w:jc w:val="both"/>
        <w:rPr>
          <w:rFonts w:asciiTheme="majorBidi" w:hAnsiTheme="majorBidi" w:cstheme="majorBidi"/>
          <w:color w:val="000000"/>
          <w:sz w:val="24"/>
          <w:szCs w:val="24"/>
        </w:rPr>
      </w:pPr>
      <w:r w:rsidRPr="00FF70BA">
        <w:rPr>
          <w:rFonts w:asciiTheme="majorBidi" w:hAnsiTheme="majorBidi" w:cstheme="majorBidi"/>
          <w:color w:val="000000"/>
          <w:sz w:val="24"/>
          <w:szCs w:val="24"/>
        </w:rPr>
        <w:tab/>
      </w:r>
      <w:r w:rsidR="00A27BC9" w:rsidRPr="00FF70BA">
        <w:rPr>
          <w:rFonts w:asciiTheme="majorBidi" w:hAnsiTheme="majorBidi" w:cstheme="majorBidi"/>
          <w:color w:val="000000"/>
          <w:sz w:val="24"/>
          <w:szCs w:val="24"/>
        </w:rPr>
        <w:t>La Directive Cadre Solvabilité 2 impose explicitement l’ORSA comm</w:t>
      </w:r>
      <w:r w:rsidR="00B235F9" w:rsidRPr="00FF70BA">
        <w:rPr>
          <w:rFonts w:asciiTheme="majorBidi" w:hAnsiTheme="majorBidi" w:cstheme="majorBidi"/>
          <w:color w:val="000000"/>
          <w:sz w:val="24"/>
          <w:szCs w:val="24"/>
        </w:rPr>
        <w:t>e outil de décision stratégique</w:t>
      </w:r>
      <w:r w:rsidR="00A27BC9" w:rsidRPr="00FF70BA">
        <w:rPr>
          <w:rFonts w:asciiTheme="majorBidi" w:hAnsiTheme="majorBidi" w:cstheme="majorBidi"/>
          <w:color w:val="000000"/>
          <w:sz w:val="24"/>
          <w:szCs w:val="24"/>
        </w:rPr>
        <w:t>. Il apparaît en effet que cet exercice permettra d’objectiver un certain nombre de décisions, d’assurer une plus grande cohérence des politiques mises en place et de renforcer la vision prospective et le pilotage de l’activité. L</w:t>
      </w:r>
      <w:r w:rsidR="00B235F9" w:rsidRPr="00FF70BA">
        <w:rPr>
          <w:rFonts w:asciiTheme="majorBidi" w:hAnsiTheme="majorBidi" w:cstheme="majorBidi"/>
          <w:color w:val="000000"/>
          <w:sz w:val="24"/>
          <w:szCs w:val="24"/>
        </w:rPr>
        <w:t>’ORSA offrira l’opportunité de</w:t>
      </w:r>
      <w:r w:rsidR="00452920" w:rsidRPr="00FF70BA">
        <w:rPr>
          <w:rFonts w:asciiTheme="majorBidi" w:hAnsiTheme="majorBidi" w:cstheme="majorBidi"/>
          <w:color w:val="000000"/>
          <w:sz w:val="24"/>
          <w:szCs w:val="24"/>
        </w:rPr>
        <w:t>:</w:t>
      </w:r>
      <w:r w:rsidRPr="00FF70BA">
        <w:rPr>
          <w:rStyle w:val="Appelnotedebasdep"/>
          <w:rFonts w:asciiTheme="majorBidi" w:hAnsiTheme="majorBidi" w:cstheme="majorBidi"/>
          <w:color w:val="000000"/>
          <w:sz w:val="24"/>
          <w:szCs w:val="24"/>
        </w:rPr>
        <w:footnoteReference w:id="12"/>
      </w:r>
    </w:p>
    <w:p w:rsidR="00261543" w:rsidRPr="00FF70BA" w:rsidRDefault="00261543" w:rsidP="006B0558">
      <w:pPr>
        <w:pStyle w:val="Paragraphedeliste"/>
        <w:tabs>
          <w:tab w:val="left" w:pos="426"/>
        </w:tabs>
        <w:autoSpaceDE w:val="0"/>
        <w:autoSpaceDN w:val="0"/>
        <w:adjustRightInd w:val="0"/>
        <w:spacing w:after="0" w:line="360" w:lineRule="auto"/>
        <w:ind w:left="0"/>
        <w:jc w:val="both"/>
        <w:rPr>
          <w:rFonts w:asciiTheme="majorBidi" w:hAnsiTheme="majorBidi" w:cstheme="majorBidi"/>
          <w:color w:val="000000"/>
          <w:sz w:val="24"/>
          <w:szCs w:val="24"/>
        </w:rPr>
      </w:pPr>
    </w:p>
    <w:p w:rsidR="00452920" w:rsidRPr="00FF70BA" w:rsidRDefault="00A27BC9" w:rsidP="006B0558">
      <w:pPr>
        <w:pStyle w:val="Paragraphedeliste"/>
        <w:numPr>
          <w:ilvl w:val="0"/>
          <w:numId w:val="9"/>
        </w:numPr>
        <w:tabs>
          <w:tab w:val="left" w:pos="426"/>
        </w:tabs>
        <w:autoSpaceDE w:val="0"/>
        <w:autoSpaceDN w:val="0"/>
        <w:adjustRightInd w:val="0"/>
        <w:spacing w:line="360" w:lineRule="auto"/>
        <w:ind w:left="0" w:firstLine="0"/>
        <w:jc w:val="both"/>
        <w:rPr>
          <w:rFonts w:asciiTheme="majorBidi" w:hAnsiTheme="majorBidi" w:cstheme="majorBidi"/>
          <w:color w:val="000000"/>
          <w:sz w:val="24"/>
          <w:szCs w:val="24"/>
        </w:rPr>
      </w:pPr>
      <w:r w:rsidRPr="00FF70BA">
        <w:rPr>
          <w:rFonts w:asciiTheme="majorBidi" w:hAnsiTheme="majorBidi" w:cstheme="majorBidi"/>
          <w:color w:val="000000"/>
          <w:sz w:val="24"/>
          <w:szCs w:val="24"/>
        </w:rPr>
        <w:t>Mettre en place des tableaux de bord permettant le suivi de l’activité, des risques et des besoins en fonds  propres ;</w:t>
      </w:r>
    </w:p>
    <w:p w:rsidR="00452920" w:rsidRPr="00FF70BA" w:rsidRDefault="00A27BC9" w:rsidP="006B0558">
      <w:pPr>
        <w:pStyle w:val="Paragraphedeliste"/>
        <w:numPr>
          <w:ilvl w:val="0"/>
          <w:numId w:val="9"/>
        </w:numPr>
        <w:tabs>
          <w:tab w:val="left" w:pos="426"/>
        </w:tabs>
        <w:autoSpaceDE w:val="0"/>
        <w:autoSpaceDN w:val="0"/>
        <w:adjustRightInd w:val="0"/>
        <w:spacing w:after="0" w:line="360" w:lineRule="auto"/>
        <w:ind w:left="0" w:firstLine="0"/>
        <w:jc w:val="both"/>
        <w:rPr>
          <w:rFonts w:asciiTheme="majorBidi" w:hAnsiTheme="majorBidi" w:cstheme="majorBidi"/>
          <w:color w:val="000000"/>
          <w:sz w:val="24"/>
          <w:szCs w:val="24"/>
        </w:rPr>
      </w:pPr>
      <w:r w:rsidRPr="00FF70BA">
        <w:rPr>
          <w:rFonts w:asciiTheme="majorBidi" w:hAnsiTheme="majorBidi" w:cstheme="majorBidi"/>
          <w:color w:val="000000"/>
          <w:sz w:val="24"/>
          <w:szCs w:val="24"/>
        </w:rPr>
        <w:t>Définir des procédures et des outils d’allocation du capital ;</w:t>
      </w:r>
    </w:p>
    <w:p w:rsidR="00452920" w:rsidRPr="00FF70BA" w:rsidRDefault="00A27BC9" w:rsidP="006B0558">
      <w:pPr>
        <w:pStyle w:val="Paragraphedeliste"/>
        <w:numPr>
          <w:ilvl w:val="0"/>
          <w:numId w:val="9"/>
        </w:numPr>
        <w:tabs>
          <w:tab w:val="left" w:pos="426"/>
        </w:tabs>
        <w:autoSpaceDE w:val="0"/>
        <w:autoSpaceDN w:val="0"/>
        <w:adjustRightInd w:val="0"/>
        <w:spacing w:after="0" w:line="360" w:lineRule="auto"/>
        <w:ind w:left="0" w:firstLine="0"/>
        <w:jc w:val="both"/>
        <w:rPr>
          <w:rFonts w:asciiTheme="majorBidi" w:hAnsiTheme="majorBidi" w:cstheme="majorBidi"/>
          <w:color w:val="000000"/>
          <w:sz w:val="24"/>
          <w:szCs w:val="24"/>
        </w:rPr>
      </w:pPr>
      <w:r w:rsidRPr="00FF70BA">
        <w:rPr>
          <w:rFonts w:asciiTheme="majorBidi" w:hAnsiTheme="majorBidi" w:cstheme="majorBidi"/>
          <w:color w:val="000000"/>
          <w:sz w:val="24"/>
          <w:szCs w:val="24"/>
        </w:rPr>
        <w:t xml:space="preserve"> Fixer des limites de risque, à différents niveaux (groupe ou fi liale, agrégé ou local,…), en fonction d’une appétence au risque formalisée ;</w:t>
      </w:r>
    </w:p>
    <w:p w:rsidR="00452920" w:rsidRPr="00261543" w:rsidRDefault="00A27BC9" w:rsidP="006B0558">
      <w:pPr>
        <w:pStyle w:val="Paragraphedeliste"/>
        <w:numPr>
          <w:ilvl w:val="0"/>
          <w:numId w:val="9"/>
        </w:numPr>
        <w:tabs>
          <w:tab w:val="left" w:pos="426"/>
        </w:tabs>
        <w:autoSpaceDE w:val="0"/>
        <w:autoSpaceDN w:val="0"/>
        <w:adjustRightInd w:val="0"/>
        <w:spacing w:after="0" w:line="360" w:lineRule="auto"/>
        <w:ind w:left="0" w:firstLine="0"/>
        <w:jc w:val="both"/>
        <w:rPr>
          <w:rFonts w:asciiTheme="majorBidi" w:hAnsiTheme="majorBidi" w:cstheme="majorBidi"/>
          <w:color w:val="000000"/>
          <w:sz w:val="24"/>
          <w:szCs w:val="24"/>
        </w:rPr>
      </w:pPr>
      <w:r w:rsidRPr="00FF70BA">
        <w:rPr>
          <w:rFonts w:asciiTheme="majorBidi" w:hAnsiTheme="majorBidi" w:cstheme="majorBidi"/>
          <w:color w:val="000000"/>
          <w:sz w:val="24"/>
          <w:szCs w:val="24"/>
        </w:rPr>
        <w:t>Construire des outils d’analyse facilitant les choix stratégiques et de croissance (nouveaux marchés, nouveaux produits, pricing,…</w:t>
      </w:r>
      <w:r w:rsidR="00452920" w:rsidRPr="00FF70BA">
        <w:rPr>
          <w:rFonts w:asciiTheme="majorBidi" w:hAnsiTheme="majorBidi" w:cstheme="majorBidi"/>
          <w:color w:val="000000"/>
          <w:sz w:val="24"/>
          <w:szCs w:val="24"/>
        </w:rPr>
        <w:t>)</w:t>
      </w:r>
    </w:p>
    <w:p w:rsidR="00452920" w:rsidRDefault="00447534" w:rsidP="006B0558">
      <w:pPr>
        <w:pStyle w:val="Paragraphedeliste"/>
        <w:tabs>
          <w:tab w:val="left" w:pos="426"/>
        </w:tabs>
        <w:autoSpaceDE w:val="0"/>
        <w:autoSpaceDN w:val="0"/>
        <w:adjustRightInd w:val="0"/>
        <w:spacing w:after="0" w:line="360" w:lineRule="auto"/>
        <w:ind w:left="0"/>
        <w:jc w:val="both"/>
        <w:rPr>
          <w:rFonts w:asciiTheme="majorBidi" w:hAnsiTheme="majorBidi" w:cstheme="majorBidi"/>
          <w:color w:val="000000"/>
          <w:sz w:val="24"/>
          <w:szCs w:val="24"/>
        </w:rPr>
      </w:pPr>
      <w:r w:rsidRPr="00FF70BA">
        <w:rPr>
          <w:rFonts w:asciiTheme="majorBidi" w:hAnsiTheme="majorBidi" w:cstheme="majorBidi"/>
          <w:color w:val="000000"/>
          <w:sz w:val="24"/>
          <w:szCs w:val="24"/>
        </w:rPr>
        <w:tab/>
      </w:r>
      <w:r w:rsidRPr="00FF70BA">
        <w:rPr>
          <w:rFonts w:asciiTheme="majorBidi" w:hAnsiTheme="majorBidi" w:cstheme="majorBidi"/>
          <w:color w:val="000000"/>
          <w:sz w:val="24"/>
          <w:szCs w:val="24"/>
        </w:rPr>
        <w:tab/>
      </w:r>
      <w:r w:rsidR="00A27BC9" w:rsidRPr="00FF70BA">
        <w:rPr>
          <w:rFonts w:asciiTheme="majorBidi" w:hAnsiTheme="majorBidi" w:cstheme="majorBidi"/>
          <w:color w:val="000000"/>
          <w:sz w:val="24"/>
          <w:szCs w:val="24"/>
        </w:rPr>
        <w:t>Dans cette perspective, l’ORSA apparaît bien comme un outil fondamental pour le top management, aussi important sinon plus que le SCR. Quel que soit le niveau de complexité de la modélisation, il conviendra donc de s’assurer que :</w:t>
      </w:r>
    </w:p>
    <w:p w:rsidR="00261543" w:rsidRPr="00FF70BA" w:rsidRDefault="00261543" w:rsidP="006B0558">
      <w:pPr>
        <w:pStyle w:val="Paragraphedeliste"/>
        <w:tabs>
          <w:tab w:val="left" w:pos="426"/>
        </w:tabs>
        <w:autoSpaceDE w:val="0"/>
        <w:autoSpaceDN w:val="0"/>
        <w:adjustRightInd w:val="0"/>
        <w:spacing w:after="0" w:line="360" w:lineRule="auto"/>
        <w:ind w:left="0"/>
        <w:jc w:val="both"/>
        <w:rPr>
          <w:rFonts w:asciiTheme="majorBidi" w:hAnsiTheme="majorBidi" w:cstheme="majorBidi"/>
          <w:color w:val="000000"/>
          <w:sz w:val="24"/>
          <w:szCs w:val="24"/>
        </w:rPr>
      </w:pPr>
    </w:p>
    <w:p w:rsidR="00452920" w:rsidRPr="00FF70BA" w:rsidRDefault="00A27BC9" w:rsidP="006B0558">
      <w:pPr>
        <w:pStyle w:val="Paragraphedeliste"/>
        <w:numPr>
          <w:ilvl w:val="0"/>
          <w:numId w:val="9"/>
        </w:numPr>
        <w:tabs>
          <w:tab w:val="left" w:pos="426"/>
        </w:tabs>
        <w:autoSpaceDE w:val="0"/>
        <w:autoSpaceDN w:val="0"/>
        <w:adjustRightInd w:val="0"/>
        <w:spacing w:after="0" w:line="360" w:lineRule="auto"/>
        <w:ind w:left="0" w:firstLine="0"/>
        <w:jc w:val="both"/>
        <w:rPr>
          <w:rFonts w:asciiTheme="majorBidi" w:hAnsiTheme="majorBidi" w:cstheme="majorBidi"/>
          <w:color w:val="000000"/>
          <w:sz w:val="24"/>
          <w:szCs w:val="24"/>
        </w:rPr>
      </w:pPr>
      <w:r w:rsidRPr="00FF70BA">
        <w:rPr>
          <w:rFonts w:asciiTheme="majorBidi" w:hAnsiTheme="majorBidi" w:cstheme="majorBidi"/>
          <w:color w:val="000000"/>
          <w:sz w:val="24"/>
          <w:szCs w:val="24"/>
        </w:rPr>
        <w:t>Les modèles de suivi, d’analyse et de pilotage peuvent être utilisés de façon rapide et régulière, contrairement à nombre de modèles internes lourds et complexes (que l’on pourra conserver pour le calcul, moins fréquent, du MCR et du SCR) ;</w:t>
      </w:r>
    </w:p>
    <w:p w:rsidR="00452920" w:rsidRDefault="00A27BC9" w:rsidP="006B0558">
      <w:pPr>
        <w:pStyle w:val="Paragraphedeliste"/>
        <w:numPr>
          <w:ilvl w:val="0"/>
          <w:numId w:val="9"/>
        </w:numPr>
        <w:tabs>
          <w:tab w:val="left" w:pos="426"/>
        </w:tabs>
        <w:autoSpaceDE w:val="0"/>
        <w:autoSpaceDN w:val="0"/>
        <w:adjustRightInd w:val="0"/>
        <w:spacing w:after="0" w:line="360" w:lineRule="auto"/>
        <w:ind w:left="0" w:firstLine="0"/>
        <w:jc w:val="both"/>
        <w:rPr>
          <w:rFonts w:asciiTheme="majorBidi" w:hAnsiTheme="majorBidi" w:cstheme="majorBidi"/>
          <w:color w:val="000000"/>
          <w:sz w:val="24"/>
          <w:szCs w:val="24"/>
        </w:rPr>
      </w:pPr>
      <w:r w:rsidRPr="00FF70BA">
        <w:rPr>
          <w:rFonts w:asciiTheme="majorBidi" w:hAnsiTheme="majorBidi" w:cstheme="majorBidi"/>
          <w:color w:val="000000"/>
          <w:sz w:val="24"/>
          <w:szCs w:val="24"/>
        </w:rPr>
        <w:t xml:space="preserve"> Les outputs de ces modèles sont clairs et synthétiques et fournissent une aide concrète à la décision.</w:t>
      </w:r>
    </w:p>
    <w:p w:rsidR="00246F0A" w:rsidRPr="00246F0A" w:rsidRDefault="00246F0A" w:rsidP="006B0558">
      <w:pPr>
        <w:tabs>
          <w:tab w:val="left" w:pos="426"/>
        </w:tabs>
        <w:autoSpaceDE w:val="0"/>
        <w:autoSpaceDN w:val="0"/>
        <w:adjustRightInd w:val="0"/>
        <w:spacing w:after="0" w:line="360" w:lineRule="auto"/>
        <w:jc w:val="both"/>
        <w:rPr>
          <w:rFonts w:asciiTheme="majorBidi" w:hAnsiTheme="majorBidi" w:cstheme="majorBidi"/>
          <w:color w:val="000000"/>
          <w:sz w:val="24"/>
          <w:szCs w:val="24"/>
        </w:rPr>
      </w:pPr>
    </w:p>
    <w:p w:rsidR="00BF7942" w:rsidRPr="00261543" w:rsidRDefault="00377966" w:rsidP="00305C94">
      <w:pPr>
        <w:autoSpaceDE w:val="0"/>
        <w:autoSpaceDN w:val="0"/>
        <w:adjustRightInd w:val="0"/>
        <w:spacing w:after="0" w:line="360" w:lineRule="auto"/>
        <w:jc w:val="both"/>
        <w:rPr>
          <w:rFonts w:asciiTheme="majorBidi" w:hAnsiTheme="majorBidi" w:cstheme="majorBidi"/>
          <w:color w:val="000000"/>
          <w:sz w:val="24"/>
          <w:szCs w:val="24"/>
        </w:rPr>
      </w:pPr>
      <w:r w:rsidRPr="00FF70BA">
        <w:rPr>
          <w:rFonts w:asciiTheme="majorBidi" w:hAnsiTheme="majorBidi" w:cstheme="majorBidi"/>
          <w:color w:val="000000"/>
          <w:sz w:val="24"/>
          <w:szCs w:val="24"/>
        </w:rPr>
        <w:lastRenderedPageBreak/>
        <w:tab/>
      </w:r>
      <w:r w:rsidR="00A27BC9" w:rsidRPr="00FF70BA">
        <w:rPr>
          <w:rFonts w:asciiTheme="majorBidi" w:hAnsiTheme="majorBidi" w:cstheme="majorBidi"/>
          <w:color w:val="000000"/>
          <w:sz w:val="24"/>
          <w:szCs w:val="24"/>
        </w:rPr>
        <w:t>Il s’agira donc d’allier théorie et pragmatisme, afin que l’exercice ne soit pas vain et superficiel, mais qu’il soit générateur de valeur ajoutée pour l’entreprise. Pour ce faire, l’ORSA devra reposer sur l’implication des équipes opérationnelles, afin que les indicateurs utilisés par la Direction soient de la situation réelle de l’entreprise.</w:t>
      </w:r>
    </w:p>
    <w:p w:rsidR="008A36C0" w:rsidRDefault="008A36C0" w:rsidP="006B0558">
      <w:pPr>
        <w:pStyle w:val="Default"/>
        <w:spacing w:line="360" w:lineRule="auto"/>
        <w:jc w:val="both"/>
        <w:rPr>
          <w:rFonts w:asciiTheme="majorBidi" w:hAnsiTheme="majorBidi" w:cstheme="majorBidi"/>
          <w:b/>
          <w:bCs/>
        </w:rPr>
      </w:pPr>
      <w:r>
        <w:rPr>
          <w:rFonts w:asciiTheme="majorBidi" w:hAnsiTheme="majorBidi" w:cstheme="majorBidi"/>
          <w:noProof/>
        </w:rPr>
        <w:drawing>
          <wp:anchor distT="0" distB="0" distL="114300" distR="114300" simplePos="0" relativeHeight="251653632" behindDoc="0" locked="0" layoutInCell="1" allowOverlap="1">
            <wp:simplePos x="0" y="0"/>
            <wp:positionH relativeFrom="column">
              <wp:posOffset>-128270</wp:posOffset>
            </wp:positionH>
            <wp:positionV relativeFrom="paragraph">
              <wp:posOffset>1212850</wp:posOffset>
            </wp:positionV>
            <wp:extent cx="6219825" cy="4924425"/>
            <wp:effectExtent l="19050" t="0" r="952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219825" cy="4924425"/>
                    </a:xfrm>
                    <a:prstGeom prst="rect">
                      <a:avLst/>
                    </a:prstGeom>
                    <a:noFill/>
                    <a:ln w="9525">
                      <a:noFill/>
                      <a:miter lim="800000"/>
                      <a:headEnd/>
                      <a:tailEnd/>
                    </a:ln>
                  </pic:spPr>
                </pic:pic>
              </a:graphicData>
            </a:graphic>
          </wp:anchor>
        </w:drawing>
      </w:r>
      <w:r w:rsidR="00E744B5" w:rsidRPr="00FF70BA">
        <w:rPr>
          <w:rFonts w:asciiTheme="majorBidi" w:hAnsiTheme="majorBidi" w:cstheme="majorBidi"/>
        </w:rPr>
        <w:t xml:space="preserve"> </w:t>
      </w:r>
      <w:r w:rsidR="000247D4" w:rsidRPr="00FF70BA">
        <w:rPr>
          <w:rFonts w:asciiTheme="majorBidi" w:hAnsiTheme="majorBidi" w:cstheme="majorBidi"/>
        </w:rPr>
        <w:t xml:space="preserve">  </w:t>
      </w:r>
      <w:r w:rsidR="000C6683" w:rsidRPr="00FF70BA">
        <w:rPr>
          <w:rFonts w:asciiTheme="majorBidi" w:hAnsiTheme="majorBidi" w:cstheme="majorBidi"/>
        </w:rPr>
        <w:tab/>
      </w:r>
      <w:r w:rsidR="008C271C" w:rsidRPr="00FF70BA">
        <w:rPr>
          <w:rFonts w:asciiTheme="majorBidi" w:hAnsiTheme="majorBidi" w:cstheme="majorBidi"/>
        </w:rPr>
        <w:t>Le Pilier 2 recouvre l’ensemble des principes et pratiques attendus des organisations en matière de gestion des risques, au regard des estimations de risque et de fonds propres couvertes par le Pilier 1. Ses principales dispositions peuvent être schématiquement regroupées dans les quatre grandes catégories exposées ci-dessous :</w:t>
      </w:r>
      <w:r w:rsidR="008C271C" w:rsidRPr="00FF70BA">
        <w:rPr>
          <w:rFonts w:asciiTheme="majorBidi" w:hAnsiTheme="majorBidi" w:cstheme="majorBidi"/>
          <w:b/>
          <w:bCs/>
        </w:rPr>
        <w:t xml:space="preserve"> </w:t>
      </w:r>
    </w:p>
    <w:p w:rsidR="00447534" w:rsidRDefault="00F624AA" w:rsidP="006B0558">
      <w:pPr>
        <w:pStyle w:val="Default"/>
        <w:spacing w:line="360" w:lineRule="auto"/>
        <w:jc w:val="both"/>
        <w:rPr>
          <w:rFonts w:asciiTheme="majorBidi" w:hAnsiTheme="majorBidi" w:cstheme="majorBidi"/>
          <w:b/>
          <w:bCs/>
        </w:rPr>
      </w:pPr>
      <w:r w:rsidRPr="00FF70BA">
        <w:rPr>
          <w:rFonts w:asciiTheme="majorBidi" w:hAnsiTheme="majorBidi" w:cstheme="majorBidi"/>
          <w:b/>
          <w:bCs/>
        </w:rPr>
        <w:t>Figure N°3</w:t>
      </w:r>
      <w:r w:rsidR="002B5820" w:rsidRPr="00FF70BA">
        <w:rPr>
          <w:rFonts w:asciiTheme="majorBidi" w:hAnsiTheme="majorBidi" w:cstheme="majorBidi"/>
          <w:b/>
          <w:bCs/>
        </w:rPr>
        <w:t>:</w:t>
      </w:r>
      <w:r w:rsidR="00163F36" w:rsidRPr="00FF70BA">
        <w:rPr>
          <w:rFonts w:asciiTheme="majorBidi" w:hAnsiTheme="majorBidi" w:cstheme="majorBidi"/>
          <w:b/>
          <w:bCs/>
        </w:rPr>
        <w:t xml:space="preserve"> </w:t>
      </w:r>
      <w:r w:rsidR="00E065ED" w:rsidRPr="00FF70BA">
        <w:rPr>
          <w:rFonts w:asciiTheme="majorBidi" w:hAnsiTheme="majorBidi" w:cstheme="majorBidi"/>
          <w:b/>
          <w:bCs/>
        </w:rPr>
        <w:t>Les pri</w:t>
      </w:r>
      <w:r w:rsidR="00734406">
        <w:rPr>
          <w:rFonts w:asciiTheme="majorBidi" w:hAnsiTheme="majorBidi" w:cstheme="majorBidi"/>
          <w:b/>
          <w:bCs/>
        </w:rPr>
        <w:t>ncipales dispositions du pilier</w:t>
      </w:r>
      <w:r w:rsidR="00E065ED" w:rsidRPr="00FF70BA">
        <w:rPr>
          <w:rFonts w:asciiTheme="majorBidi" w:hAnsiTheme="majorBidi" w:cstheme="majorBidi"/>
          <w:b/>
          <w:bCs/>
        </w:rPr>
        <w:t xml:space="preserve"> II</w:t>
      </w:r>
      <w:r w:rsidR="00340C6E" w:rsidRPr="00FF70BA">
        <w:rPr>
          <w:rStyle w:val="Appelnotedebasdep"/>
          <w:rFonts w:asciiTheme="majorBidi" w:hAnsiTheme="majorBidi" w:cstheme="majorBidi"/>
          <w:b/>
          <w:bCs/>
        </w:rPr>
        <w:footnoteReference w:id="13"/>
      </w:r>
    </w:p>
    <w:p w:rsidR="00261543" w:rsidRDefault="00261543" w:rsidP="006B0558">
      <w:pPr>
        <w:pStyle w:val="Default"/>
        <w:spacing w:line="360" w:lineRule="auto"/>
        <w:jc w:val="both"/>
        <w:rPr>
          <w:rFonts w:asciiTheme="majorBidi" w:hAnsiTheme="majorBidi" w:cstheme="majorBidi"/>
          <w:b/>
          <w:bCs/>
        </w:rPr>
      </w:pPr>
    </w:p>
    <w:p w:rsidR="006B0558" w:rsidRPr="00261543" w:rsidRDefault="006B0558" w:rsidP="006B0558">
      <w:pPr>
        <w:pStyle w:val="Default"/>
        <w:spacing w:line="360" w:lineRule="auto"/>
        <w:jc w:val="both"/>
        <w:rPr>
          <w:rFonts w:asciiTheme="majorBidi" w:hAnsiTheme="majorBidi" w:cstheme="majorBidi"/>
          <w:b/>
          <w:bCs/>
        </w:rPr>
      </w:pPr>
    </w:p>
    <w:p w:rsidR="00DF2CA4" w:rsidRPr="00261543" w:rsidRDefault="00496ADC" w:rsidP="006B0558">
      <w:pPr>
        <w:pStyle w:val="Default"/>
        <w:spacing w:line="360" w:lineRule="auto"/>
        <w:jc w:val="both"/>
        <w:rPr>
          <w:rFonts w:asciiTheme="majorBidi" w:hAnsiTheme="majorBidi" w:cstheme="majorBidi"/>
          <w:sz w:val="28"/>
          <w:szCs w:val="28"/>
        </w:rPr>
      </w:pPr>
      <w:r w:rsidRPr="00FF70BA">
        <w:rPr>
          <w:rFonts w:asciiTheme="majorBidi" w:hAnsiTheme="majorBidi" w:cstheme="majorBidi"/>
          <w:b/>
          <w:bCs/>
          <w:sz w:val="28"/>
          <w:szCs w:val="28"/>
        </w:rPr>
        <w:lastRenderedPageBreak/>
        <w:t xml:space="preserve">2.3. LE PILIER N°3: DISCIPLINE DE MARCHE ET LES EXIGENCES D’INFORMATION </w:t>
      </w:r>
    </w:p>
    <w:tbl>
      <w:tblPr>
        <w:tblW w:w="0" w:type="auto"/>
        <w:tblBorders>
          <w:top w:val="nil"/>
          <w:left w:val="nil"/>
          <w:bottom w:val="nil"/>
          <w:right w:val="nil"/>
        </w:tblBorders>
        <w:tblLayout w:type="fixed"/>
        <w:tblLook w:val="0000"/>
      </w:tblPr>
      <w:tblGrid>
        <w:gridCol w:w="9174"/>
      </w:tblGrid>
      <w:tr w:rsidR="00DF2CA4" w:rsidRPr="00FF70BA" w:rsidTr="00026A14">
        <w:trPr>
          <w:trHeight w:val="251"/>
        </w:trPr>
        <w:tc>
          <w:tcPr>
            <w:tcW w:w="9174" w:type="dxa"/>
          </w:tcPr>
          <w:p w:rsidR="00DF2CA4" w:rsidRPr="00FF70BA" w:rsidRDefault="00DF2CA4" w:rsidP="006B0558">
            <w:pPr>
              <w:pStyle w:val="Default"/>
              <w:spacing w:line="360" w:lineRule="auto"/>
              <w:jc w:val="both"/>
              <w:rPr>
                <w:rFonts w:asciiTheme="majorBidi" w:hAnsiTheme="majorBidi" w:cstheme="majorBidi"/>
              </w:rPr>
            </w:pPr>
            <w:r w:rsidRPr="00FF70BA">
              <w:rPr>
                <w:rFonts w:asciiTheme="majorBidi" w:hAnsiTheme="majorBidi" w:cstheme="majorBidi"/>
              </w:rPr>
              <w:t xml:space="preserve">               Fixer des normes de publications et de communications des informations financières. Les autorités de contrôle visent à améliorer la transparence financière des assurances, en leur imposant de communiquer les informations nécessaires pour permettre à des tiers d’apprécier l’adéquation de leurs fonds propres. </w:t>
            </w:r>
          </w:p>
        </w:tc>
      </w:tr>
      <w:tr w:rsidR="00DF2CA4" w:rsidRPr="00FF70BA" w:rsidTr="00026A14">
        <w:trPr>
          <w:trHeight w:val="251"/>
        </w:trPr>
        <w:tc>
          <w:tcPr>
            <w:tcW w:w="9174" w:type="dxa"/>
          </w:tcPr>
          <w:p w:rsidR="00DF2CA4" w:rsidRPr="00FF70BA" w:rsidRDefault="00DF2CA4" w:rsidP="006B0558">
            <w:pPr>
              <w:pStyle w:val="Default"/>
              <w:tabs>
                <w:tab w:val="left" w:pos="3135"/>
              </w:tabs>
              <w:spacing w:line="360" w:lineRule="auto"/>
              <w:jc w:val="both"/>
              <w:rPr>
                <w:rFonts w:asciiTheme="majorBidi" w:hAnsiTheme="majorBidi" w:cstheme="majorBidi"/>
              </w:rPr>
            </w:pPr>
          </w:p>
        </w:tc>
      </w:tr>
    </w:tbl>
    <w:p w:rsidR="00261543" w:rsidRDefault="00447534" w:rsidP="00490B28">
      <w:pPr>
        <w:pStyle w:val="Default"/>
        <w:tabs>
          <w:tab w:val="left" w:pos="284"/>
        </w:tabs>
        <w:spacing w:line="360" w:lineRule="auto"/>
        <w:jc w:val="both"/>
        <w:rPr>
          <w:rFonts w:asciiTheme="majorBidi" w:hAnsiTheme="majorBidi" w:cstheme="majorBidi"/>
        </w:rPr>
      </w:pPr>
      <w:r w:rsidRPr="00FF70BA">
        <w:rPr>
          <w:rFonts w:asciiTheme="majorBidi" w:hAnsiTheme="majorBidi" w:cstheme="majorBidi"/>
        </w:rPr>
        <w:tab/>
      </w:r>
      <w:r w:rsidRPr="00FF70BA">
        <w:rPr>
          <w:rFonts w:asciiTheme="majorBidi" w:hAnsiTheme="majorBidi" w:cstheme="majorBidi"/>
        </w:rPr>
        <w:tab/>
      </w:r>
      <w:r w:rsidR="00522428" w:rsidRPr="00FF70BA">
        <w:rPr>
          <w:rFonts w:asciiTheme="majorBidi" w:hAnsiTheme="majorBidi" w:cstheme="majorBidi"/>
        </w:rPr>
        <w:t>Les principales idé</w:t>
      </w:r>
      <w:r w:rsidR="006165AD" w:rsidRPr="00FF70BA">
        <w:rPr>
          <w:rFonts w:asciiTheme="majorBidi" w:hAnsiTheme="majorBidi" w:cstheme="majorBidi"/>
        </w:rPr>
        <w:t>es à retenir sont les suivantes</w:t>
      </w:r>
      <w:r w:rsidR="00E555DE" w:rsidRPr="00FF70BA">
        <w:rPr>
          <w:rFonts w:asciiTheme="majorBidi" w:hAnsiTheme="majorBidi" w:cstheme="majorBidi"/>
        </w:rPr>
        <w:t xml:space="preserve">: </w:t>
      </w:r>
      <w:r w:rsidR="00522428" w:rsidRPr="00FF70BA">
        <w:rPr>
          <w:rFonts w:asciiTheme="majorBidi" w:hAnsiTheme="majorBidi" w:cstheme="majorBidi"/>
        </w:rPr>
        <w:br/>
      </w:r>
      <w:r w:rsidR="00496ADC" w:rsidRPr="00FF70BA">
        <w:rPr>
          <w:rFonts w:asciiTheme="majorBidi" w:hAnsiTheme="majorBidi" w:cstheme="majorBidi"/>
        </w:rPr>
        <w:t>-</w:t>
      </w:r>
      <w:r w:rsidR="00261543">
        <w:rPr>
          <w:rFonts w:asciiTheme="majorBidi" w:hAnsiTheme="majorBidi" w:cstheme="majorBidi"/>
        </w:rPr>
        <w:t xml:space="preserve"> </w:t>
      </w:r>
      <w:r w:rsidR="00522428" w:rsidRPr="00FF70BA">
        <w:rPr>
          <w:rFonts w:asciiTheme="majorBidi" w:hAnsiTheme="majorBidi" w:cstheme="majorBidi"/>
        </w:rPr>
        <w:t xml:space="preserve">Solvabilité II apporte une dimension réglementaire supplémentaire en complément des obligations actuelles. En d'autres termes, la réforme va réclamer plus d'éléments aux sociétés d'assurance et le  niveau de détail attendu sera encore plus approfondi. A titre d'exemple, on sait d'ores et déjà que la vision "société" actuellement présentée dans les reportings ne suffira plus. Il faudra être en mesure de consolider les informations au niveau groupe. </w:t>
      </w:r>
      <w:r w:rsidR="00522428" w:rsidRPr="00FF70BA">
        <w:rPr>
          <w:rFonts w:asciiTheme="majorBidi" w:hAnsiTheme="majorBidi" w:cstheme="majorBidi"/>
        </w:rPr>
        <w:br/>
      </w:r>
      <w:r w:rsidR="00522428" w:rsidRPr="00FF70BA">
        <w:rPr>
          <w:rFonts w:asciiTheme="majorBidi" w:hAnsiTheme="majorBidi" w:cstheme="majorBidi"/>
        </w:rPr>
        <w:br/>
      </w:r>
      <w:r w:rsidR="00496ADC" w:rsidRPr="00FF70BA">
        <w:rPr>
          <w:rFonts w:asciiTheme="majorBidi" w:hAnsiTheme="majorBidi" w:cstheme="majorBidi"/>
        </w:rPr>
        <w:t>-</w:t>
      </w:r>
      <w:r w:rsidR="00261543">
        <w:rPr>
          <w:rFonts w:asciiTheme="majorBidi" w:hAnsiTheme="majorBidi" w:cstheme="majorBidi"/>
        </w:rPr>
        <w:t xml:space="preserve"> </w:t>
      </w:r>
      <w:r w:rsidR="00522428" w:rsidRPr="00FF70BA">
        <w:rPr>
          <w:rFonts w:asciiTheme="majorBidi" w:hAnsiTheme="majorBidi" w:cstheme="majorBidi"/>
        </w:rPr>
        <w:t>La list</w:t>
      </w:r>
      <w:r w:rsidR="00453B5D" w:rsidRPr="00FF70BA">
        <w:rPr>
          <w:rFonts w:asciiTheme="majorBidi" w:hAnsiTheme="majorBidi" w:cstheme="majorBidi"/>
        </w:rPr>
        <w:t>e des états réclamés ne cesse</w:t>
      </w:r>
      <w:r w:rsidR="00522428" w:rsidRPr="00FF70BA">
        <w:rPr>
          <w:rFonts w:asciiTheme="majorBidi" w:hAnsiTheme="majorBidi" w:cstheme="majorBidi"/>
        </w:rPr>
        <w:t xml:space="preserve"> plus de s'alourdir : d'une quarantaine prévue au</w:t>
      </w:r>
      <w:r w:rsidR="00496ADC" w:rsidRPr="00FF70BA">
        <w:rPr>
          <w:rFonts w:asciiTheme="majorBidi" w:hAnsiTheme="majorBidi" w:cstheme="majorBidi"/>
        </w:rPr>
        <w:t xml:space="preserve"> </w:t>
      </w:r>
      <w:r w:rsidR="00522428" w:rsidRPr="00FF70BA">
        <w:rPr>
          <w:rFonts w:asciiTheme="majorBidi" w:hAnsiTheme="majorBidi" w:cstheme="majorBidi"/>
        </w:rPr>
        <w:t>départ il semblerait qu'on se dirige au final vers une soixantaine d'états à produire trimestriellement et annuellement. Si certains existent déjà dans la réglementation actuelle (même s'ils devront être enrichis dans le cadre de Solvabilité II), d'autres au contrair</w:t>
      </w:r>
      <w:r w:rsidR="00453B5D" w:rsidRPr="00FF70BA">
        <w:rPr>
          <w:rFonts w:asciiTheme="majorBidi" w:hAnsiTheme="majorBidi" w:cstheme="majorBidi"/>
        </w:rPr>
        <w:t xml:space="preserve">e semblent totalement inédits. </w:t>
      </w:r>
      <w:r w:rsidR="00522428" w:rsidRPr="00FF70BA">
        <w:rPr>
          <w:rFonts w:asciiTheme="majorBidi" w:hAnsiTheme="majorBidi" w:cstheme="majorBidi"/>
        </w:rPr>
        <w:t xml:space="preserve">Ces états décrits dans les Consultation Papers peuvent être découpés en différentes familles : bilan, actif, provisions, réassurance, MCR, SCR... De ce fait, leur conception nécessitera le recours à différentes sources de données, ce qui implique qu'il faudra s'appuyer sur plusieurs outils (comptabilité, actuariat, réassurance, technique, etc.). L'interopérabilité des systèmes d'information sera donc aussi un critère déterminant. </w:t>
      </w:r>
      <w:r w:rsidR="00522428" w:rsidRPr="00FF70BA">
        <w:rPr>
          <w:rFonts w:asciiTheme="majorBidi" w:hAnsiTheme="majorBidi" w:cstheme="majorBidi"/>
        </w:rPr>
        <w:br/>
      </w:r>
      <w:r w:rsidR="00522428" w:rsidRPr="00FF70BA">
        <w:rPr>
          <w:rFonts w:asciiTheme="majorBidi" w:hAnsiTheme="majorBidi" w:cstheme="majorBidi"/>
        </w:rPr>
        <w:br/>
      </w:r>
      <w:r w:rsidR="000C214D" w:rsidRPr="00FF70BA">
        <w:rPr>
          <w:rFonts w:asciiTheme="majorBidi" w:hAnsiTheme="majorBidi" w:cstheme="majorBidi"/>
        </w:rPr>
        <w:tab/>
      </w:r>
      <w:r w:rsidR="000C214D" w:rsidRPr="00FF70BA">
        <w:rPr>
          <w:rFonts w:asciiTheme="majorBidi" w:hAnsiTheme="majorBidi" w:cstheme="majorBidi"/>
        </w:rPr>
        <w:tab/>
      </w:r>
      <w:r w:rsidR="00522428" w:rsidRPr="00FF70BA">
        <w:rPr>
          <w:rFonts w:asciiTheme="majorBidi" w:hAnsiTheme="majorBidi" w:cstheme="majorBidi"/>
        </w:rPr>
        <w:t>Autre nouveauté : la nécessité d'intégrer un référentiel supplémentaire. Ceci se justifie pour faire face à des contraintes diverses comme la multiplicité des plans de comptes (Statutaire, IFRS,</w:t>
      </w:r>
      <w:r w:rsidR="00453B5D" w:rsidRPr="00FF70BA">
        <w:rPr>
          <w:rFonts w:asciiTheme="majorBidi" w:hAnsiTheme="majorBidi" w:cstheme="majorBidi"/>
        </w:rPr>
        <w:t xml:space="preserve"> Solvabilité II), </w:t>
      </w:r>
      <w:r w:rsidR="00522428" w:rsidRPr="00FF70BA">
        <w:rPr>
          <w:rFonts w:asciiTheme="majorBidi" w:hAnsiTheme="majorBidi" w:cstheme="majorBidi"/>
        </w:rPr>
        <w:t>De plus, la transition ne sera pas instantanée et les habitudes perdureront un temps. Il faudra donc faire cohabiter l'ancien et le nouveau système pour satisfaire à la fois les exigences réglementaires et les attentes des directions générales. "Tables de correspondance" et "permanence de lecture" seront dès lors des notion</w:t>
      </w:r>
      <w:r w:rsidR="000C214D" w:rsidRPr="00FF70BA">
        <w:rPr>
          <w:rFonts w:asciiTheme="majorBidi" w:hAnsiTheme="majorBidi" w:cstheme="majorBidi"/>
        </w:rPr>
        <w:t>s de la plus haute importance.</w:t>
      </w:r>
      <w:r w:rsidR="00522428" w:rsidRPr="00FF70BA">
        <w:rPr>
          <w:rFonts w:asciiTheme="majorBidi" w:hAnsiTheme="majorBidi" w:cstheme="majorBidi"/>
        </w:rPr>
        <w:br/>
      </w:r>
      <w:r w:rsidR="000C214D" w:rsidRPr="00FF70BA">
        <w:rPr>
          <w:rFonts w:asciiTheme="majorBidi" w:hAnsiTheme="majorBidi" w:cstheme="majorBidi"/>
        </w:rPr>
        <w:tab/>
      </w:r>
      <w:r w:rsidR="000C214D" w:rsidRPr="00FF70BA">
        <w:rPr>
          <w:rFonts w:asciiTheme="majorBidi" w:hAnsiTheme="majorBidi" w:cstheme="majorBidi"/>
        </w:rPr>
        <w:tab/>
      </w:r>
      <w:r w:rsidR="00522428" w:rsidRPr="00FF70BA">
        <w:rPr>
          <w:rFonts w:asciiTheme="majorBidi" w:hAnsiTheme="majorBidi" w:cstheme="majorBidi"/>
        </w:rPr>
        <w:t xml:space="preserve">Au regard des ces impératifs, on peut dès à présent conclure qu'un simple datawarehouse, même paramétré, ne suffira pas pour automatiser la génération des états </w:t>
      </w:r>
      <w:r w:rsidR="00522428" w:rsidRPr="00FF70BA">
        <w:rPr>
          <w:rFonts w:asciiTheme="majorBidi" w:hAnsiTheme="majorBidi" w:cstheme="majorBidi"/>
        </w:rPr>
        <w:lastRenderedPageBreak/>
        <w:t xml:space="preserve">réglementaires. Le recours à un véritable logiciel dédié et centralisé serait beaucoup plus judicieux, si tant est que les fonctionnalités suivantes y soient intégrées : </w:t>
      </w:r>
      <w:r w:rsidR="00522428" w:rsidRPr="00FF70BA">
        <w:rPr>
          <w:rFonts w:asciiTheme="majorBidi" w:hAnsiTheme="majorBidi" w:cstheme="majorBidi"/>
        </w:rPr>
        <w:br/>
      </w:r>
      <w:r w:rsidR="00522428" w:rsidRPr="00FF70BA">
        <w:rPr>
          <w:rFonts w:asciiTheme="majorBidi" w:hAnsiTheme="majorBidi" w:cstheme="majorBidi"/>
        </w:rPr>
        <w:br/>
        <w:t>- Collecte des informations (balance comptable, pièce jointes, justificatif de calculs, liasse fiscale...),</w:t>
      </w:r>
      <w:r w:rsidR="00522428" w:rsidRPr="00FF70BA">
        <w:rPr>
          <w:rFonts w:asciiTheme="majorBidi" w:hAnsiTheme="majorBidi" w:cstheme="majorBidi"/>
        </w:rPr>
        <w:br/>
        <w:t>- Proposition d'indicateurs de management et de pilotage,</w:t>
      </w:r>
      <w:r w:rsidR="00522428" w:rsidRPr="00FF70BA">
        <w:rPr>
          <w:rFonts w:asciiTheme="majorBidi" w:hAnsiTheme="majorBidi" w:cstheme="majorBidi"/>
        </w:rPr>
        <w:br/>
        <w:t>- Calcul des éléments préparatoires au MCR et au SCR (formule standard),</w:t>
      </w:r>
      <w:r w:rsidR="00522428" w:rsidRPr="00FF70BA">
        <w:rPr>
          <w:rFonts w:asciiTheme="majorBidi" w:hAnsiTheme="majorBidi" w:cstheme="majorBidi"/>
        </w:rPr>
        <w:br/>
        <w:t xml:space="preserve">- Traçabilité des informations constituant la liasse des états réglementaires, </w:t>
      </w:r>
      <w:r w:rsidR="00522428" w:rsidRPr="00FF70BA">
        <w:rPr>
          <w:rFonts w:asciiTheme="majorBidi" w:hAnsiTheme="majorBidi" w:cstheme="majorBidi"/>
        </w:rPr>
        <w:br/>
        <w:t>- Piste d'audit</w:t>
      </w:r>
      <w:r w:rsidR="00261543">
        <w:rPr>
          <w:rFonts w:asciiTheme="majorBidi" w:hAnsiTheme="majorBidi" w:cstheme="majorBidi"/>
        </w:rPr>
        <w:t xml:space="preserve">,             </w:t>
      </w:r>
      <w:r w:rsidR="00522428" w:rsidRPr="00FF70BA">
        <w:rPr>
          <w:rFonts w:asciiTheme="majorBidi" w:hAnsiTheme="majorBidi" w:cstheme="majorBidi"/>
        </w:rPr>
        <w:br/>
        <w:t>- Réalisation des arrêtés de comptes trimestriels dans de</w:t>
      </w:r>
      <w:r w:rsidR="00261543">
        <w:rPr>
          <w:rFonts w:asciiTheme="majorBidi" w:hAnsiTheme="majorBidi" w:cstheme="majorBidi"/>
        </w:rPr>
        <w:t xml:space="preserve">s délais courts (Fast-close). </w:t>
      </w:r>
      <w:r w:rsidR="00522428" w:rsidRPr="00FF70BA">
        <w:rPr>
          <w:rFonts w:asciiTheme="majorBidi" w:hAnsiTheme="majorBidi" w:cstheme="majorBidi"/>
        </w:rPr>
        <w:t xml:space="preserve">Constitution des liasses complètes : </w:t>
      </w:r>
      <w:r w:rsidR="00522428" w:rsidRPr="00FF70BA">
        <w:rPr>
          <w:rFonts w:asciiTheme="majorBidi" w:hAnsiTheme="majorBidi" w:cstheme="majorBidi"/>
        </w:rPr>
        <w:br/>
        <w:t xml:space="preserve">-Edition statutaire (Bilan, Compte de résultat, annexes, liasse fiscale), </w:t>
      </w:r>
      <w:r w:rsidR="00522428" w:rsidRPr="00FF70BA">
        <w:rPr>
          <w:rFonts w:asciiTheme="majorBidi" w:hAnsiTheme="majorBidi" w:cstheme="majorBidi"/>
        </w:rPr>
        <w:br/>
        <w:t>- Liasse "pilier 3 de Solvabilité</w:t>
      </w:r>
      <w:r w:rsidR="000C214D" w:rsidRPr="00FF70BA">
        <w:rPr>
          <w:rFonts w:asciiTheme="majorBidi" w:hAnsiTheme="majorBidi" w:cstheme="majorBidi"/>
        </w:rPr>
        <w:t xml:space="preserve"> II" (nouveau dossier annuel</w:t>
      </w:r>
      <w:r w:rsidR="00522428" w:rsidRPr="00FF70BA">
        <w:rPr>
          <w:rFonts w:asciiTheme="majorBidi" w:hAnsiTheme="majorBidi" w:cstheme="majorBidi"/>
        </w:rPr>
        <w:t>).</w:t>
      </w:r>
      <w:r w:rsidR="00261543">
        <w:rPr>
          <w:rFonts w:asciiTheme="majorBidi" w:hAnsiTheme="majorBidi" w:cstheme="majorBidi"/>
        </w:rPr>
        <w:t xml:space="preserve"> </w:t>
      </w:r>
    </w:p>
    <w:p w:rsidR="00FB1BCF" w:rsidRPr="00FF70BA" w:rsidRDefault="000C214D" w:rsidP="006B0558">
      <w:pPr>
        <w:pStyle w:val="Default"/>
        <w:tabs>
          <w:tab w:val="left" w:pos="284"/>
        </w:tabs>
        <w:spacing w:line="360" w:lineRule="auto"/>
        <w:jc w:val="both"/>
        <w:rPr>
          <w:rFonts w:asciiTheme="majorBidi" w:hAnsiTheme="majorBidi" w:cstheme="majorBidi"/>
        </w:rPr>
      </w:pPr>
      <w:r w:rsidRPr="00FF70BA">
        <w:rPr>
          <w:rFonts w:asciiTheme="majorBidi" w:hAnsiTheme="majorBidi" w:cstheme="majorBidi"/>
        </w:rPr>
        <w:br/>
      </w:r>
      <w:r w:rsidR="00447534" w:rsidRPr="00FF70BA">
        <w:rPr>
          <w:rFonts w:asciiTheme="majorBidi" w:hAnsiTheme="majorBidi" w:cstheme="majorBidi"/>
        </w:rPr>
        <w:tab/>
      </w:r>
      <w:r w:rsidR="00447534" w:rsidRPr="00FF70BA">
        <w:rPr>
          <w:rFonts w:asciiTheme="majorBidi" w:hAnsiTheme="majorBidi" w:cstheme="majorBidi"/>
        </w:rPr>
        <w:tab/>
      </w:r>
      <w:r w:rsidRPr="00FF70BA">
        <w:rPr>
          <w:rFonts w:asciiTheme="majorBidi" w:hAnsiTheme="majorBidi" w:cstheme="majorBidi"/>
        </w:rPr>
        <w:t>D</w:t>
      </w:r>
      <w:r w:rsidR="00522428" w:rsidRPr="00FF70BA">
        <w:rPr>
          <w:rFonts w:asciiTheme="majorBidi" w:hAnsiTheme="majorBidi" w:cstheme="majorBidi"/>
        </w:rPr>
        <w:t>epuis l'annonce de la réforme Solvabilité II, les efforts se sont trop focalisés sur le premier pilier. Il est grand temps de prendre conscience des difficultés liées à la mise en œuvre du pilier 3 et de réfléchir sérieusement au moyen de s'y préparer efficacement.</w:t>
      </w:r>
    </w:p>
    <w:p w:rsidR="000C214D" w:rsidRPr="00FF70BA" w:rsidRDefault="000C214D" w:rsidP="006B0558">
      <w:pPr>
        <w:pStyle w:val="Default"/>
        <w:tabs>
          <w:tab w:val="left" w:pos="284"/>
        </w:tabs>
        <w:spacing w:line="360" w:lineRule="auto"/>
        <w:jc w:val="both"/>
        <w:rPr>
          <w:rFonts w:asciiTheme="majorBidi" w:hAnsiTheme="majorBidi" w:cstheme="majorBidi"/>
        </w:rPr>
      </w:pPr>
    </w:p>
    <w:p w:rsidR="00737C7F" w:rsidRPr="00FF70BA" w:rsidRDefault="00737C7F"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ab/>
      </w:r>
      <w:r w:rsidR="00CE314B" w:rsidRPr="00FF70BA">
        <w:rPr>
          <w:rFonts w:asciiTheme="majorBidi" w:hAnsiTheme="majorBidi" w:cstheme="majorBidi"/>
          <w:sz w:val="24"/>
          <w:szCs w:val="24"/>
        </w:rPr>
        <w:t>L’</w:t>
      </w:r>
      <w:r w:rsidR="000C214D" w:rsidRPr="00FF70BA">
        <w:rPr>
          <w:rFonts w:asciiTheme="majorBidi" w:hAnsiTheme="majorBidi" w:cstheme="majorBidi"/>
          <w:sz w:val="24"/>
          <w:szCs w:val="24"/>
        </w:rPr>
        <w:t>architecture</w:t>
      </w:r>
      <w:r w:rsidR="00CE314B" w:rsidRPr="00FF70BA">
        <w:rPr>
          <w:rFonts w:asciiTheme="majorBidi" w:hAnsiTheme="majorBidi" w:cstheme="majorBidi"/>
          <w:sz w:val="24"/>
          <w:szCs w:val="24"/>
        </w:rPr>
        <w:t xml:space="preserve"> en trois piliers </w:t>
      </w:r>
      <w:r w:rsidR="000C214D" w:rsidRPr="00FF70BA">
        <w:rPr>
          <w:rFonts w:asciiTheme="majorBidi" w:hAnsiTheme="majorBidi" w:cstheme="majorBidi"/>
          <w:sz w:val="24"/>
          <w:szCs w:val="24"/>
        </w:rPr>
        <w:t xml:space="preserve"> permet de mieux appréhender les profils de risques de chaque entreprise et d’harmoniser la mise en œuvre des exigences </w:t>
      </w:r>
      <w:r w:rsidR="000C214D" w:rsidRPr="00FF70BA">
        <w:rPr>
          <w:rFonts w:asciiTheme="majorBidi" w:hAnsiTheme="majorBidi" w:cstheme="majorBidi"/>
          <w:color w:val="000000"/>
          <w:sz w:val="24"/>
          <w:szCs w:val="24"/>
        </w:rPr>
        <w:t>à travers le pilier I, par l’harmonisation du niveau de prudence</w:t>
      </w:r>
      <w:r w:rsidR="000C214D" w:rsidRPr="00FF70BA">
        <w:rPr>
          <w:rFonts w:asciiTheme="majorBidi" w:hAnsiTheme="majorBidi" w:cstheme="majorBidi"/>
          <w:sz w:val="24"/>
          <w:szCs w:val="24"/>
        </w:rPr>
        <w:t xml:space="preserve"> </w:t>
      </w:r>
      <w:r w:rsidR="000C214D" w:rsidRPr="00FF70BA">
        <w:rPr>
          <w:rFonts w:asciiTheme="majorBidi" w:hAnsiTheme="majorBidi" w:cstheme="majorBidi"/>
          <w:color w:val="000000"/>
          <w:sz w:val="24"/>
          <w:szCs w:val="24"/>
        </w:rPr>
        <w:t>des provisions techniques avec une référence et par la possibilité de calculer le</w:t>
      </w:r>
      <w:r w:rsidR="000C214D" w:rsidRPr="00FF70BA">
        <w:rPr>
          <w:rFonts w:asciiTheme="majorBidi" w:hAnsiTheme="majorBidi" w:cstheme="majorBidi"/>
          <w:sz w:val="24"/>
          <w:szCs w:val="24"/>
        </w:rPr>
        <w:t xml:space="preserve"> </w:t>
      </w:r>
      <w:r w:rsidR="000C214D" w:rsidRPr="00FF70BA">
        <w:rPr>
          <w:rFonts w:asciiTheme="majorBidi" w:hAnsiTheme="majorBidi" w:cstheme="majorBidi"/>
          <w:color w:val="000000"/>
          <w:sz w:val="24"/>
          <w:szCs w:val="24"/>
        </w:rPr>
        <w:t>besoin de marge à partir d’un modèle interne, et à travers le pilier II, par l’intégration du système de contrôle</w:t>
      </w:r>
      <w:r w:rsidR="000C214D" w:rsidRPr="00FF70BA">
        <w:rPr>
          <w:rFonts w:asciiTheme="majorBidi" w:hAnsiTheme="majorBidi" w:cstheme="majorBidi"/>
          <w:sz w:val="24"/>
          <w:szCs w:val="24"/>
        </w:rPr>
        <w:t xml:space="preserve"> </w:t>
      </w:r>
      <w:r w:rsidR="000C214D" w:rsidRPr="00FF70BA">
        <w:rPr>
          <w:rFonts w:asciiTheme="majorBidi" w:hAnsiTheme="majorBidi" w:cstheme="majorBidi"/>
          <w:color w:val="000000"/>
          <w:sz w:val="24"/>
          <w:szCs w:val="24"/>
        </w:rPr>
        <w:t>interne et de gestion des risques au système de solvabilité, ainsi par le pilier III, par l’harmonisation des exigences en</w:t>
      </w:r>
      <w:r w:rsidR="000C214D" w:rsidRPr="00FF70BA">
        <w:rPr>
          <w:rFonts w:asciiTheme="majorBidi" w:hAnsiTheme="majorBidi" w:cstheme="majorBidi"/>
          <w:sz w:val="24"/>
          <w:szCs w:val="24"/>
        </w:rPr>
        <w:t xml:space="preserve"> </w:t>
      </w:r>
      <w:r w:rsidR="000C214D" w:rsidRPr="00FF70BA">
        <w:rPr>
          <w:rFonts w:asciiTheme="majorBidi" w:hAnsiTheme="majorBidi" w:cstheme="majorBidi"/>
          <w:color w:val="000000"/>
          <w:sz w:val="24"/>
          <w:szCs w:val="24"/>
        </w:rPr>
        <w:t>matière d’information à donner au public et à l’autorité de contrôle.</w:t>
      </w:r>
      <w:r w:rsidRPr="00FF70BA">
        <w:rPr>
          <w:rFonts w:asciiTheme="majorBidi" w:hAnsiTheme="majorBidi" w:cstheme="majorBidi"/>
        </w:rPr>
        <w:br w:type="page"/>
      </w:r>
    </w:p>
    <w:p w:rsidR="00C8320A" w:rsidRPr="00C8320A" w:rsidRDefault="00A37B53" w:rsidP="006B0558">
      <w:pPr>
        <w:pStyle w:val="Default"/>
        <w:tabs>
          <w:tab w:val="left" w:pos="284"/>
        </w:tabs>
        <w:spacing w:after="240" w:line="360" w:lineRule="auto"/>
        <w:jc w:val="both"/>
        <w:rPr>
          <w:rFonts w:asciiTheme="majorBidi" w:hAnsiTheme="majorBidi" w:cstheme="majorBidi"/>
          <w:b/>
          <w:bCs/>
          <w:sz w:val="32"/>
          <w:szCs w:val="32"/>
        </w:rPr>
      </w:pPr>
      <w:r>
        <w:rPr>
          <w:rFonts w:asciiTheme="majorBidi" w:hAnsiTheme="majorBidi" w:cstheme="majorBidi"/>
          <w:b/>
          <w:bCs/>
          <w:sz w:val="32"/>
          <w:szCs w:val="32"/>
        </w:rPr>
        <w:lastRenderedPageBreak/>
        <w:t>SECTION 3:</w:t>
      </w:r>
      <w:r w:rsidR="00496ADC" w:rsidRPr="00FF70BA">
        <w:rPr>
          <w:rFonts w:asciiTheme="majorBidi" w:hAnsiTheme="majorBidi" w:cstheme="majorBidi"/>
          <w:b/>
          <w:bCs/>
          <w:sz w:val="32"/>
          <w:szCs w:val="32"/>
        </w:rPr>
        <w:t xml:space="preserve">LE PILIER </w:t>
      </w:r>
      <w:r>
        <w:rPr>
          <w:rFonts w:asciiTheme="majorBidi" w:hAnsiTheme="majorBidi" w:cstheme="majorBidi"/>
          <w:b/>
          <w:bCs/>
          <w:sz w:val="32"/>
          <w:szCs w:val="32"/>
        </w:rPr>
        <w:t>N°</w:t>
      </w:r>
      <w:r w:rsidR="00496ADC" w:rsidRPr="00FF70BA">
        <w:rPr>
          <w:rFonts w:asciiTheme="majorBidi" w:hAnsiTheme="majorBidi" w:cstheme="majorBidi"/>
          <w:b/>
          <w:bCs/>
          <w:sz w:val="32"/>
          <w:szCs w:val="32"/>
        </w:rPr>
        <w:t>1 DE LA REFORME SOLVENCY II</w:t>
      </w:r>
    </w:p>
    <w:p w:rsidR="00DC1B04" w:rsidRDefault="00447534"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ab/>
      </w:r>
      <w:r w:rsidR="00E027EF" w:rsidRPr="00FF70BA">
        <w:rPr>
          <w:rFonts w:asciiTheme="majorBidi" w:hAnsiTheme="majorBidi" w:cstheme="majorBidi"/>
          <w:sz w:val="24"/>
          <w:szCs w:val="24"/>
        </w:rPr>
        <w:t>Nous allons décrire dans cette partie l’ensemble des éléments à valoriser pour déterminer le besoin en capital de solvabilité sous Solvabilité II, basée sur une approche globale du bilan économique.</w:t>
      </w:r>
      <w:r w:rsidR="00DC1B04" w:rsidRPr="00FF70BA">
        <w:rPr>
          <w:rFonts w:asciiTheme="majorBidi" w:hAnsiTheme="majorBidi" w:cstheme="majorBidi"/>
          <w:sz w:val="24"/>
          <w:szCs w:val="24"/>
        </w:rPr>
        <w:t xml:space="preserve"> </w:t>
      </w:r>
      <w:r w:rsidR="00E027EF" w:rsidRPr="00FF70BA">
        <w:rPr>
          <w:rFonts w:asciiTheme="majorBidi" w:hAnsiTheme="majorBidi" w:cstheme="majorBidi"/>
          <w:sz w:val="24"/>
          <w:szCs w:val="24"/>
        </w:rPr>
        <w:t>Pour ce faire, nous nous appuierons sur les spécifications techniques du</w:t>
      </w:r>
      <w:r w:rsidR="00DC1B04" w:rsidRPr="00FF70BA">
        <w:rPr>
          <w:rFonts w:asciiTheme="majorBidi" w:hAnsiTheme="majorBidi" w:cstheme="majorBidi"/>
          <w:sz w:val="24"/>
          <w:szCs w:val="24"/>
        </w:rPr>
        <w:t xml:space="preserve"> QIS4 et</w:t>
      </w:r>
      <w:r w:rsidR="00E027EF" w:rsidRPr="00FF70BA">
        <w:rPr>
          <w:rFonts w:asciiTheme="majorBidi" w:hAnsiTheme="majorBidi" w:cstheme="majorBidi"/>
          <w:sz w:val="24"/>
          <w:szCs w:val="24"/>
        </w:rPr>
        <w:t xml:space="preserve"> QI</w:t>
      </w:r>
      <w:r w:rsidR="00DC1B04" w:rsidRPr="00FF70BA">
        <w:rPr>
          <w:rFonts w:asciiTheme="majorBidi" w:hAnsiTheme="majorBidi" w:cstheme="majorBidi"/>
          <w:sz w:val="24"/>
          <w:szCs w:val="24"/>
        </w:rPr>
        <w:t>S5, au sujet de</w:t>
      </w:r>
      <w:r w:rsidR="00E027EF" w:rsidRPr="00FF70BA">
        <w:rPr>
          <w:rFonts w:asciiTheme="majorBidi" w:hAnsiTheme="majorBidi" w:cstheme="majorBidi"/>
          <w:sz w:val="24"/>
          <w:szCs w:val="24"/>
        </w:rPr>
        <w:t>:</w:t>
      </w:r>
    </w:p>
    <w:p w:rsidR="00261543" w:rsidRPr="00FF70BA" w:rsidRDefault="00261543" w:rsidP="006B0558">
      <w:pPr>
        <w:autoSpaceDE w:val="0"/>
        <w:autoSpaceDN w:val="0"/>
        <w:adjustRightInd w:val="0"/>
        <w:spacing w:after="0" w:line="360" w:lineRule="auto"/>
        <w:jc w:val="both"/>
        <w:rPr>
          <w:rFonts w:asciiTheme="majorBidi" w:hAnsiTheme="majorBidi" w:cstheme="majorBidi"/>
          <w:sz w:val="24"/>
          <w:szCs w:val="24"/>
        </w:rPr>
      </w:pPr>
    </w:p>
    <w:p w:rsidR="00E027EF" w:rsidRPr="00FF70BA" w:rsidRDefault="00DC1B04"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 xml:space="preserve">- </w:t>
      </w:r>
      <w:r w:rsidR="00E027EF" w:rsidRPr="00FF70BA">
        <w:rPr>
          <w:rFonts w:asciiTheme="majorBidi" w:hAnsiTheme="majorBidi" w:cstheme="majorBidi"/>
          <w:sz w:val="24"/>
          <w:szCs w:val="24"/>
        </w:rPr>
        <w:t xml:space="preserve"> L’</w:t>
      </w:r>
      <w:r w:rsidRPr="00FF70BA">
        <w:rPr>
          <w:rFonts w:asciiTheme="majorBidi" w:hAnsiTheme="majorBidi" w:cstheme="majorBidi"/>
          <w:sz w:val="24"/>
          <w:szCs w:val="24"/>
        </w:rPr>
        <w:t>évaluation</w:t>
      </w:r>
      <w:r w:rsidR="00E027EF" w:rsidRPr="00FF70BA">
        <w:rPr>
          <w:rFonts w:asciiTheme="majorBidi" w:hAnsiTheme="majorBidi" w:cstheme="majorBidi"/>
          <w:sz w:val="24"/>
          <w:szCs w:val="24"/>
        </w:rPr>
        <w:t xml:space="preserve"> des provisions techniques</w:t>
      </w:r>
    </w:p>
    <w:p w:rsidR="00E027EF" w:rsidRPr="00FF70BA" w:rsidRDefault="00DC1B04"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 xml:space="preserve">- </w:t>
      </w:r>
      <w:r w:rsidR="00E027EF" w:rsidRPr="00FF70BA">
        <w:rPr>
          <w:rFonts w:asciiTheme="majorBidi" w:hAnsiTheme="majorBidi" w:cstheme="majorBidi"/>
          <w:sz w:val="24"/>
          <w:szCs w:val="24"/>
        </w:rPr>
        <w:t xml:space="preserve"> La détermination du SCR</w:t>
      </w:r>
    </w:p>
    <w:p w:rsidR="00C8320A" w:rsidRPr="00FF70BA" w:rsidRDefault="00DC1B04" w:rsidP="006B0558">
      <w:pPr>
        <w:pStyle w:val="Default"/>
        <w:tabs>
          <w:tab w:val="left" w:pos="284"/>
        </w:tabs>
        <w:spacing w:after="240" w:line="360" w:lineRule="auto"/>
        <w:jc w:val="both"/>
        <w:rPr>
          <w:rFonts w:asciiTheme="majorBidi" w:hAnsiTheme="majorBidi" w:cstheme="majorBidi"/>
          <w:b/>
          <w:bCs/>
          <w:sz w:val="28"/>
          <w:szCs w:val="28"/>
        </w:rPr>
      </w:pPr>
      <w:r w:rsidRPr="00FF70BA">
        <w:rPr>
          <w:rFonts w:asciiTheme="majorBidi" w:hAnsiTheme="majorBidi" w:cstheme="majorBidi"/>
        </w:rPr>
        <w:t xml:space="preserve">- </w:t>
      </w:r>
      <w:r w:rsidR="00E027EF" w:rsidRPr="00FF70BA">
        <w:rPr>
          <w:rFonts w:asciiTheme="majorBidi" w:hAnsiTheme="majorBidi" w:cstheme="majorBidi"/>
        </w:rPr>
        <w:t>La détermination du MCR.</w:t>
      </w:r>
    </w:p>
    <w:p w:rsidR="00C8320A" w:rsidRPr="00FF70BA" w:rsidRDefault="00496ADC" w:rsidP="006B0558">
      <w:pPr>
        <w:pStyle w:val="Default"/>
        <w:tabs>
          <w:tab w:val="left" w:pos="284"/>
        </w:tabs>
        <w:spacing w:after="240" w:line="360" w:lineRule="auto"/>
        <w:jc w:val="both"/>
        <w:rPr>
          <w:rFonts w:asciiTheme="majorBidi" w:hAnsiTheme="majorBidi" w:cstheme="majorBidi"/>
          <w:b/>
          <w:bCs/>
          <w:sz w:val="28"/>
          <w:szCs w:val="28"/>
        </w:rPr>
      </w:pPr>
      <w:r w:rsidRPr="00FF70BA">
        <w:rPr>
          <w:rFonts w:asciiTheme="majorBidi" w:hAnsiTheme="majorBidi" w:cstheme="majorBidi"/>
          <w:b/>
          <w:bCs/>
          <w:sz w:val="28"/>
          <w:szCs w:val="28"/>
        </w:rPr>
        <w:t xml:space="preserve">3.1. LES PROVISIONS TECHNIQUES </w:t>
      </w:r>
      <w:r w:rsidR="00207A40" w:rsidRPr="00FF70BA">
        <w:rPr>
          <w:rStyle w:val="Appelnotedebasdep"/>
          <w:rFonts w:asciiTheme="majorBidi" w:hAnsiTheme="majorBidi" w:cstheme="majorBidi"/>
          <w:b/>
          <w:bCs/>
          <w:sz w:val="28"/>
          <w:szCs w:val="28"/>
        </w:rPr>
        <w:footnoteReference w:id="14"/>
      </w:r>
    </w:p>
    <w:p w:rsidR="00DC1B04" w:rsidRPr="00FF70BA" w:rsidRDefault="00E53C7F"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ab/>
      </w:r>
      <w:r w:rsidR="00DC1B04" w:rsidRPr="00FF70BA">
        <w:rPr>
          <w:rFonts w:asciiTheme="majorBidi" w:hAnsiTheme="majorBidi" w:cstheme="majorBidi"/>
          <w:sz w:val="24"/>
          <w:szCs w:val="24"/>
        </w:rPr>
        <w:t>Les provisions techniques sont inscrites au passif du bilan des compagnies d’assurance.</w:t>
      </w:r>
      <w:r w:rsidRPr="00FF70BA">
        <w:rPr>
          <w:rFonts w:asciiTheme="majorBidi" w:hAnsiTheme="majorBidi" w:cstheme="majorBidi"/>
          <w:sz w:val="24"/>
          <w:szCs w:val="24"/>
        </w:rPr>
        <w:t xml:space="preserve"> </w:t>
      </w:r>
      <w:r w:rsidR="00DC1B04" w:rsidRPr="00FF70BA">
        <w:rPr>
          <w:rFonts w:asciiTheme="majorBidi" w:hAnsiTheme="majorBidi" w:cstheme="majorBidi"/>
          <w:sz w:val="24"/>
          <w:szCs w:val="24"/>
        </w:rPr>
        <w:t>Elles</w:t>
      </w:r>
      <w:r w:rsidRPr="00FF70BA">
        <w:rPr>
          <w:rFonts w:asciiTheme="majorBidi" w:hAnsiTheme="majorBidi" w:cstheme="majorBidi"/>
          <w:sz w:val="24"/>
          <w:szCs w:val="24"/>
        </w:rPr>
        <w:t xml:space="preserve"> correspondent</w:t>
      </w:r>
      <w:r w:rsidR="00DC1B04" w:rsidRPr="00FF70BA">
        <w:rPr>
          <w:rFonts w:asciiTheme="majorBidi" w:hAnsiTheme="majorBidi" w:cstheme="majorBidi"/>
          <w:sz w:val="24"/>
          <w:szCs w:val="24"/>
        </w:rPr>
        <w:t>:</w:t>
      </w:r>
    </w:p>
    <w:p w:rsidR="00DC1B04" w:rsidRPr="00FF70BA" w:rsidRDefault="00DC1B04"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 Aux charges à prévoir pour faire face à une sinistralité non encore déclarée mais prévisible</w:t>
      </w:r>
      <w:r w:rsidR="00E53C7F" w:rsidRPr="00FF70BA">
        <w:rPr>
          <w:rFonts w:asciiTheme="majorBidi" w:hAnsiTheme="majorBidi" w:cstheme="majorBidi"/>
          <w:sz w:val="24"/>
          <w:szCs w:val="24"/>
        </w:rPr>
        <w:t xml:space="preserve"> </w:t>
      </w:r>
      <w:r w:rsidRPr="00FF70BA">
        <w:rPr>
          <w:rFonts w:asciiTheme="majorBidi" w:hAnsiTheme="majorBidi" w:cstheme="majorBidi"/>
          <w:sz w:val="24"/>
          <w:szCs w:val="24"/>
        </w:rPr>
        <w:t>des contrats en cours.</w:t>
      </w:r>
    </w:p>
    <w:p w:rsidR="00E53C7F" w:rsidRPr="00FF70BA" w:rsidRDefault="00DC1B04"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 A une anticipation des prestations futures que l’assureur devra régler lors de la réalisation</w:t>
      </w:r>
      <w:r w:rsidR="00E53C7F" w:rsidRPr="00FF70BA">
        <w:rPr>
          <w:rFonts w:asciiTheme="majorBidi" w:hAnsiTheme="majorBidi" w:cstheme="majorBidi"/>
          <w:sz w:val="24"/>
          <w:szCs w:val="24"/>
        </w:rPr>
        <w:t xml:space="preserve"> </w:t>
      </w:r>
      <w:r w:rsidRPr="00FF70BA">
        <w:rPr>
          <w:rFonts w:asciiTheme="majorBidi" w:hAnsiTheme="majorBidi" w:cstheme="majorBidi"/>
          <w:sz w:val="24"/>
          <w:szCs w:val="24"/>
        </w:rPr>
        <w:t>du risque.</w:t>
      </w:r>
    </w:p>
    <w:p w:rsidR="00DC1B04" w:rsidRPr="00FF70BA" w:rsidRDefault="00E53C7F"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ab/>
      </w:r>
      <w:r w:rsidR="00DC1B04" w:rsidRPr="00FF70BA">
        <w:rPr>
          <w:rFonts w:asciiTheme="majorBidi" w:hAnsiTheme="majorBidi" w:cstheme="majorBidi"/>
          <w:sz w:val="24"/>
          <w:szCs w:val="24"/>
        </w:rPr>
        <w:t>Le calcul des provisions techniques sous Solvabilité II est réglementé. En effet, le but de cette</w:t>
      </w:r>
      <w:r w:rsidRPr="00FF70BA">
        <w:rPr>
          <w:rFonts w:asciiTheme="majorBidi" w:hAnsiTheme="majorBidi" w:cstheme="majorBidi"/>
          <w:sz w:val="24"/>
          <w:szCs w:val="24"/>
        </w:rPr>
        <w:t xml:space="preserve"> </w:t>
      </w:r>
      <w:r w:rsidR="00DC1B04" w:rsidRPr="00FF70BA">
        <w:rPr>
          <w:rFonts w:asciiTheme="majorBidi" w:hAnsiTheme="majorBidi" w:cstheme="majorBidi"/>
          <w:sz w:val="24"/>
          <w:szCs w:val="24"/>
        </w:rPr>
        <w:t>réforme est d’harmonis</w:t>
      </w:r>
      <w:r w:rsidRPr="00FF70BA">
        <w:rPr>
          <w:rFonts w:asciiTheme="majorBidi" w:hAnsiTheme="majorBidi" w:cstheme="majorBidi"/>
          <w:sz w:val="24"/>
          <w:szCs w:val="24"/>
        </w:rPr>
        <w:t xml:space="preserve">er le système de solvabilité </w:t>
      </w:r>
      <w:r w:rsidR="00DC1B04" w:rsidRPr="00FF70BA">
        <w:rPr>
          <w:rFonts w:asciiTheme="majorBidi" w:hAnsiTheme="majorBidi" w:cstheme="majorBidi"/>
          <w:sz w:val="24"/>
          <w:szCs w:val="24"/>
        </w:rPr>
        <w:t xml:space="preserve"> de façon à ce que les</w:t>
      </w:r>
      <w:r w:rsidRPr="00FF70BA">
        <w:rPr>
          <w:rFonts w:asciiTheme="majorBidi" w:hAnsiTheme="majorBidi" w:cstheme="majorBidi"/>
          <w:sz w:val="24"/>
          <w:szCs w:val="24"/>
        </w:rPr>
        <w:t xml:space="preserve"> </w:t>
      </w:r>
      <w:r w:rsidR="00DC1B04" w:rsidRPr="00FF70BA">
        <w:rPr>
          <w:rFonts w:asciiTheme="majorBidi" w:hAnsiTheme="majorBidi" w:cstheme="majorBidi"/>
          <w:sz w:val="24"/>
          <w:szCs w:val="24"/>
        </w:rPr>
        <w:t>assurés aient la garantie, quelque soit le pays de l’</w:t>
      </w:r>
      <w:r w:rsidRPr="00FF70BA">
        <w:rPr>
          <w:rFonts w:asciiTheme="majorBidi" w:hAnsiTheme="majorBidi" w:cstheme="majorBidi"/>
          <w:sz w:val="24"/>
          <w:szCs w:val="24"/>
        </w:rPr>
        <w:t xml:space="preserve">espace économique </w:t>
      </w:r>
      <w:r w:rsidR="00DC1B04" w:rsidRPr="00FF70BA">
        <w:rPr>
          <w:rFonts w:asciiTheme="majorBidi" w:hAnsiTheme="majorBidi" w:cstheme="majorBidi"/>
          <w:sz w:val="24"/>
          <w:szCs w:val="24"/>
        </w:rPr>
        <w:t>où ils prennent un</w:t>
      </w:r>
      <w:r w:rsidRPr="00FF70BA">
        <w:rPr>
          <w:rFonts w:asciiTheme="majorBidi" w:hAnsiTheme="majorBidi" w:cstheme="majorBidi"/>
          <w:sz w:val="24"/>
          <w:szCs w:val="24"/>
        </w:rPr>
        <w:t xml:space="preserve"> </w:t>
      </w:r>
      <w:r w:rsidR="00DC1B04" w:rsidRPr="00FF70BA">
        <w:rPr>
          <w:rFonts w:asciiTheme="majorBidi" w:hAnsiTheme="majorBidi" w:cstheme="majorBidi"/>
          <w:sz w:val="24"/>
          <w:szCs w:val="24"/>
        </w:rPr>
        <w:t>contrat d’assurance, d’être protégés de la défaillance de leur compagnie d’assurance dans une</w:t>
      </w:r>
      <w:r w:rsidRPr="00FF70BA">
        <w:rPr>
          <w:rFonts w:asciiTheme="majorBidi" w:hAnsiTheme="majorBidi" w:cstheme="majorBidi"/>
          <w:sz w:val="24"/>
          <w:szCs w:val="24"/>
        </w:rPr>
        <w:t xml:space="preserve"> </w:t>
      </w:r>
      <w:r w:rsidR="00DC1B04" w:rsidRPr="00FF70BA">
        <w:rPr>
          <w:rFonts w:asciiTheme="majorBidi" w:hAnsiTheme="majorBidi" w:cstheme="majorBidi"/>
          <w:sz w:val="24"/>
          <w:szCs w:val="24"/>
        </w:rPr>
        <w:t>certaine mesure et de manière homogène. Il est donc important que la méthode de provisionnement</w:t>
      </w:r>
      <w:r w:rsidRPr="00FF70BA">
        <w:rPr>
          <w:rFonts w:asciiTheme="majorBidi" w:hAnsiTheme="majorBidi" w:cstheme="majorBidi"/>
          <w:sz w:val="24"/>
          <w:szCs w:val="24"/>
        </w:rPr>
        <w:t xml:space="preserve"> </w:t>
      </w:r>
      <w:r w:rsidR="00DC1B04" w:rsidRPr="00FF70BA">
        <w:rPr>
          <w:rFonts w:asciiTheme="majorBidi" w:hAnsiTheme="majorBidi" w:cstheme="majorBidi"/>
          <w:sz w:val="24"/>
          <w:szCs w:val="24"/>
        </w:rPr>
        <w:t>soit la même d’une compagnie d’assurance à l’</w:t>
      </w:r>
      <w:r w:rsidRPr="00FF70BA">
        <w:rPr>
          <w:rFonts w:asciiTheme="majorBidi" w:hAnsiTheme="majorBidi" w:cstheme="majorBidi"/>
          <w:sz w:val="24"/>
          <w:szCs w:val="24"/>
        </w:rPr>
        <w:t>autre</w:t>
      </w:r>
      <w:r w:rsidR="00DC1B04" w:rsidRPr="00FF70BA">
        <w:rPr>
          <w:rFonts w:asciiTheme="majorBidi" w:hAnsiTheme="majorBidi" w:cstheme="majorBidi"/>
          <w:sz w:val="24"/>
          <w:szCs w:val="24"/>
        </w:rPr>
        <w:t>. Les provisions sont</w:t>
      </w:r>
      <w:r w:rsidRPr="00FF70BA">
        <w:rPr>
          <w:rFonts w:asciiTheme="majorBidi" w:hAnsiTheme="majorBidi" w:cstheme="majorBidi"/>
          <w:sz w:val="24"/>
          <w:szCs w:val="24"/>
        </w:rPr>
        <w:t xml:space="preserve"> </w:t>
      </w:r>
      <w:r w:rsidR="00DC1B04" w:rsidRPr="00FF70BA">
        <w:rPr>
          <w:rFonts w:asciiTheme="majorBidi" w:hAnsiTheme="majorBidi" w:cstheme="majorBidi"/>
          <w:sz w:val="24"/>
          <w:szCs w:val="24"/>
        </w:rPr>
        <w:t>calculées sur la base de leur valeur de sortie actuelle (Current Exit Value), de manière fiable et</w:t>
      </w:r>
      <w:r w:rsidRPr="00FF70BA">
        <w:rPr>
          <w:rFonts w:asciiTheme="majorBidi" w:hAnsiTheme="majorBidi" w:cstheme="majorBidi"/>
          <w:sz w:val="24"/>
          <w:szCs w:val="24"/>
        </w:rPr>
        <w:t xml:space="preserve"> </w:t>
      </w:r>
      <w:r w:rsidR="00DC1B04" w:rsidRPr="00FF70BA">
        <w:rPr>
          <w:rFonts w:asciiTheme="majorBidi" w:hAnsiTheme="majorBidi" w:cstheme="majorBidi"/>
          <w:sz w:val="24"/>
          <w:szCs w:val="24"/>
        </w:rPr>
        <w:t>objective, en cohésion avec le marché. La nouvelle norme Solvabilité II impose aux assureurs de</w:t>
      </w:r>
      <w:r w:rsidRPr="00FF70BA">
        <w:rPr>
          <w:rFonts w:asciiTheme="majorBidi" w:hAnsiTheme="majorBidi" w:cstheme="majorBidi"/>
          <w:sz w:val="24"/>
          <w:szCs w:val="24"/>
        </w:rPr>
        <w:t xml:space="preserve"> </w:t>
      </w:r>
      <w:r w:rsidR="00DC1B04" w:rsidRPr="00FF70BA">
        <w:rPr>
          <w:rFonts w:asciiTheme="majorBidi" w:hAnsiTheme="majorBidi" w:cstheme="majorBidi"/>
          <w:sz w:val="24"/>
          <w:szCs w:val="24"/>
        </w:rPr>
        <w:t>calculer un Best Estimate et</w:t>
      </w:r>
      <w:r w:rsidRPr="00FF70BA">
        <w:rPr>
          <w:rFonts w:asciiTheme="majorBidi" w:hAnsiTheme="majorBidi" w:cstheme="majorBidi"/>
          <w:sz w:val="24"/>
          <w:szCs w:val="24"/>
        </w:rPr>
        <w:t xml:space="preserve"> une marge de risque comme suit :</w:t>
      </w:r>
    </w:p>
    <w:p w:rsidR="00E53C7F" w:rsidRPr="00FF70BA" w:rsidRDefault="00E53C7F" w:rsidP="006B0558">
      <w:pPr>
        <w:autoSpaceDE w:val="0"/>
        <w:autoSpaceDN w:val="0"/>
        <w:adjustRightInd w:val="0"/>
        <w:spacing w:after="0" w:line="360" w:lineRule="auto"/>
        <w:jc w:val="both"/>
        <w:rPr>
          <w:rFonts w:asciiTheme="majorBidi" w:hAnsiTheme="majorBidi" w:cstheme="majorBidi"/>
          <w:b/>
          <w:bCs/>
          <w:sz w:val="24"/>
          <w:szCs w:val="24"/>
        </w:rPr>
      </w:pPr>
    </w:p>
    <w:p w:rsidR="0089023D" w:rsidRPr="0089023D" w:rsidRDefault="00DC1B04" w:rsidP="006B0558">
      <w:pPr>
        <w:pStyle w:val="Paragraphedeliste"/>
        <w:numPr>
          <w:ilvl w:val="2"/>
          <w:numId w:val="13"/>
        </w:numPr>
        <w:autoSpaceDE w:val="0"/>
        <w:autoSpaceDN w:val="0"/>
        <w:adjustRightInd w:val="0"/>
        <w:spacing w:line="360" w:lineRule="auto"/>
        <w:jc w:val="both"/>
        <w:rPr>
          <w:rFonts w:asciiTheme="majorBidi" w:hAnsiTheme="majorBidi" w:cstheme="majorBidi"/>
          <w:b/>
          <w:bCs/>
          <w:sz w:val="28"/>
          <w:szCs w:val="28"/>
        </w:rPr>
      </w:pPr>
      <w:r w:rsidRPr="00FF70BA">
        <w:rPr>
          <w:rFonts w:asciiTheme="majorBidi" w:hAnsiTheme="majorBidi" w:cstheme="majorBidi"/>
          <w:b/>
          <w:bCs/>
          <w:sz w:val="28"/>
          <w:szCs w:val="28"/>
        </w:rPr>
        <w:t>Best Estimate</w:t>
      </w:r>
    </w:p>
    <w:p w:rsidR="009909D6" w:rsidRPr="0089023D" w:rsidRDefault="009909D6" w:rsidP="006B0558">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9023D" w:rsidRPr="0089023D">
        <w:rPr>
          <w:rFonts w:ascii="Times New Roman" w:hAnsi="Times New Roman" w:cs="Times New Roman"/>
          <w:color w:val="000000"/>
          <w:sz w:val="24"/>
          <w:szCs w:val="24"/>
        </w:rPr>
        <w:t xml:space="preserve">La notion de best estimate est définie par l’extrait suivant : « La meilleure estimation est égale à la moyenne pondérée par leur probabilité des flux de trésorerie futurs, compte tenu </w:t>
      </w:r>
      <w:r w:rsidR="0089023D" w:rsidRPr="0089023D">
        <w:rPr>
          <w:rFonts w:ascii="Times New Roman" w:hAnsi="Times New Roman" w:cs="Times New Roman"/>
          <w:color w:val="000000"/>
          <w:sz w:val="24"/>
          <w:szCs w:val="24"/>
        </w:rPr>
        <w:lastRenderedPageBreak/>
        <w:t xml:space="preserve">de la valeur temporelle de l’argent (valeur actuelle probable des flux de trésorerie futurs), déterminée à partir de la courbe des taux sans risque pertinente. </w:t>
      </w:r>
      <w:r>
        <w:rPr>
          <w:rStyle w:val="Appelnotedebasdep"/>
          <w:rFonts w:ascii="Times New Roman" w:hAnsi="Times New Roman" w:cs="Times New Roman"/>
          <w:color w:val="000000"/>
          <w:sz w:val="24"/>
          <w:szCs w:val="24"/>
        </w:rPr>
        <w:footnoteReference w:id="15"/>
      </w:r>
    </w:p>
    <w:p w:rsidR="000D751D" w:rsidRDefault="009909D6" w:rsidP="006B0558">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9023D" w:rsidRPr="0089023D">
        <w:rPr>
          <w:rFonts w:ascii="Times New Roman" w:hAnsi="Times New Roman" w:cs="Times New Roman"/>
          <w:color w:val="000000"/>
          <w:sz w:val="24"/>
          <w:szCs w:val="24"/>
        </w:rPr>
        <w:t xml:space="preserve"> Le calcul de la meilleure estimation est fondé sur des informations actuelles crédibles et des hypothèses réalistes et il fait appel à des méthodes actuarielles et des te</w:t>
      </w:r>
      <w:r w:rsidR="00782976">
        <w:rPr>
          <w:rFonts w:ascii="Times New Roman" w:hAnsi="Times New Roman" w:cs="Times New Roman"/>
          <w:color w:val="000000"/>
          <w:sz w:val="24"/>
          <w:szCs w:val="24"/>
        </w:rPr>
        <w:t xml:space="preserve">chniques statistiques adéquates. </w:t>
      </w:r>
    </w:p>
    <w:p w:rsidR="00782976" w:rsidRPr="00782976" w:rsidRDefault="00782976" w:rsidP="006B0558">
      <w:pPr>
        <w:autoSpaceDE w:val="0"/>
        <w:autoSpaceDN w:val="0"/>
        <w:adjustRightInd w:val="0"/>
        <w:spacing w:after="0" w:line="240" w:lineRule="auto"/>
        <w:jc w:val="both"/>
        <w:rPr>
          <w:rFonts w:ascii="Times New Roman" w:hAnsi="Times New Roman" w:cs="Times New Roman"/>
          <w:color w:val="000000"/>
          <w:sz w:val="24"/>
          <w:szCs w:val="24"/>
        </w:rPr>
      </w:pPr>
    </w:p>
    <w:p w:rsidR="00E53C7F" w:rsidRPr="00781CEA" w:rsidRDefault="00DC1B04" w:rsidP="006B0558">
      <w:pPr>
        <w:pStyle w:val="Paragraphedeliste"/>
        <w:numPr>
          <w:ilvl w:val="0"/>
          <w:numId w:val="14"/>
        </w:numPr>
        <w:autoSpaceDE w:val="0"/>
        <w:autoSpaceDN w:val="0"/>
        <w:adjustRightInd w:val="0"/>
        <w:spacing w:line="360" w:lineRule="auto"/>
        <w:jc w:val="both"/>
        <w:rPr>
          <w:rFonts w:asciiTheme="majorBidi" w:hAnsiTheme="majorBidi" w:cstheme="majorBidi"/>
          <w:b/>
          <w:bCs/>
          <w:sz w:val="24"/>
          <w:szCs w:val="24"/>
        </w:rPr>
      </w:pPr>
      <w:r w:rsidRPr="00FF70BA">
        <w:rPr>
          <w:rFonts w:asciiTheme="majorBidi" w:hAnsiTheme="majorBidi" w:cstheme="majorBidi"/>
          <w:b/>
          <w:bCs/>
          <w:sz w:val="24"/>
          <w:szCs w:val="24"/>
        </w:rPr>
        <w:t>Hypothèses</w:t>
      </w:r>
    </w:p>
    <w:p w:rsidR="00782976" w:rsidRDefault="000D751D"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ab/>
      </w:r>
      <w:r w:rsidR="00DC1B04" w:rsidRPr="00FF70BA">
        <w:rPr>
          <w:rFonts w:asciiTheme="majorBidi" w:hAnsiTheme="majorBidi" w:cstheme="majorBidi"/>
          <w:sz w:val="24"/>
          <w:szCs w:val="24"/>
        </w:rPr>
        <w:t>Le calcul du Best Estimate doit reposer sur des hypothèses juridiques et économiques réalistes au</w:t>
      </w:r>
      <w:r w:rsidR="00E53C7F" w:rsidRPr="00FF70BA">
        <w:rPr>
          <w:rFonts w:asciiTheme="majorBidi" w:hAnsiTheme="majorBidi" w:cstheme="majorBidi"/>
          <w:sz w:val="24"/>
          <w:szCs w:val="24"/>
        </w:rPr>
        <w:t xml:space="preserve"> </w:t>
      </w:r>
      <w:r w:rsidR="00DC1B04" w:rsidRPr="00FF70BA">
        <w:rPr>
          <w:rFonts w:asciiTheme="majorBidi" w:hAnsiTheme="majorBidi" w:cstheme="majorBidi"/>
          <w:sz w:val="24"/>
          <w:szCs w:val="24"/>
        </w:rPr>
        <w:t>sujet par exemple de la démographie ou de la fiscalité. De plus, le QIS4 impose des hypothèses</w:t>
      </w:r>
      <w:r w:rsidR="00E53C7F" w:rsidRPr="00FF70BA">
        <w:rPr>
          <w:rFonts w:asciiTheme="majorBidi" w:hAnsiTheme="majorBidi" w:cstheme="majorBidi"/>
          <w:sz w:val="24"/>
          <w:szCs w:val="24"/>
        </w:rPr>
        <w:t xml:space="preserve"> </w:t>
      </w:r>
      <w:r w:rsidR="00DC1B04" w:rsidRPr="00FF70BA">
        <w:rPr>
          <w:rFonts w:asciiTheme="majorBidi" w:hAnsiTheme="majorBidi" w:cstheme="majorBidi"/>
          <w:sz w:val="24"/>
          <w:szCs w:val="24"/>
        </w:rPr>
        <w:t>supplémentaires :</w:t>
      </w:r>
    </w:p>
    <w:p w:rsidR="00782976" w:rsidRPr="00FF70BA" w:rsidRDefault="00782976" w:rsidP="006B0558">
      <w:pPr>
        <w:autoSpaceDE w:val="0"/>
        <w:autoSpaceDN w:val="0"/>
        <w:adjustRightInd w:val="0"/>
        <w:spacing w:after="0" w:line="240" w:lineRule="auto"/>
        <w:jc w:val="both"/>
        <w:rPr>
          <w:rFonts w:asciiTheme="majorBidi" w:hAnsiTheme="majorBidi" w:cstheme="majorBidi"/>
          <w:sz w:val="24"/>
          <w:szCs w:val="24"/>
        </w:rPr>
      </w:pPr>
    </w:p>
    <w:p w:rsidR="00781CEA" w:rsidRDefault="00E53C7F"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b/>
          <w:bCs/>
          <w:i/>
          <w:iCs/>
          <w:sz w:val="24"/>
          <w:szCs w:val="24"/>
        </w:rPr>
        <w:t>L’horizon</w:t>
      </w:r>
      <w:r w:rsidRPr="00FF70BA">
        <w:rPr>
          <w:rFonts w:asciiTheme="majorBidi" w:hAnsiTheme="majorBidi" w:cstheme="majorBidi"/>
          <w:sz w:val="24"/>
          <w:szCs w:val="24"/>
        </w:rPr>
        <w:t xml:space="preserve"> : Les projections se font sur un an.</w:t>
      </w:r>
    </w:p>
    <w:p w:rsidR="00E53C7F" w:rsidRPr="00FF70BA" w:rsidRDefault="00E53C7F" w:rsidP="006B0558">
      <w:pPr>
        <w:autoSpaceDE w:val="0"/>
        <w:autoSpaceDN w:val="0"/>
        <w:adjustRightInd w:val="0"/>
        <w:spacing w:line="360" w:lineRule="auto"/>
        <w:jc w:val="both"/>
        <w:rPr>
          <w:rFonts w:asciiTheme="majorBidi" w:hAnsiTheme="majorBidi" w:cstheme="majorBidi"/>
          <w:sz w:val="24"/>
          <w:szCs w:val="24"/>
        </w:rPr>
      </w:pPr>
      <w:r w:rsidRPr="00FF70BA">
        <w:rPr>
          <w:rFonts w:asciiTheme="majorBidi" w:hAnsiTheme="majorBidi" w:cstheme="majorBidi"/>
          <w:b/>
          <w:bCs/>
          <w:i/>
          <w:iCs/>
          <w:sz w:val="24"/>
          <w:szCs w:val="24"/>
        </w:rPr>
        <w:t>L’actualisation</w:t>
      </w:r>
      <w:r w:rsidRPr="00FF70BA">
        <w:rPr>
          <w:rFonts w:asciiTheme="majorBidi" w:hAnsiTheme="majorBidi" w:cstheme="majorBidi"/>
          <w:sz w:val="24"/>
          <w:szCs w:val="24"/>
        </w:rPr>
        <w:t xml:space="preserve"> : Les flux sont actualisés au taux d’actualisation sans risque fourni par la courbe des taux du CEIOPS. Ce taux d’actualisation est fonction de la longueur de l’engagement. Nous ne sommes donc plus dans un schéma avec un taux d’actualisation constant comme ce que nous observons aujourd’hui en termes de provisionnement. C’est une différence fondamentale par rapport au système actuel.</w:t>
      </w:r>
    </w:p>
    <w:p w:rsidR="00E53C7F" w:rsidRPr="00FF70BA" w:rsidRDefault="00E53C7F" w:rsidP="006B0558">
      <w:pPr>
        <w:autoSpaceDE w:val="0"/>
        <w:autoSpaceDN w:val="0"/>
        <w:adjustRightInd w:val="0"/>
        <w:spacing w:line="360" w:lineRule="auto"/>
        <w:jc w:val="both"/>
        <w:rPr>
          <w:rFonts w:asciiTheme="majorBidi" w:hAnsiTheme="majorBidi" w:cstheme="majorBidi"/>
          <w:sz w:val="24"/>
          <w:szCs w:val="24"/>
        </w:rPr>
      </w:pPr>
      <w:r w:rsidRPr="00FF70BA">
        <w:rPr>
          <w:rFonts w:asciiTheme="majorBidi" w:hAnsiTheme="majorBidi" w:cstheme="majorBidi"/>
          <w:b/>
          <w:bCs/>
          <w:i/>
          <w:iCs/>
          <w:sz w:val="24"/>
          <w:szCs w:val="24"/>
        </w:rPr>
        <w:t>Les frais:</w:t>
      </w:r>
      <w:r w:rsidRPr="00FF70BA">
        <w:rPr>
          <w:rFonts w:asciiTheme="majorBidi" w:hAnsiTheme="majorBidi" w:cstheme="majorBidi"/>
          <w:sz w:val="24"/>
          <w:szCs w:val="24"/>
        </w:rPr>
        <w:t xml:space="preserve"> Il est nécessaire de constituer une provision pour frais futurs de gestion.</w:t>
      </w:r>
    </w:p>
    <w:p w:rsidR="00E53C7F" w:rsidRPr="00FF70BA" w:rsidRDefault="00E53C7F" w:rsidP="006B0558">
      <w:pPr>
        <w:autoSpaceDE w:val="0"/>
        <w:autoSpaceDN w:val="0"/>
        <w:adjustRightInd w:val="0"/>
        <w:spacing w:line="360" w:lineRule="auto"/>
        <w:jc w:val="both"/>
        <w:rPr>
          <w:rFonts w:asciiTheme="majorBidi" w:hAnsiTheme="majorBidi" w:cstheme="majorBidi"/>
          <w:sz w:val="24"/>
          <w:szCs w:val="24"/>
        </w:rPr>
      </w:pPr>
      <w:r w:rsidRPr="00FF70BA">
        <w:rPr>
          <w:rFonts w:asciiTheme="majorBidi" w:hAnsiTheme="majorBidi" w:cstheme="majorBidi"/>
          <w:b/>
          <w:bCs/>
          <w:i/>
          <w:iCs/>
          <w:sz w:val="24"/>
          <w:szCs w:val="24"/>
        </w:rPr>
        <w:t>La réassurance</w:t>
      </w:r>
      <w:r w:rsidRPr="00FF70BA">
        <w:rPr>
          <w:rFonts w:asciiTheme="majorBidi" w:hAnsiTheme="majorBidi" w:cstheme="majorBidi"/>
          <w:sz w:val="24"/>
          <w:szCs w:val="24"/>
        </w:rPr>
        <w:t xml:space="preserve"> : Les provisions en Best Estimate sont calculées en brut et en net de réassurance.</w:t>
      </w:r>
    </w:p>
    <w:p w:rsidR="00E53C7F" w:rsidRPr="00FF70BA" w:rsidRDefault="00E53C7F"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 xml:space="preserve"> </w:t>
      </w:r>
      <w:r w:rsidRPr="00FF70BA">
        <w:rPr>
          <w:rFonts w:asciiTheme="majorBidi" w:hAnsiTheme="majorBidi" w:cstheme="majorBidi"/>
          <w:b/>
          <w:bCs/>
          <w:i/>
          <w:iCs/>
          <w:sz w:val="24"/>
          <w:szCs w:val="24"/>
        </w:rPr>
        <w:t>La fiscalité</w:t>
      </w:r>
      <w:r w:rsidRPr="00FF70BA">
        <w:rPr>
          <w:rFonts w:asciiTheme="majorBidi" w:hAnsiTheme="majorBidi" w:cstheme="majorBidi"/>
          <w:sz w:val="24"/>
          <w:szCs w:val="24"/>
        </w:rPr>
        <w:t xml:space="preserve"> : Il doit être passé une provision pour le paiement des impôts requis</w:t>
      </w:r>
      <w:r w:rsidR="000D751D" w:rsidRPr="00FF70BA">
        <w:rPr>
          <w:rFonts w:asciiTheme="majorBidi" w:hAnsiTheme="majorBidi" w:cstheme="majorBidi"/>
          <w:sz w:val="24"/>
          <w:szCs w:val="24"/>
        </w:rPr>
        <w:t>.</w:t>
      </w:r>
    </w:p>
    <w:p w:rsidR="000D751D" w:rsidRPr="00FF70BA" w:rsidRDefault="000D751D" w:rsidP="006B0558">
      <w:pPr>
        <w:autoSpaceDE w:val="0"/>
        <w:autoSpaceDN w:val="0"/>
        <w:adjustRightInd w:val="0"/>
        <w:spacing w:after="0" w:line="360" w:lineRule="auto"/>
        <w:jc w:val="both"/>
        <w:rPr>
          <w:rFonts w:asciiTheme="majorBidi" w:hAnsiTheme="majorBidi" w:cstheme="majorBidi"/>
          <w:sz w:val="24"/>
          <w:szCs w:val="24"/>
        </w:rPr>
      </w:pPr>
    </w:p>
    <w:p w:rsidR="000D751D" w:rsidRPr="00781CEA" w:rsidRDefault="000D751D" w:rsidP="006B0558">
      <w:pPr>
        <w:pStyle w:val="Paragraphedeliste"/>
        <w:numPr>
          <w:ilvl w:val="2"/>
          <w:numId w:val="13"/>
        </w:numPr>
        <w:autoSpaceDE w:val="0"/>
        <w:autoSpaceDN w:val="0"/>
        <w:adjustRightInd w:val="0"/>
        <w:spacing w:line="360" w:lineRule="auto"/>
        <w:jc w:val="both"/>
        <w:rPr>
          <w:rFonts w:asciiTheme="majorBidi" w:hAnsiTheme="majorBidi" w:cstheme="majorBidi"/>
          <w:b/>
          <w:bCs/>
          <w:sz w:val="28"/>
          <w:szCs w:val="28"/>
        </w:rPr>
      </w:pPr>
      <w:r w:rsidRPr="00FF70BA">
        <w:rPr>
          <w:rFonts w:asciiTheme="majorBidi" w:hAnsiTheme="majorBidi" w:cstheme="majorBidi"/>
          <w:i/>
          <w:iCs/>
          <w:sz w:val="28"/>
          <w:szCs w:val="28"/>
        </w:rPr>
        <w:t xml:space="preserve"> </w:t>
      </w:r>
      <w:r w:rsidRPr="00FF70BA">
        <w:rPr>
          <w:rFonts w:asciiTheme="majorBidi" w:hAnsiTheme="majorBidi" w:cstheme="majorBidi"/>
          <w:b/>
          <w:bCs/>
          <w:sz w:val="28"/>
          <w:szCs w:val="28"/>
        </w:rPr>
        <w:t>Marge de risque</w:t>
      </w:r>
    </w:p>
    <w:p w:rsidR="003219B8" w:rsidRDefault="000D751D" w:rsidP="006B0558">
      <w:pPr>
        <w:autoSpaceDE w:val="0"/>
        <w:autoSpaceDN w:val="0"/>
        <w:adjustRightInd w:val="0"/>
        <w:spacing w:line="360" w:lineRule="auto"/>
        <w:jc w:val="both"/>
        <w:rPr>
          <w:rFonts w:asciiTheme="majorBidi" w:hAnsiTheme="majorBidi" w:cstheme="majorBidi"/>
          <w:sz w:val="24"/>
          <w:szCs w:val="24"/>
        </w:rPr>
      </w:pPr>
      <w:r w:rsidRPr="00FF70BA">
        <w:rPr>
          <w:rFonts w:asciiTheme="majorBidi" w:hAnsiTheme="majorBidi" w:cstheme="majorBidi"/>
          <w:sz w:val="24"/>
          <w:szCs w:val="24"/>
        </w:rPr>
        <w:tab/>
        <w:t>Par définition, la marge de risque sert à couvrir le risque lié aux cash flow futurs des engagements, en particulier relatifs aux incertitudes liées à l’évaluation en Best Estimate des provisions. Mais plus encore, elle doit être déterminée de manière à représenter une valeur additionnelle de transfert des engagements. Autrement dit, c’est le montant qu’un repreneur éventuel du passif d’assurance exigerait au-delà du Best Estimate.</w:t>
      </w:r>
    </w:p>
    <w:p w:rsidR="000D751D" w:rsidRPr="00FF70BA" w:rsidRDefault="000D751D" w:rsidP="006B0558">
      <w:pPr>
        <w:autoSpaceDE w:val="0"/>
        <w:autoSpaceDN w:val="0"/>
        <w:adjustRightInd w:val="0"/>
        <w:spacing w:line="360" w:lineRule="auto"/>
        <w:jc w:val="both"/>
        <w:rPr>
          <w:rFonts w:asciiTheme="majorBidi" w:hAnsiTheme="majorBidi" w:cstheme="majorBidi"/>
          <w:sz w:val="24"/>
          <w:szCs w:val="24"/>
        </w:rPr>
      </w:pPr>
      <w:r w:rsidRPr="00FF70BA">
        <w:rPr>
          <w:rFonts w:asciiTheme="majorBidi" w:hAnsiTheme="majorBidi" w:cstheme="majorBidi"/>
          <w:sz w:val="24"/>
          <w:szCs w:val="24"/>
        </w:rPr>
        <w:lastRenderedPageBreak/>
        <w:t>La marge de risque est calculée suivant la méthode coût du capital (CoC) : elle représente le coût d’immobilisation des fonds propres couvrant l’ensemble des engagements de l’assureur jusqu’à leur extinction.</w:t>
      </w:r>
    </w:p>
    <w:p w:rsidR="000D751D" w:rsidRPr="00FF70BA" w:rsidRDefault="000D751D" w:rsidP="006B0558">
      <w:pPr>
        <w:autoSpaceDE w:val="0"/>
        <w:autoSpaceDN w:val="0"/>
        <w:adjustRightInd w:val="0"/>
        <w:spacing w:line="360" w:lineRule="auto"/>
        <w:jc w:val="both"/>
        <w:rPr>
          <w:rFonts w:asciiTheme="majorBidi" w:hAnsiTheme="majorBidi" w:cstheme="majorBidi"/>
          <w:sz w:val="24"/>
          <w:szCs w:val="24"/>
        </w:rPr>
      </w:pPr>
      <w:r w:rsidRPr="00FF70BA">
        <w:rPr>
          <w:rFonts w:asciiTheme="majorBidi" w:hAnsiTheme="majorBidi" w:cstheme="majorBidi"/>
          <w:sz w:val="24"/>
          <w:szCs w:val="24"/>
        </w:rPr>
        <w:tab/>
        <w:t>Les calculs se font uniquement à partir d’un Best Estimate net de réassurance calculé suivant une approche de valeur de sortie actuelle.</w:t>
      </w:r>
    </w:p>
    <w:p w:rsidR="000D751D" w:rsidRPr="00FF70BA" w:rsidRDefault="000D751D" w:rsidP="006B0558">
      <w:pPr>
        <w:autoSpaceDE w:val="0"/>
        <w:autoSpaceDN w:val="0"/>
        <w:adjustRightInd w:val="0"/>
        <w:spacing w:line="360" w:lineRule="auto"/>
        <w:jc w:val="both"/>
        <w:rPr>
          <w:rFonts w:asciiTheme="majorBidi" w:hAnsiTheme="majorBidi" w:cstheme="majorBidi"/>
          <w:sz w:val="24"/>
          <w:szCs w:val="24"/>
        </w:rPr>
      </w:pPr>
      <w:r w:rsidRPr="00FF70BA">
        <w:rPr>
          <w:rFonts w:asciiTheme="majorBidi" w:hAnsiTheme="majorBidi" w:cstheme="majorBidi"/>
          <w:sz w:val="24"/>
          <w:szCs w:val="24"/>
        </w:rPr>
        <w:t>Pour calculer la marge pour risque, il faut procéder comme suit :</w:t>
      </w:r>
    </w:p>
    <w:p w:rsidR="000D751D" w:rsidRPr="00FF70BA" w:rsidRDefault="000D751D" w:rsidP="006B0558">
      <w:pPr>
        <w:pStyle w:val="Paragraphedeliste"/>
        <w:numPr>
          <w:ilvl w:val="0"/>
          <w:numId w:val="4"/>
        </w:num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 xml:space="preserve"> Calculer les SCR pour toutes les années jusqu’à extinction du portefeuille</w:t>
      </w:r>
    </w:p>
    <w:p w:rsidR="000D751D" w:rsidRPr="00FF70BA" w:rsidRDefault="000D751D" w:rsidP="006B0558">
      <w:pPr>
        <w:pStyle w:val="Paragraphedeliste"/>
        <w:numPr>
          <w:ilvl w:val="0"/>
          <w:numId w:val="4"/>
        </w:num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 xml:space="preserve"> Multiplier chacun des SCR par le coût du capital pour obtenir le coût de détention des SCR Futurs</w:t>
      </w:r>
    </w:p>
    <w:p w:rsidR="000D751D" w:rsidRPr="00781CEA" w:rsidRDefault="000D751D" w:rsidP="006B0558">
      <w:pPr>
        <w:pStyle w:val="Paragraphedeliste"/>
        <w:numPr>
          <w:ilvl w:val="0"/>
          <w:numId w:val="4"/>
        </w:numPr>
        <w:autoSpaceDE w:val="0"/>
        <w:autoSpaceDN w:val="0"/>
        <w:adjustRightInd w:val="0"/>
        <w:spacing w:line="360" w:lineRule="auto"/>
        <w:jc w:val="both"/>
        <w:rPr>
          <w:rFonts w:asciiTheme="majorBidi" w:hAnsiTheme="majorBidi" w:cstheme="majorBidi"/>
          <w:sz w:val="24"/>
          <w:szCs w:val="24"/>
        </w:rPr>
      </w:pPr>
      <w:r w:rsidRPr="00FF70BA">
        <w:rPr>
          <w:rFonts w:asciiTheme="majorBidi" w:hAnsiTheme="majorBidi" w:cstheme="majorBidi"/>
          <w:sz w:val="24"/>
          <w:szCs w:val="24"/>
        </w:rPr>
        <w:t>Actualiser ces montants à l’aide de la courbe de taux sans risque à la date O.</w:t>
      </w:r>
    </w:p>
    <w:p w:rsidR="00FC1E11" w:rsidRPr="00781CEA" w:rsidRDefault="000D751D" w:rsidP="006B0558">
      <w:pPr>
        <w:autoSpaceDE w:val="0"/>
        <w:autoSpaceDN w:val="0"/>
        <w:adjustRightInd w:val="0"/>
        <w:spacing w:line="360" w:lineRule="auto"/>
        <w:jc w:val="both"/>
        <w:rPr>
          <w:rFonts w:asciiTheme="majorBidi" w:hAnsiTheme="majorBidi" w:cstheme="majorBidi"/>
          <w:sz w:val="24"/>
          <w:szCs w:val="24"/>
        </w:rPr>
      </w:pPr>
      <w:r w:rsidRPr="00FF70BA">
        <w:rPr>
          <w:rFonts w:asciiTheme="majorBidi" w:hAnsiTheme="majorBidi" w:cstheme="majorBidi"/>
          <w:sz w:val="24"/>
          <w:szCs w:val="24"/>
        </w:rPr>
        <w:tab/>
        <w:t>Les SCR utilisés pour le calcul de la marge pour risque prennent en compte les risques de souscription et opérationnel.</w:t>
      </w:r>
    </w:p>
    <w:p w:rsidR="00FC1E11" w:rsidRPr="00FF70BA" w:rsidRDefault="00FC1E11" w:rsidP="006B0558">
      <w:pPr>
        <w:pStyle w:val="Default"/>
        <w:tabs>
          <w:tab w:val="left" w:pos="284"/>
        </w:tabs>
        <w:spacing w:after="240" w:line="360" w:lineRule="auto"/>
        <w:jc w:val="both"/>
        <w:rPr>
          <w:rFonts w:asciiTheme="majorBidi" w:hAnsiTheme="majorBidi" w:cstheme="majorBidi"/>
        </w:rPr>
      </w:pPr>
      <w:r w:rsidRPr="00FF70BA">
        <w:rPr>
          <w:rFonts w:asciiTheme="majorBidi" w:hAnsiTheme="majorBidi" w:cstheme="majorBidi"/>
        </w:rPr>
        <w:tab/>
      </w:r>
      <w:r w:rsidR="007F5872" w:rsidRPr="00FF70BA">
        <w:rPr>
          <w:rFonts w:asciiTheme="majorBidi" w:hAnsiTheme="majorBidi" w:cstheme="majorBidi"/>
        </w:rPr>
        <w:tab/>
      </w:r>
      <w:r w:rsidR="00010E83" w:rsidRPr="00FF70BA">
        <w:rPr>
          <w:rFonts w:asciiTheme="majorBidi" w:hAnsiTheme="majorBidi" w:cstheme="majorBidi"/>
        </w:rPr>
        <w:t xml:space="preserve">Le calcul des provisions techniques impose la définition précise des flux futurs effectivement liés aux engagements de l’assureur à la date d’évaluation. </w:t>
      </w:r>
      <w:r w:rsidRPr="00FF70BA">
        <w:rPr>
          <w:rFonts w:asciiTheme="majorBidi" w:hAnsiTheme="majorBidi" w:cstheme="majorBidi"/>
        </w:rPr>
        <w:t xml:space="preserve"> </w:t>
      </w:r>
      <w:r w:rsidR="00010E83" w:rsidRPr="00FF70BA">
        <w:rPr>
          <w:rFonts w:asciiTheme="majorBidi" w:hAnsiTheme="majorBidi" w:cstheme="majorBidi"/>
        </w:rPr>
        <w:t xml:space="preserve">Les principaux critères retenus par la Commission européenne pour l’exercice QIS5 étaient les suivants : </w:t>
      </w:r>
    </w:p>
    <w:p w:rsidR="00010E83" w:rsidRPr="00FF70BA" w:rsidRDefault="00010E83" w:rsidP="006B0558">
      <w:pPr>
        <w:pStyle w:val="Default"/>
        <w:numPr>
          <w:ilvl w:val="0"/>
          <w:numId w:val="4"/>
        </w:numPr>
        <w:tabs>
          <w:tab w:val="left" w:pos="284"/>
        </w:tabs>
        <w:spacing w:line="360" w:lineRule="auto"/>
        <w:ind w:left="0" w:firstLine="0"/>
        <w:jc w:val="both"/>
        <w:rPr>
          <w:rFonts w:asciiTheme="majorBidi" w:hAnsiTheme="majorBidi" w:cstheme="majorBidi"/>
        </w:rPr>
      </w:pPr>
      <w:r w:rsidRPr="00FF70BA">
        <w:rPr>
          <w:rFonts w:asciiTheme="majorBidi" w:hAnsiTheme="majorBidi" w:cstheme="majorBidi"/>
        </w:rPr>
        <w:t xml:space="preserve">Les affaires souscrites ultérieurement ne font pas partie des engagements à la date d’évaluation, sauf lorsqu’une reconduction tacite est prévue et non dénoncée à l’extinction des délais prévus au contrat. </w:t>
      </w:r>
    </w:p>
    <w:p w:rsidR="00010E83" w:rsidRPr="00781CEA" w:rsidRDefault="00010E83" w:rsidP="006B0558">
      <w:pPr>
        <w:pStyle w:val="Default"/>
        <w:numPr>
          <w:ilvl w:val="0"/>
          <w:numId w:val="4"/>
        </w:numPr>
        <w:tabs>
          <w:tab w:val="left" w:pos="284"/>
        </w:tabs>
        <w:spacing w:line="360" w:lineRule="auto"/>
        <w:ind w:left="0" w:firstLine="0"/>
        <w:jc w:val="both"/>
        <w:rPr>
          <w:rFonts w:asciiTheme="majorBidi" w:hAnsiTheme="majorBidi" w:cstheme="majorBidi"/>
        </w:rPr>
      </w:pPr>
      <w:r w:rsidRPr="00FF70BA">
        <w:rPr>
          <w:rFonts w:asciiTheme="majorBidi" w:hAnsiTheme="majorBidi" w:cstheme="majorBidi"/>
        </w:rPr>
        <w:t xml:space="preserve">L’assureur tient compte de tous les flux futurs jusqu’au moment où il peut, soit résilier le contrat, soit refuser une prime, soit modifier de façon illimitée les tarifs ou prestations prévus au contrat. </w:t>
      </w:r>
    </w:p>
    <w:p w:rsidR="000D751D" w:rsidRPr="00FF70BA" w:rsidRDefault="007F5872" w:rsidP="006B0558">
      <w:pPr>
        <w:pStyle w:val="Default"/>
        <w:tabs>
          <w:tab w:val="left" w:pos="284"/>
        </w:tabs>
        <w:spacing w:after="240" w:line="360" w:lineRule="auto"/>
        <w:jc w:val="both"/>
        <w:rPr>
          <w:rFonts w:asciiTheme="majorBidi" w:hAnsiTheme="majorBidi" w:cstheme="majorBidi"/>
        </w:rPr>
      </w:pPr>
      <w:r w:rsidRPr="00FF70BA">
        <w:rPr>
          <w:rFonts w:asciiTheme="majorBidi" w:hAnsiTheme="majorBidi" w:cstheme="majorBidi"/>
        </w:rPr>
        <w:tab/>
      </w:r>
      <w:r w:rsidRPr="00FF70BA">
        <w:rPr>
          <w:rFonts w:asciiTheme="majorBidi" w:hAnsiTheme="majorBidi" w:cstheme="majorBidi"/>
        </w:rPr>
        <w:tab/>
      </w:r>
      <w:r w:rsidR="00010E83" w:rsidRPr="00FF70BA">
        <w:rPr>
          <w:rFonts w:asciiTheme="majorBidi" w:hAnsiTheme="majorBidi" w:cstheme="majorBidi"/>
        </w:rPr>
        <w:t>Pour assurer l’équité du régime prudentiel, il s’avère indispensable de clarifier les frontières des contrats. Les différentes options retenues peuvent, en effet, modifier considérablement le montant des provisions. Par exemple, un assureur qui prendrait en compte une prime future de 100 sur laquelle il escompte des prestations et frais de 95 constatera des provisions inférieures de 5 à celui qui ne prendrait pas en compte cette prime, et constaterait donc 5 de fonds propres supplémentaire</w:t>
      </w:r>
      <w:r w:rsidRPr="00FF70BA">
        <w:rPr>
          <w:rFonts w:asciiTheme="majorBidi" w:hAnsiTheme="majorBidi" w:cstheme="majorBidi"/>
        </w:rPr>
        <w:t>s</w:t>
      </w:r>
      <w:r w:rsidR="00010E83" w:rsidRPr="00FF70BA">
        <w:rPr>
          <w:rFonts w:asciiTheme="majorBidi" w:hAnsiTheme="majorBidi" w:cstheme="majorBidi"/>
        </w:rPr>
        <w:t>.</w:t>
      </w:r>
    </w:p>
    <w:p w:rsidR="000D751D" w:rsidRPr="00FF70BA" w:rsidRDefault="00210CE6" w:rsidP="006B0558">
      <w:pPr>
        <w:pStyle w:val="Default"/>
        <w:tabs>
          <w:tab w:val="left" w:pos="284"/>
        </w:tabs>
        <w:spacing w:line="360" w:lineRule="auto"/>
        <w:jc w:val="both"/>
        <w:rPr>
          <w:rFonts w:asciiTheme="majorBidi" w:hAnsiTheme="majorBidi" w:cstheme="majorBidi"/>
        </w:rPr>
      </w:pPr>
      <w:r w:rsidRPr="00FF70BA">
        <w:rPr>
          <w:rFonts w:asciiTheme="majorBidi" w:hAnsiTheme="majorBidi" w:cstheme="majorBidi"/>
        </w:rPr>
        <w:tab/>
      </w:r>
      <w:r w:rsidR="009B7402">
        <w:rPr>
          <w:rFonts w:asciiTheme="majorBidi" w:hAnsiTheme="majorBidi" w:cstheme="majorBidi"/>
        </w:rPr>
        <w:t xml:space="preserve">     </w:t>
      </w:r>
      <w:r w:rsidRPr="00FF70BA">
        <w:rPr>
          <w:rFonts w:asciiTheme="majorBidi" w:hAnsiTheme="majorBidi" w:cstheme="majorBidi"/>
        </w:rPr>
        <w:t>Donc on peut conclure que Solvabilité 2 vise à harmoniser les règles de calcul des provisions en y intégrant de manière quantitative de la prudence.</w:t>
      </w:r>
    </w:p>
    <w:p w:rsidR="00210CE6" w:rsidRPr="00FF70BA" w:rsidRDefault="00210CE6" w:rsidP="006B0558">
      <w:pPr>
        <w:pStyle w:val="Default"/>
        <w:tabs>
          <w:tab w:val="left" w:pos="284"/>
        </w:tabs>
        <w:spacing w:line="360" w:lineRule="auto"/>
        <w:jc w:val="both"/>
        <w:rPr>
          <w:rFonts w:asciiTheme="majorBidi" w:hAnsiTheme="majorBidi" w:cstheme="majorBidi"/>
        </w:rPr>
      </w:pPr>
    </w:p>
    <w:p w:rsidR="00CB1888" w:rsidRDefault="00496ADC" w:rsidP="006B0558">
      <w:pPr>
        <w:pStyle w:val="Default"/>
        <w:numPr>
          <w:ilvl w:val="1"/>
          <w:numId w:val="13"/>
        </w:numPr>
        <w:tabs>
          <w:tab w:val="left" w:pos="284"/>
        </w:tabs>
        <w:spacing w:line="360" w:lineRule="auto"/>
        <w:jc w:val="both"/>
        <w:rPr>
          <w:rFonts w:asciiTheme="majorBidi" w:hAnsiTheme="majorBidi" w:cstheme="majorBidi"/>
          <w:b/>
          <w:bCs/>
          <w:sz w:val="28"/>
          <w:szCs w:val="28"/>
        </w:rPr>
      </w:pPr>
      <w:r w:rsidRPr="00FF70BA">
        <w:rPr>
          <w:rFonts w:asciiTheme="majorBidi" w:hAnsiTheme="majorBidi" w:cstheme="majorBidi"/>
          <w:b/>
          <w:bCs/>
          <w:sz w:val="28"/>
          <w:szCs w:val="28"/>
        </w:rPr>
        <w:lastRenderedPageBreak/>
        <w:t>LE MINIMUM CAPITAL REQUIREMENT OU MCR</w:t>
      </w:r>
    </w:p>
    <w:p w:rsidR="00F32EF0" w:rsidRPr="00F32EF0" w:rsidRDefault="00F32EF0" w:rsidP="00A37B53">
      <w:pPr>
        <w:pStyle w:val="Default"/>
        <w:tabs>
          <w:tab w:val="left" w:pos="284"/>
        </w:tabs>
        <w:jc w:val="both"/>
        <w:rPr>
          <w:rFonts w:asciiTheme="majorBidi" w:hAnsiTheme="majorBidi" w:cstheme="majorBidi"/>
          <w:b/>
          <w:bCs/>
          <w:sz w:val="28"/>
          <w:szCs w:val="28"/>
        </w:rPr>
      </w:pPr>
    </w:p>
    <w:p w:rsidR="00861FCC" w:rsidRDefault="00AE70D8" w:rsidP="006B0558">
      <w:pPr>
        <w:pStyle w:val="Default"/>
        <w:tabs>
          <w:tab w:val="left" w:pos="284"/>
        </w:tabs>
        <w:spacing w:line="360" w:lineRule="auto"/>
        <w:jc w:val="both"/>
        <w:rPr>
          <w:rFonts w:asciiTheme="majorBidi" w:hAnsiTheme="majorBidi" w:cstheme="majorBidi"/>
        </w:rPr>
      </w:pPr>
      <w:r w:rsidRPr="00FF70BA">
        <w:rPr>
          <w:rFonts w:asciiTheme="majorBidi" w:hAnsiTheme="majorBidi" w:cstheme="majorBidi"/>
          <w:b/>
          <w:bCs/>
        </w:rPr>
        <w:tab/>
      </w:r>
      <w:r w:rsidR="00CB1888" w:rsidRPr="00FF70BA">
        <w:rPr>
          <w:rFonts w:asciiTheme="majorBidi" w:hAnsiTheme="majorBidi" w:cstheme="majorBidi"/>
          <w:b/>
          <w:bCs/>
        </w:rPr>
        <w:tab/>
      </w:r>
      <w:r w:rsidR="00CB1888" w:rsidRPr="00FF70BA">
        <w:rPr>
          <w:rFonts w:asciiTheme="majorBidi" w:hAnsiTheme="majorBidi" w:cstheme="majorBidi"/>
        </w:rPr>
        <w:t>Le MCR est la deuxième exigence de capital définie dans l’univers Solvabilité 2. Il s’agit du niveau minimal de fonds propres que l’organisme doit détenir en permanence, sous peine d’une action immédiate de l’autorité de contrôle susceptible d’entrainer un transfert du portefeuille. Ce MCR sera calculé trimestriellement.</w:t>
      </w:r>
      <w:r w:rsidR="00861FCC" w:rsidRPr="00FF70BA">
        <w:rPr>
          <w:rFonts w:asciiTheme="majorBidi" w:hAnsiTheme="majorBidi" w:cstheme="majorBidi"/>
        </w:rPr>
        <w:t xml:space="preserve"> Il représente une VAR à 1an d’environ 80%-90% c'est-à-dire une probabilité de ruine de 10 à 20%.</w:t>
      </w:r>
    </w:p>
    <w:p w:rsidR="00F32EF0" w:rsidRPr="00FF70BA" w:rsidRDefault="00F32EF0" w:rsidP="00A37B53">
      <w:pPr>
        <w:pStyle w:val="Default"/>
        <w:tabs>
          <w:tab w:val="left" w:pos="284"/>
        </w:tabs>
        <w:jc w:val="both"/>
        <w:rPr>
          <w:rFonts w:asciiTheme="majorBidi" w:hAnsiTheme="majorBidi" w:cstheme="majorBidi"/>
        </w:rPr>
      </w:pPr>
    </w:p>
    <w:p w:rsidR="00861FCC" w:rsidRPr="00FF70BA" w:rsidRDefault="00861FCC" w:rsidP="006B0558">
      <w:pPr>
        <w:pStyle w:val="Default"/>
        <w:tabs>
          <w:tab w:val="left" w:pos="284"/>
        </w:tabs>
        <w:spacing w:line="360" w:lineRule="auto"/>
        <w:jc w:val="both"/>
        <w:rPr>
          <w:rFonts w:asciiTheme="majorBidi" w:hAnsiTheme="majorBidi" w:cstheme="majorBidi"/>
        </w:rPr>
      </w:pPr>
      <w:r w:rsidRPr="00FF70BA">
        <w:rPr>
          <w:rFonts w:asciiTheme="majorBidi" w:hAnsiTheme="majorBidi" w:cstheme="majorBidi"/>
        </w:rPr>
        <w:tab/>
      </w:r>
      <w:r w:rsidRPr="00FF70BA">
        <w:rPr>
          <w:rFonts w:asciiTheme="majorBidi" w:hAnsiTheme="majorBidi" w:cstheme="majorBidi"/>
        </w:rPr>
        <w:tab/>
        <w:t>Le calcul du MCR</w:t>
      </w:r>
      <w:r w:rsidR="004E6D10" w:rsidRPr="00FF70BA">
        <w:rPr>
          <w:rFonts w:asciiTheme="majorBidi" w:hAnsiTheme="majorBidi" w:cstheme="majorBidi"/>
        </w:rPr>
        <w:t>, s’effectue en trois étapes</w:t>
      </w:r>
      <w:r w:rsidRPr="00FF70BA">
        <w:rPr>
          <w:rFonts w:asciiTheme="majorBidi" w:hAnsiTheme="majorBidi" w:cstheme="majorBidi"/>
        </w:rPr>
        <w:t>:</w:t>
      </w:r>
    </w:p>
    <w:p w:rsidR="00861FCC" w:rsidRPr="00FF70BA" w:rsidRDefault="00861FCC" w:rsidP="006B0558">
      <w:pPr>
        <w:pStyle w:val="Default"/>
        <w:numPr>
          <w:ilvl w:val="0"/>
          <w:numId w:val="4"/>
        </w:numPr>
        <w:tabs>
          <w:tab w:val="left" w:pos="284"/>
        </w:tabs>
        <w:spacing w:line="360" w:lineRule="auto"/>
        <w:ind w:left="0" w:firstLine="0"/>
        <w:jc w:val="both"/>
        <w:rPr>
          <w:rFonts w:asciiTheme="majorBidi" w:hAnsiTheme="majorBidi" w:cstheme="majorBidi"/>
        </w:rPr>
      </w:pPr>
      <w:r w:rsidRPr="00FF70BA">
        <w:rPr>
          <w:rFonts w:asciiTheme="majorBidi" w:hAnsiTheme="majorBidi" w:cstheme="majorBidi"/>
        </w:rPr>
        <w:t xml:space="preserve">Application d’une formule linéaire simple et facilement auditable en fonction des primes et des provisions techniques pour obtenir le MCR linéaire ; </w:t>
      </w:r>
    </w:p>
    <w:p w:rsidR="00861FCC" w:rsidRPr="00FF70BA" w:rsidRDefault="00861FCC" w:rsidP="006B0558">
      <w:pPr>
        <w:pStyle w:val="Default"/>
        <w:numPr>
          <w:ilvl w:val="0"/>
          <w:numId w:val="4"/>
        </w:numPr>
        <w:tabs>
          <w:tab w:val="left" w:pos="284"/>
        </w:tabs>
        <w:spacing w:line="360" w:lineRule="auto"/>
        <w:ind w:left="0" w:firstLine="0"/>
        <w:jc w:val="both"/>
        <w:rPr>
          <w:rFonts w:asciiTheme="majorBidi" w:hAnsiTheme="majorBidi" w:cstheme="majorBidi"/>
        </w:rPr>
      </w:pPr>
      <w:r w:rsidRPr="00FF70BA">
        <w:rPr>
          <w:rFonts w:asciiTheme="majorBidi" w:hAnsiTheme="majorBidi" w:cstheme="majorBidi"/>
        </w:rPr>
        <w:t xml:space="preserve">Retraitement éventuel du MCR linéaire pour qu’il soit compris entre 25% et 45% du SCR </w:t>
      </w:r>
      <w:r w:rsidR="001F5D81" w:rsidRPr="00FF70BA">
        <w:rPr>
          <w:rFonts w:asciiTheme="majorBidi" w:hAnsiTheme="majorBidi" w:cstheme="majorBidi"/>
        </w:rPr>
        <w:t>afin d’aboutir au MCR combiné. Le corridor entre 25% et 45% du SCR provient de la volonté du régulateur de prévoir une zone d’intervention graduée de l’autorité de contrôle entre le franchissement à la baisse du SCR et celui à la baisse du MCR.</w:t>
      </w:r>
    </w:p>
    <w:p w:rsidR="00861FCC" w:rsidRPr="00FF70BA" w:rsidRDefault="00861FCC" w:rsidP="006B0558">
      <w:pPr>
        <w:pStyle w:val="Default"/>
        <w:numPr>
          <w:ilvl w:val="0"/>
          <w:numId w:val="4"/>
        </w:numPr>
        <w:tabs>
          <w:tab w:val="left" w:pos="284"/>
        </w:tabs>
        <w:spacing w:line="360" w:lineRule="auto"/>
        <w:ind w:left="0" w:firstLine="0"/>
        <w:jc w:val="both"/>
        <w:rPr>
          <w:rFonts w:asciiTheme="majorBidi" w:hAnsiTheme="majorBidi" w:cstheme="majorBidi"/>
        </w:rPr>
      </w:pPr>
      <w:r w:rsidRPr="00FF70BA">
        <w:rPr>
          <w:rFonts w:asciiTheme="majorBidi" w:hAnsiTheme="majorBidi" w:cstheme="majorBidi"/>
        </w:rPr>
        <w:t xml:space="preserve">Application d’un plancher absolu dépendant de l’activité (entre 2,2M€ et 5,4M€) pour obtenir le MCR final. </w:t>
      </w:r>
    </w:p>
    <w:p w:rsidR="001F5D81" w:rsidRPr="00FF70BA" w:rsidRDefault="001F5D81" w:rsidP="006B0558">
      <w:pPr>
        <w:pStyle w:val="Default"/>
        <w:tabs>
          <w:tab w:val="left" w:pos="284"/>
        </w:tabs>
        <w:spacing w:line="360" w:lineRule="auto"/>
        <w:jc w:val="both"/>
        <w:rPr>
          <w:rFonts w:asciiTheme="majorBidi" w:hAnsiTheme="majorBidi" w:cstheme="majorBidi"/>
        </w:rPr>
      </w:pPr>
    </w:p>
    <w:p w:rsidR="001F5D81" w:rsidRPr="00FF70BA" w:rsidRDefault="003219B8" w:rsidP="006B0558">
      <w:pPr>
        <w:pStyle w:val="Default"/>
        <w:tabs>
          <w:tab w:val="left" w:pos="284"/>
        </w:tabs>
        <w:spacing w:line="360" w:lineRule="auto"/>
        <w:jc w:val="both"/>
        <w:rPr>
          <w:rFonts w:asciiTheme="majorBidi" w:hAnsiTheme="majorBidi" w:cstheme="majorBidi"/>
        </w:rPr>
      </w:pPr>
      <w:r>
        <w:rPr>
          <w:rFonts w:asciiTheme="majorBidi" w:hAnsiTheme="majorBidi" w:cstheme="majorBidi"/>
        </w:rPr>
        <w:tab/>
      </w:r>
      <w:r>
        <w:rPr>
          <w:rFonts w:asciiTheme="majorBidi" w:hAnsiTheme="majorBidi" w:cstheme="majorBidi"/>
        </w:rPr>
        <w:tab/>
        <w:t>Dans le QIS5</w:t>
      </w:r>
      <w:r w:rsidR="001F5D81" w:rsidRPr="00FF70BA">
        <w:rPr>
          <w:rFonts w:asciiTheme="majorBidi" w:hAnsiTheme="majorBidi" w:cstheme="majorBidi"/>
        </w:rPr>
        <w:t xml:space="preserve">, c’est l’approche linéaire qui est mise en avant sans pour autant que nous sachions si c’est celle qui sera retenue. Pour les activités d’assurance vie, le MCR est une combinaison linéaire fonction des provisions et des capitaux sous risque, segmentée par type d’assurance pratiquée. </w:t>
      </w:r>
    </w:p>
    <w:p w:rsidR="001F5D81" w:rsidRPr="00FF70BA" w:rsidRDefault="001F5D81" w:rsidP="006B0558">
      <w:pPr>
        <w:pStyle w:val="Default"/>
        <w:tabs>
          <w:tab w:val="left" w:pos="284"/>
        </w:tabs>
        <w:spacing w:line="360" w:lineRule="auto"/>
        <w:jc w:val="both"/>
        <w:rPr>
          <w:rFonts w:asciiTheme="majorBidi" w:hAnsiTheme="majorBidi" w:cstheme="majorBidi"/>
        </w:rPr>
      </w:pPr>
    </w:p>
    <w:p w:rsidR="00954735" w:rsidRPr="00FF70BA" w:rsidRDefault="001F5D81" w:rsidP="006B0558">
      <w:pPr>
        <w:pStyle w:val="Default"/>
        <w:tabs>
          <w:tab w:val="left" w:pos="284"/>
        </w:tabs>
        <w:spacing w:line="360" w:lineRule="auto"/>
        <w:jc w:val="both"/>
        <w:rPr>
          <w:rFonts w:asciiTheme="majorBidi" w:hAnsiTheme="majorBidi" w:cstheme="majorBidi"/>
        </w:rPr>
      </w:pPr>
      <w:r w:rsidRPr="00FF70BA">
        <w:rPr>
          <w:rFonts w:asciiTheme="majorBidi" w:hAnsiTheme="majorBidi" w:cstheme="majorBidi"/>
        </w:rPr>
        <w:tab/>
      </w:r>
      <w:r w:rsidRPr="00FF70BA">
        <w:rPr>
          <w:rFonts w:asciiTheme="majorBidi" w:hAnsiTheme="majorBidi" w:cstheme="majorBidi"/>
        </w:rPr>
        <w:tab/>
        <w:t>Le calcul se fait net de réassurance. Nous excluons les risques « d’actifs ».</w:t>
      </w:r>
    </w:p>
    <w:p w:rsidR="001F5D81" w:rsidRPr="000603A0" w:rsidRDefault="009C5AC6" w:rsidP="006B0558">
      <w:pPr>
        <w:pStyle w:val="Default"/>
        <w:tabs>
          <w:tab w:val="left" w:pos="284"/>
        </w:tabs>
        <w:spacing w:line="360" w:lineRule="auto"/>
        <w:jc w:val="both"/>
        <w:rPr>
          <w:rFonts w:asciiTheme="majorBidi" w:hAnsiTheme="majorBidi" w:cstheme="majorBidi"/>
        </w:rPr>
      </w:pPr>
      <w:r>
        <w:rPr>
          <w:rFonts w:asciiTheme="majorBidi" w:hAnsiTheme="majorBidi" w:cstheme="majorBidi"/>
          <w:noProof/>
        </w:rPr>
        <w:pict>
          <v:roundrect id="_x0000_s1083" style="position:absolute;left:0;text-align:left;margin-left:70.9pt;margin-top:3.75pt;width:277.5pt;height:28.5pt;z-index:251662848" arcsize="10923f" fillcolor="#b2a1c7 [1943]" strokecolor="#b2a1c7 [1943]" strokeweight="1pt">
            <v:fill color2="#e5dfec [663]" angle="-45" focus="-50%" type="gradient"/>
            <v:shadow on="t" type="perspective" color="#3f3151 [1607]" opacity=".5" offset="1pt" offset2="-3pt"/>
            <v:textbox>
              <w:txbxContent>
                <w:p w:rsidR="00F32EF0" w:rsidRPr="00FF70BA" w:rsidRDefault="00F32EF0" w:rsidP="00F32EF0">
                  <w:pPr>
                    <w:pStyle w:val="Default"/>
                    <w:tabs>
                      <w:tab w:val="left" w:pos="284"/>
                    </w:tabs>
                    <w:spacing w:line="276" w:lineRule="auto"/>
                    <w:jc w:val="center"/>
                    <w:rPr>
                      <w:rFonts w:asciiTheme="majorBidi" w:hAnsiTheme="majorBidi" w:cstheme="majorBidi"/>
                      <w:lang w:val="en-US"/>
                    </w:rPr>
                  </w:pPr>
                  <w:r w:rsidRPr="00FF70BA">
                    <w:rPr>
                      <w:rFonts w:asciiTheme="majorBidi" w:hAnsiTheme="majorBidi" w:cstheme="majorBidi"/>
                      <w:i/>
                      <w:iCs/>
                      <w:lang w:val="en-US"/>
                    </w:rPr>
                    <w:t>MCR</w:t>
                  </w:r>
                  <w:r w:rsidRPr="00FF70BA">
                    <w:rPr>
                      <w:rFonts w:asciiTheme="majorBidi" w:hAnsiTheme="majorBidi" w:cstheme="majorBidi"/>
                      <w:i/>
                      <w:iCs/>
                      <w:vertAlign w:val="subscript"/>
                      <w:lang w:val="en-US"/>
                    </w:rPr>
                    <w:t>Linear</w:t>
                  </w:r>
                  <w:r w:rsidRPr="00FF70BA">
                    <w:rPr>
                      <w:rFonts w:asciiTheme="majorBidi" w:hAnsiTheme="majorBidi" w:cstheme="majorBidi"/>
                      <w:i/>
                      <w:iCs/>
                      <w:lang w:val="en-US"/>
                    </w:rPr>
                    <w:t xml:space="preserve"> </w:t>
                  </w:r>
                  <w:r w:rsidRPr="00FF70BA">
                    <w:rPr>
                      <w:rFonts w:asciiTheme="majorBidi" w:hAnsiTheme="majorBidi" w:cstheme="majorBidi"/>
                      <w:lang w:val="en-US"/>
                    </w:rPr>
                    <w:t xml:space="preserve">= </w:t>
                  </w:r>
                  <w:r w:rsidRPr="00FF70BA">
                    <w:rPr>
                      <w:rFonts w:asciiTheme="majorBidi" w:hAnsiTheme="majorBidi" w:cstheme="majorBidi"/>
                      <w:i/>
                      <w:iCs/>
                      <w:lang w:val="en-US"/>
                    </w:rPr>
                    <w:t>MCR</w:t>
                  </w:r>
                  <w:r w:rsidRPr="00FF70BA">
                    <w:rPr>
                      <w:rFonts w:asciiTheme="majorBidi" w:hAnsiTheme="majorBidi" w:cstheme="majorBidi"/>
                      <w:i/>
                      <w:iCs/>
                      <w:vertAlign w:val="subscript"/>
                      <w:lang w:val="en-US"/>
                    </w:rPr>
                    <w:t>NL</w:t>
                  </w:r>
                  <w:r w:rsidRPr="00FF70BA">
                    <w:rPr>
                      <w:rFonts w:asciiTheme="majorBidi" w:hAnsiTheme="majorBidi" w:cstheme="majorBidi"/>
                      <w:i/>
                      <w:iCs/>
                      <w:lang w:val="en-US"/>
                    </w:rPr>
                    <w:t xml:space="preserve"> </w:t>
                  </w:r>
                  <w:r w:rsidRPr="00FF70BA">
                    <w:rPr>
                      <w:rFonts w:asciiTheme="majorBidi" w:hAnsiTheme="majorBidi" w:cstheme="majorBidi"/>
                      <w:lang w:val="en-US"/>
                    </w:rPr>
                    <w:t xml:space="preserve">+ </w:t>
                  </w:r>
                  <w:r w:rsidRPr="00FF70BA">
                    <w:rPr>
                      <w:rFonts w:asciiTheme="majorBidi" w:hAnsiTheme="majorBidi" w:cstheme="majorBidi"/>
                      <w:i/>
                      <w:iCs/>
                      <w:lang w:val="en-US"/>
                    </w:rPr>
                    <w:t>MCR</w:t>
                  </w:r>
                  <w:r w:rsidR="009E189D">
                    <w:rPr>
                      <w:rFonts w:asciiTheme="majorBidi" w:hAnsiTheme="majorBidi" w:cstheme="majorBidi"/>
                      <w:vertAlign w:val="superscript"/>
                      <w:lang w:val="en-US"/>
                    </w:rPr>
                    <w:sym w:font="Symbol" w:char="F0A2"/>
                  </w:r>
                  <w:r w:rsidRPr="00FF70BA">
                    <w:rPr>
                      <w:rFonts w:asciiTheme="majorBidi" w:hAnsiTheme="majorBidi" w:cstheme="majorBidi"/>
                      <w:vertAlign w:val="subscript"/>
                      <w:lang w:val="en-US"/>
                    </w:rPr>
                    <w:t>NL</w:t>
                  </w:r>
                  <w:r w:rsidRPr="00FF70BA">
                    <w:rPr>
                      <w:rFonts w:asciiTheme="majorBidi" w:hAnsiTheme="majorBidi" w:cstheme="majorBidi"/>
                      <w:lang w:val="en-US"/>
                    </w:rPr>
                    <w:t xml:space="preserve"> + </w:t>
                  </w:r>
                  <w:r w:rsidRPr="00FF70BA">
                    <w:rPr>
                      <w:rFonts w:asciiTheme="majorBidi" w:hAnsiTheme="majorBidi" w:cstheme="majorBidi"/>
                      <w:i/>
                      <w:iCs/>
                      <w:lang w:val="en-US"/>
                    </w:rPr>
                    <w:t>MCR</w:t>
                  </w:r>
                  <w:r w:rsidRPr="00FF70BA">
                    <w:rPr>
                      <w:rFonts w:asciiTheme="majorBidi" w:hAnsiTheme="majorBidi" w:cstheme="majorBidi"/>
                      <w:i/>
                      <w:iCs/>
                      <w:vertAlign w:val="subscript"/>
                      <w:lang w:val="en-US"/>
                    </w:rPr>
                    <w:t>Life</w:t>
                  </w:r>
                  <w:r w:rsidRPr="00FF70BA">
                    <w:rPr>
                      <w:rFonts w:asciiTheme="majorBidi" w:hAnsiTheme="majorBidi" w:cstheme="majorBidi"/>
                      <w:i/>
                      <w:iCs/>
                      <w:lang w:val="en-US"/>
                    </w:rPr>
                    <w:t xml:space="preserve"> </w:t>
                  </w:r>
                  <w:r w:rsidRPr="00FF70BA">
                    <w:rPr>
                      <w:rFonts w:asciiTheme="majorBidi" w:hAnsiTheme="majorBidi" w:cstheme="majorBidi"/>
                      <w:lang w:val="en-US"/>
                    </w:rPr>
                    <w:t xml:space="preserve">+ </w:t>
                  </w:r>
                  <w:r w:rsidRPr="00FF70BA">
                    <w:rPr>
                      <w:rFonts w:asciiTheme="majorBidi" w:hAnsiTheme="majorBidi" w:cstheme="majorBidi"/>
                      <w:i/>
                      <w:iCs/>
                      <w:lang w:val="en-US"/>
                    </w:rPr>
                    <w:t>MCR</w:t>
                  </w:r>
                  <w:r w:rsidR="00DF4240">
                    <w:rPr>
                      <w:rFonts w:asciiTheme="majorBidi" w:hAnsiTheme="majorBidi" w:cstheme="majorBidi"/>
                      <w:i/>
                      <w:iCs/>
                      <w:vertAlign w:val="superscript"/>
                      <w:lang w:val="en-US"/>
                    </w:rPr>
                    <w:sym w:font="Symbol" w:char="F0A2"/>
                  </w:r>
                  <w:r w:rsidRPr="00FF70BA">
                    <w:rPr>
                      <w:rFonts w:asciiTheme="majorBidi" w:hAnsiTheme="majorBidi" w:cstheme="majorBidi"/>
                      <w:i/>
                      <w:iCs/>
                      <w:vertAlign w:val="subscript"/>
                      <w:lang w:val="en-US"/>
                    </w:rPr>
                    <w:t>Life</w:t>
                  </w:r>
                </w:p>
                <w:p w:rsidR="00F32EF0" w:rsidRPr="000603A0" w:rsidRDefault="00F32EF0" w:rsidP="00F32EF0">
                  <w:pPr>
                    <w:rPr>
                      <w:lang w:val="en-US"/>
                    </w:rPr>
                  </w:pPr>
                </w:p>
              </w:txbxContent>
            </v:textbox>
          </v:roundrect>
        </w:pict>
      </w:r>
    </w:p>
    <w:p w:rsidR="00F32EF0" w:rsidRPr="000603A0" w:rsidRDefault="00F32EF0" w:rsidP="006B0558">
      <w:pPr>
        <w:pStyle w:val="Default"/>
        <w:tabs>
          <w:tab w:val="left" w:pos="284"/>
        </w:tabs>
        <w:spacing w:line="360" w:lineRule="auto"/>
        <w:jc w:val="both"/>
        <w:rPr>
          <w:rFonts w:asciiTheme="majorBidi" w:hAnsiTheme="majorBidi" w:cstheme="majorBidi"/>
        </w:rPr>
      </w:pPr>
    </w:p>
    <w:p w:rsidR="001F5D81" w:rsidRPr="00FF70BA" w:rsidRDefault="001F5D81" w:rsidP="006B0558">
      <w:pPr>
        <w:pStyle w:val="Default"/>
        <w:tabs>
          <w:tab w:val="left" w:pos="284"/>
        </w:tabs>
        <w:spacing w:line="360" w:lineRule="auto"/>
        <w:jc w:val="both"/>
        <w:rPr>
          <w:rFonts w:asciiTheme="majorBidi" w:hAnsiTheme="majorBidi" w:cstheme="majorBidi"/>
        </w:rPr>
      </w:pPr>
      <w:r w:rsidRPr="00FF70BA">
        <w:rPr>
          <w:rFonts w:asciiTheme="majorBidi" w:hAnsiTheme="majorBidi" w:cstheme="majorBidi"/>
        </w:rPr>
        <w:t xml:space="preserve">Avec </w:t>
      </w:r>
      <w:r w:rsidRPr="00FF70BA">
        <w:rPr>
          <w:rFonts w:asciiTheme="majorBidi" w:hAnsiTheme="majorBidi" w:cstheme="majorBidi"/>
          <w:i/>
          <w:iCs/>
        </w:rPr>
        <w:t>MCR</w:t>
      </w:r>
      <w:r w:rsidR="00954735" w:rsidRPr="00FF70BA">
        <w:rPr>
          <w:rFonts w:asciiTheme="majorBidi" w:hAnsiTheme="majorBidi" w:cstheme="majorBidi"/>
          <w:i/>
          <w:iCs/>
          <w:vertAlign w:val="subscript"/>
        </w:rPr>
        <w:t>NL</w:t>
      </w:r>
      <w:r w:rsidRPr="00FF70BA">
        <w:rPr>
          <w:rFonts w:asciiTheme="majorBidi" w:hAnsiTheme="majorBidi" w:cstheme="majorBidi"/>
          <w:i/>
          <w:iCs/>
        </w:rPr>
        <w:t xml:space="preserve"> </w:t>
      </w:r>
      <w:r w:rsidRPr="00FF70BA">
        <w:rPr>
          <w:rFonts w:asciiTheme="majorBidi" w:hAnsiTheme="majorBidi" w:cstheme="majorBidi"/>
        </w:rPr>
        <w:t xml:space="preserve">et </w:t>
      </w:r>
      <w:r w:rsidRPr="00FF70BA">
        <w:rPr>
          <w:rFonts w:asciiTheme="majorBidi" w:hAnsiTheme="majorBidi" w:cstheme="majorBidi"/>
          <w:i/>
          <w:iCs/>
        </w:rPr>
        <w:t>MCR</w:t>
      </w:r>
      <w:r w:rsidR="00954735" w:rsidRPr="00FF70BA">
        <w:rPr>
          <w:rFonts w:asciiTheme="majorBidi" w:hAnsiTheme="majorBidi" w:cstheme="majorBidi"/>
          <w:i/>
          <w:iCs/>
        </w:rPr>
        <w:t xml:space="preserve"> </w:t>
      </w:r>
      <w:r w:rsidR="00954735" w:rsidRPr="00FF70BA">
        <w:rPr>
          <w:rFonts w:asciiTheme="majorBidi" w:hAnsiTheme="majorBidi" w:cstheme="majorBidi"/>
          <w:i/>
          <w:iCs/>
          <w:vertAlign w:val="subscript"/>
        </w:rPr>
        <w:t>life</w:t>
      </w:r>
      <w:r w:rsidRPr="00FF70BA">
        <w:rPr>
          <w:rFonts w:asciiTheme="majorBidi" w:hAnsiTheme="majorBidi" w:cstheme="majorBidi"/>
          <w:i/>
          <w:iCs/>
        </w:rPr>
        <w:t xml:space="preserve"> </w:t>
      </w:r>
      <w:r w:rsidRPr="00FF70BA">
        <w:rPr>
          <w:rFonts w:asciiTheme="majorBidi" w:hAnsiTheme="majorBidi" w:cstheme="majorBidi"/>
        </w:rPr>
        <w:t xml:space="preserve"> sont respectivement les MCR non vie et vie</w:t>
      </w:r>
    </w:p>
    <w:p w:rsidR="001F5D81" w:rsidRPr="00FF70BA" w:rsidRDefault="00954735" w:rsidP="006B0558">
      <w:pPr>
        <w:pStyle w:val="Default"/>
        <w:tabs>
          <w:tab w:val="left" w:pos="284"/>
        </w:tabs>
        <w:spacing w:line="360" w:lineRule="auto"/>
        <w:jc w:val="both"/>
        <w:rPr>
          <w:rFonts w:asciiTheme="majorBidi" w:hAnsiTheme="majorBidi" w:cstheme="majorBidi"/>
        </w:rPr>
      </w:pPr>
      <w:r w:rsidRPr="00FF70BA">
        <w:rPr>
          <w:rFonts w:asciiTheme="majorBidi" w:hAnsiTheme="majorBidi" w:cstheme="majorBidi"/>
          <w:i/>
          <w:iCs/>
        </w:rPr>
        <w:t xml:space="preserve">        </w:t>
      </w:r>
      <w:r w:rsidR="001F5D81" w:rsidRPr="00FF70BA">
        <w:rPr>
          <w:rFonts w:asciiTheme="majorBidi" w:hAnsiTheme="majorBidi" w:cstheme="majorBidi"/>
          <w:i/>
          <w:iCs/>
        </w:rPr>
        <w:t>MCR</w:t>
      </w:r>
      <w:r w:rsidR="00DF4240">
        <w:rPr>
          <w:rFonts w:asciiTheme="majorBidi" w:hAnsiTheme="majorBidi" w:cstheme="majorBidi"/>
          <w:vertAlign w:val="superscript"/>
        </w:rPr>
        <w:sym w:font="Symbol" w:char="F0A2"/>
      </w:r>
      <w:r w:rsidR="001F5D81" w:rsidRPr="00FF70BA">
        <w:rPr>
          <w:rFonts w:asciiTheme="majorBidi" w:hAnsiTheme="majorBidi" w:cstheme="majorBidi"/>
          <w:i/>
          <w:iCs/>
          <w:vertAlign w:val="subscript"/>
        </w:rPr>
        <w:t>NL</w:t>
      </w:r>
      <w:r w:rsidR="001F5D81" w:rsidRPr="00FF70BA">
        <w:rPr>
          <w:rFonts w:asciiTheme="majorBidi" w:hAnsiTheme="majorBidi" w:cstheme="majorBidi"/>
          <w:i/>
          <w:iCs/>
        </w:rPr>
        <w:t xml:space="preserve"> </w:t>
      </w:r>
      <w:r w:rsidR="001F5D81" w:rsidRPr="00FF70BA">
        <w:rPr>
          <w:rFonts w:asciiTheme="majorBidi" w:hAnsiTheme="majorBidi" w:cstheme="majorBidi"/>
        </w:rPr>
        <w:t>est le MCR pour les activités non vie similaires aux activités vie</w:t>
      </w:r>
    </w:p>
    <w:p w:rsidR="00954735" w:rsidRDefault="00954735" w:rsidP="006B0558">
      <w:pPr>
        <w:pStyle w:val="Default"/>
        <w:tabs>
          <w:tab w:val="left" w:pos="284"/>
        </w:tabs>
        <w:spacing w:line="360" w:lineRule="auto"/>
        <w:jc w:val="both"/>
        <w:rPr>
          <w:rFonts w:asciiTheme="majorBidi" w:hAnsiTheme="majorBidi" w:cstheme="majorBidi"/>
        </w:rPr>
      </w:pPr>
      <w:r w:rsidRPr="00FF70BA">
        <w:rPr>
          <w:rFonts w:asciiTheme="majorBidi" w:hAnsiTheme="majorBidi" w:cstheme="majorBidi"/>
          <w:i/>
          <w:iCs/>
        </w:rPr>
        <w:t xml:space="preserve">       </w:t>
      </w:r>
      <w:r w:rsidR="001F5D81" w:rsidRPr="00FF70BA">
        <w:rPr>
          <w:rFonts w:asciiTheme="majorBidi" w:hAnsiTheme="majorBidi" w:cstheme="majorBidi"/>
          <w:i/>
          <w:iCs/>
        </w:rPr>
        <w:t>MCR</w:t>
      </w:r>
      <w:r w:rsidR="00DF4240">
        <w:rPr>
          <w:rFonts w:asciiTheme="majorBidi" w:hAnsiTheme="majorBidi" w:cstheme="majorBidi"/>
          <w:vertAlign w:val="superscript"/>
        </w:rPr>
        <w:sym w:font="Symbol" w:char="F0A2"/>
      </w:r>
      <w:r w:rsidR="001F5D81" w:rsidRPr="00FF70BA">
        <w:rPr>
          <w:rFonts w:asciiTheme="majorBidi" w:hAnsiTheme="majorBidi" w:cstheme="majorBidi"/>
          <w:i/>
          <w:iCs/>
          <w:vertAlign w:val="subscript"/>
        </w:rPr>
        <w:t>life</w:t>
      </w:r>
      <w:r w:rsidR="001F5D81" w:rsidRPr="00FF70BA">
        <w:rPr>
          <w:rFonts w:asciiTheme="majorBidi" w:hAnsiTheme="majorBidi" w:cstheme="majorBidi"/>
          <w:i/>
          <w:iCs/>
        </w:rPr>
        <w:t xml:space="preserve"> </w:t>
      </w:r>
      <w:r w:rsidR="001F5D81" w:rsidRPr="00FF70BA">
        <w:rPr>
          <w:rFonts w:asciiTheme="majorBidi" w:hAnsiTheme="majorBidi" w:cstheme="majorBidi"/>
        </w:rPr>
        <w:t>est le MCR pour les activités vie similaires aux activités non vie</w:t>
      </w:r>
    </w:p>
    <w:p w:rsidR="00F32EF0" w:rsidRPr="00FF70BA" w:rsidRDefault="00F32EF0" w:rsidP="006B0558">
      <w:pPr>
        <w:pStyle w:val="Default"/>
        <w:tabs>
          <w:tab w:val="left" w:pos="284"/>
        </w:tabs>
        <w:spacing w:line="360" w:lineRule="auto"/>
        <w:jc w:val="both"/>
        <w:rPr>
          <w:rFonts w:asciiTheme="majorBidi" w:hAnsiTheme="majorBidi" w:cstheme="majorBidi"/>
        </w:rPr>
      </w:pPr>
    </w:p>
    <w:p w:rsidR="001F5D81" w:rsidRPr="00FF70BA" w:rsidRDefault="001F5D81" w:rsidP="006B0558">
      <w:pPr>
        <w:pStyle w:val="Default"/>
        <w:tabs>
          <w:tab w:val="left" w:pos="284"/>
        </w:tabs>
        <w:spacing w:line="360" w:lineRule="auto"/>
        <w:jc w:val="both"/>
        <w:rPr>
          <w:rFonts w:asciiTheme="majorBidi" w:hAnsiTheme="majorBidi" w:cstheme="majorBidi"/>
        </w:rPr>
      </w:pPr>
      <w:r w:rsidRPr="00FF70BA">
        <w:rPr>
          <w:rFonts w:asciiTheme="majorBidi" w:hAnsiTheme="majorBidi" w:cstheme="majorBidi"/>
        </w:rPr>
        <w:t xml:space="preserve">Prenons l’exemple du calcul du </w:t>
      </w:r>
      <w:r w:rsidR="006A6AE4" w:rsidRPr="00FF70BA">
        <w:rPr>
          <w:rFonts w:asciiTheme="majorBidi" w:hAnsiTheme="majorBidi" w:cstheme="majorBidi"/>
          <w:i/>
          <w:iCs/>
        </w:rPr>
        <w:t>MCR</w:t>
      </w:r>
      <w:r w:rsidR="004A4780">
        <w:rPr>
          <w:rFonts w:asciiTheme="majorBidi" w:hAnsiTheme="majorBidi" w:cstheme="majorBidi"/>
          <w:i/>
          <w:iCs/>
        </w:rPr>
        <w:t xml:space="preserve"> Non</w:t>
      </w:r>
      <w:r w:rsidR="006A6AE4" w:rsidRPr="00FF70BA">
        <w:rPr>
          <w:rFonts w:asciiTheme="majorBidi" w:hAnsiTheme="majorBidi" w:cstheme="majorBidi"/>
          <w:i/>
          <w:iCs/>
        </w:rPr>
        <w:t xml:space="preserve"> </w:t>
      </w:r>
      <w:r w:rsidR="006A6AE4" w:rsidRPr="00FF70BA">
        <w:rPr>
          <w:rFonts w:asciiTheme="majorBidi" w:hAnsiTheme="majorBidi" w:cstheme="majorBidi"/>
          <w:i/>
          <w:iCs/>
          <w:vertAlign w:val="subscript"/>
        </w:rPr>
        <w:t>Life</w:t>
      </w:r>
      <w:r w:rsidRPr="00FF70BA">
        <w:rPr>
          <w:rFonts w:asciiTheme="majorBidi" w:hAnsiTheme="majorBidi" w:cstheme="majorBidi"/>
          <w:i/>
          <w:iCs/>
        </w:rPr>
        <w:t xml:space="preserve"> </w:t>
      </w:r>
      <w:r w:rsidRPr="00FF70BA">
        <w:rPr>
          <w:rFonts w:asciiTheme="majorBidi" w:hAnsiTheme="majorBidi" w:cstheme="majorBidi"/>
        </w:rPr>
        <w:t>:</w:t>
      </w:r>
    </w:p>
    <w:p w:rsidR="006A6AE4" w:rsidRPr="00FF70BA" w:rsidRDefault="00F32EF0" w:rsidP="006B0558">
      <w:pPr>
        <w:pStyle w:val="Default"/>
        <w:tabs>
          <w:tab w:val="left" w:pos="284"/>
        </w:tabs>
        <w:spacing w:line="360" w:lineRule="auto"/>
        <w:jc w:val="center"/>
        <w:rPr>
          <w:rFonts w:asciiTheme="majorBidi" w:hAnsiTheme="majorBidi" w:cstheme="majorBidi"/>
        </w:rPr>
      </w:pPr>
      <w:r w:rsidRPr="00F32EF0">
        <w:rPr>
          <w:rFonts w:asciiTheme="majorBidi" w:hAnsiTheme="majorBidi" w:cstheme="majorBidi"/>
          <w:noProof/>
        </w:rPr>
        <w:drawing>
          <wp:inline distT="0" distB="0" distL="0" distR="0">
            <wp:extent cx="3267075" cy="447675"/>
            <wp:effectExtent l="95250" t="57150" r="47625" b="180975"/>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267075" cy="44767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F32EF0" w:rsidRPr="00FF70BA" w:rsidRDefault="00F32EF0" w:rsidP="006B0558">
      <w:pPr>
        <w:pStyle w:val="Default"/>
        <w:tabs>
          <w:tab w:val="left" w:pos="284"/>
        </w:tabs>
        <w:spacing w:line="360" w:lineRule="auto"/>
        <w:jc w:val="both"/>
        <w:rPr>
          <w:rFonts w:asciiTheme="majorBidi" w:hAnsiTheme="majorBidi" w:cstheme="majorBidi"/>
        </w:rPr>
      </w:pPr>
      <w:r w:rsidRPr="00FF70BA">
        <w:rPr>
          <w:rFonts w:asciiTheme="majorBidi" w:hAnsiTheme="majorBidi" w:cstheme="majorBidi"/>
        </w:rPr>
        <w:lastRenderedPageBreak/>
        <w:t xml:space="preserve">Avec : - </w:t>
      </w:r>
      <w:r w:rsidRPr="00FF70BA">
        <w:rPr>
          <w:rFonts w:asciiTheme="majorBidi" w:hAnsiTheme="majorBidi" w:cstheme="majorBidi"/>
          <w:i/>
          <w:iCs/>
        </w:rPr>
        <w:t xml:space="preserve">TP </w:t>
      </w:r>
      <w:r>
        <w:rPr>
          <w:rFonts w:asciiTheme="majorBidi" w:hAnsiTheme="majorBidi" w:cstheme="majorBidi"/>
          <w:i/>
          <w:iCs/>
          <w:vertAlign w:val="subscript"/>
        </w:rPr>
        <w:t>lob</w:t>
      </w:r>
      <w:r w:rsidRPr="00FF70BA">
        <w:rPr>
          <w:rFonts w:asciiTheme="majorBidi" w:hAnsiTheme="majorBidi" w:cstheme="majorBidi"/>
        </w:rPr>
        <w:t>: Les provisions techniques nettes de</w:t>
      </w:r>
      <w:r>
        <w:rPr>
          <w:rFonts w:asciiTheme="majorBidi" w:hAnsiTheme="majorBidi" w:cstheme="majorBidi"/>
        </w:rPr>
        <w:t xml:space="preserve"> réassurance pour chaque branche lob</w:t>
      </w:r>
    </w:p>
    <w:p w:rsidR="00F32EF0" w:rsidRPr="00FF70BA" w:rsidRDefault="00F32EF0" w:rsidP="006B0558">
      <w:pPr>
        <w:pStyle w:val="Default"/>
        <w:numPr>
          <w:ilvl w:val="0"/>
          <w:numId w:val="4"/>
        </w:numPr>
        <w:tabs>
          <w:tab w:val="left" w:pos="284"/>
        </w:tabs>
        <w:spacing w:line="360" w:lineRule="auto"/>
        <w:jc w:val="both"/>
        <w:rPr>
          <w:rFonts w:asciiTheme="majorBidi" w:hAnsiTheme="majorBidi" w:cstheme="majorBidi"/>
        </w:rPr>
      </w:pPr>
      <w:r>
        <w:rPr>
          <w:rFonts w:asciiTheme="majorBidi" w:hAnsiTheme="majorBidi" w:cstheme="majorBidi"/>
          <w:i/>
          <w:iCs/>
        </w:rPr>
        <w:t>P</w:t>
      </w:r>
      <w:r w:rsidRPr="00FF70BA">
        <w:rPr>
          <w:rFonts w:asciiTheme="majorBidi" w:hAnsiTheme="majorBidi" w:cstheme="majorBidi"/>
          <w:i/>
          <w:iCs/>
        </w:rPr>
        <w:t xml:space="preserve"> </w:t>
      </w:r>
      <w:r>
        <w:rPr>
          <w:rFonts w:asciiTheme="majorBidi" w:hAnsiTheme="majorBidi" w:cstheme="majorBidi"/>
          <w:i/>
          <w:iCs/>
          <w:vertAlign w:val="subscript"/>
        </w:rPr>
        <w:t>lob</w:t>
      </w:r>
      <w:r w:rsidRPr="00FF70BA">
        <w:rPr>
          <w:rFonts w:asciiTheme="majorBidi" w:hAnsiTheme="majorBidi" w:cstheme="majorBidi"/>
          <w:i/>
          <w:iCs/>
        </w:rPr>
        <w:t xml:space="preserve"> </w:t>
      </w:r>
      <w:r>
        <w:rPr>
          <w:rFonts w:asciiTheme="majorBidi" w:hAnsiTheme="majorBidi" w:cstheme="majorBidi"/>
        </w:rPr>
        <w:t>: les primes émises pour chaque branche lob</w:t>
      </w:r>
    </w:p>
    <w:p w:rsidR="00707010" w:rsidRDefault="00F32EF0" w:rsidP="006B0558">
      <w:pPr>
        <w:pStyle w:val="Default"/>
        <w:numPr>
          <w:ilvl w:val="0"/>
          <w:numId w:val="4"/>
        </w:numPr>
        <w:tabs>
          <w:tab w:val="left" w:pos="284"/>
          <w:tab w:val="left" w:pos="1134"/>
        </w:tabs>
        <w:spacing w:line="360" w:lineRule="auto"/>
        <w:jc w:val="both"/>
        <w:rPr>
          <w:rFonts w:asciiTheme="majorBidi" w:hAnsiTheme="majorBidi" w:cstheme="majorBidi"/>
        </w:rPr>
      </w:pPr>
      <w:r w:rsidRPr="00FF70BA">
        <w:rPr>
          <w:rFonts w:asciiTheme="majorBidi" w:hAnsiTheme="majorBidi" w:cstheme="majorBidi"/>
        </w:rPr>
        <w:t>Les</w:t>
      </w:r>
      <w:r>
        <w:rPr>
          <w:rFonts w:asciiTheme="majorBidi" w:hAnsiTheme="majorBidi" w:cstheme="majorBidi"/>
        </w:rPr>
        <w:t xml:space="preserve"> valeurs des</w:t>
      </w:r>
      <w:r w:rsidRPr="00FF70BA">
        <w:rPr>
          <w:rFonts w:asciiTheme="majorBidi" w:hAnsiTheme="majorBidi" w:cstheme="majorBidi"/>
        </w:rPr>
        <w:t xml:space="preserve"> coefficients </w:t>
      </w:r>
      <w:r w:rsidRPr="00FF70BA">
        <w:rPr>
          <w:rFonts w:asciiTheme="majorBidi" w:hAnsiTheme="majorBidi" w:cstheme="majorBidi"/>
          <w:b/>
          <w:bCs/>
          <w:sz w:val="28"/>
          <w:szCs w:val="28"/>
        </w:rPr>
        <w:t>α</w:t>
      </w:r>
      <w:r>
        <w:rPr>
          <w:rFonts w:asciiTheme="majorBidi" w:hAnsiTheme="majorBidi" w:cstheme="majorBidi"/>
          <w:b/>
          <w:bCs/>
          <w:i/>
          <w:iCs/>
          <w:sz w:val="28"/>
          <w:szCs w:val="28"/>
          <w:vertAlign w:val="subscript"/>
        </w:rPr>
        <w:t>lo</w:t>
      </w:r>
      <w:r>
        <w:rPr>
          <w:rFonts w:asciiTheme="majorBidi" w:hAnsiTheme="majorBidi" w:cstheme="majorBidi"/>
        </w:rPr>
        <w:t xml:space="preserve"> et </w:t>
      </w:r>
      <w:r w:rsidRPr="003B2775">
        <w:rPr>
          <w:rFonts w:asciiTheme="majorBidi" w:hAnsiTheme="majorBidi" w:cstheme="majorBidi"/>
          <w:b/>
          <w:bCs/>
        </w:rPr>
        <w:t>β</w:t>
      </w:r>
      <w:r w:rsidRPr="003B2775">
        <w:rPr>
          <w:rFonts w:asciiTheme="majorBidi" w:hAnsiTheme="majorBidi" w:cstheme="majorBidi"/>
          <w:b/>
          <w:bCs/>
          <w:i/>
          <w:iCs/>
          <w:vertAlign w:val="subscript"/>
        </w:rPr>
        <w:t>lob</w:t>
      </w:r>
      <w:r w:rsidRPr="00FF70BA">
        <w:rPr>
          <w:rFonts w:asciiTheme="majorBidi" w:hAnsiTheme="majorBidi" w:cstheme="majorBidi"/>
          <w:i/>
          <w:iCs/>
        </w:rPr>
        <w:t xml:space="preserve">  </w:t>
      </w:r>
      <w:r w:rsidRPr="00FF70BA">
        <w:rPr>
          <w:rFonts w:asciiTheme="majorBidi" w:hAnsiTheme="majorBidi" w:cstheme="majorBidi"/>
        </w:rPr>
        <w:t>sont données dans le QIS</w:t>
      </w:r>
      <w:r w:rsidR="00F478BB">
        <w:rPr>
          <w:rFonts w:asciiTheme="majorBidi" w:hAnsiTheme="majorBidi" w:cstheme="majorBidi"/>
        </w:rPr>
        <w:t>5</w:t>
      </w:r>
      <w:r w:rsidRPr="00FF70BA">
        <w:rPr>
          <w:rFonts w:asciiTheme="majorBidi" w:hAnsiTheme="majorBidi" w:cstheme="majorBidi"/>
        </w:rPr>
        <w:t xml:space="preserve">. </w:t>
      </w:r>
    </w:p>
    <w:p w:rsidR="00F32EF0" w:rsidRDefault="00F32EF0" w:rsidP="006B0558">
      <w:pPr>
        <w:pStyle w:val="Default"/>
        <w:tabs>
          <w:tab w:val="left" w:pos="284"/>
          <w:tab w:val="left" w:pos="1134"/>
        </w:tabs>
        <w:spacing w:line="360" w:lineRule="auto"/>
        <w:jc w:val="both"/>
        <w:rPr>
          <w:rFonts w:asciiTheme="majorBidi" w:hAnsiTheme="majorBidi" w:cstheme="majorBidi"/>
        </w:rPr>
      </w:pPr>
    </w:p>
    <w:p w:rsidR="00F32EF0" w:rsidRDefault="001F5D81" w:rsidP="006B0558">
      <w:pPr>
        <w:pStyle w:val="Default"/>
        <w:tabs>
          <w:tab w:val="left" w:pos="284"/>
          <w:tab w:val="left" w:pos="1134"/>
        </w:tabs>
        <w:spacing w:line="360" w:lineRule="auto"/>
        <w:jc w:val="both"/>
        <w:rPr>
          <w:rFonts w:asciiTheme="majorBidi" w:hAnsiTheme="majorBidi" w:cstheme="majorBidi"/>
        </w:rPr>
      </w:pPr>
      <w:r w:rsidRPr="00FF70BA">
        <w:rPr>
          <w:rFonts w:asciiTheme="majorBidi" w:hAnsiTheme="majorBidi" w:cstheme="majorBidi"/>
        </w:rPr>
        <w:t>Ce MCR est le MCR linéaire à partir duquel nous pouvons calculer le MCR</w:t>
      </w:r>
      <w:r w:rsidR="006A6AE4" w:rsidRPr="00FF70BA">
        <w:rPr>
          <w:rFonts w:asciiTheme="majorBidi" w:hAnsiTheme="majorBidi" w:cstheme="majorBidi"/>
          <w:i/>
          <w:iCs/>
        </w:rPr>
        <w:t xml:space="preserve"> </w:t>
      </w:r>
      <w:r w:rsidRPr="00FF70BA">
        <w:rPr>
          <w:rFonts w:asciiTheme="majorBidi" w:hAnsiTheme="majorBidi" w:cstheme="majorBidi"/>
        </w:rPr>
        <w:t>combiné.</w:t>
      </w:r>
    </w:p>
    <w:p w:rsidR="00F32EF0" w:rsidRPr="00FF70BA" w:rsidRDefault="00725BD8" w:rsidP="006B0558">
      <w:pPr>
        <w:pStyle w:val="Default"/>
        <w:tabs>
          <w:tab w:val="left" w:pos="284"/>
          <w:tab w:val="left" w:pos="1134"/>
        </w:tabs>
        <w:spacing w:line="360" w:lineRule="auto"/>
        <w:jc w:val="both"/>
        <w:rPr>
          <w:rFonts w:asciiTheme="majorBidi" w:hAnsiTheme="majorBidi" w:cstheme="majorBidi"/>
        </w:rPr>
      </w:pPr>
      <w:r>
        <w:rPr>
          <w:rFonts w:asciiTheme="majorBidi" w:hAnsiTheme="majorBidi" w:cstheme="majorBidi"/>
          <w:noProof/>
        </w:rPr>
        <w:drawing>
          <wp:anchor distT="0" distB="0" distL="114300" distR="114300" simplePos="0" relativeHeight="251654656" behindDoc="0" locked="0" layoutInCell="1" allowOverlap="1">
            <wp:simplePos x="0" y="0"/>
            <wp:positionH relativeFrom="column">
              <wp:posOffset>662305</wp:posOffset>
            </wp:positionH>
            <wp:positionV relativeFrom="paragraph">
              <wp:posOffset>213360</wp:posOffset>
            </wp:positionV>
            <wp:extent cx="4181475" cy="428625"/>
            <wp:effectExtent l="95250" t="57150" r="66675" b="180975"/>
            <wp:wrapTopAndBottom/>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181475" cy="4286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anchor>
        </w:drawing>
      </w:r>
    </w:p>
    <w:p w:rsidR="009153A6" w:rsidRPr="001B2203" w:rsidRDefault="00496ADC" w:rsidP="006B0558">
      <w:pPr>
        <w:pStyle w:val="Default"/>
        <w:numPr>
          <w:ilvl w:val="1"/>
          <w:numId w:val="13"/>
        </w:numPr>
        <w:tabs>
          <w:tab w:val="left" w:pos="284"/>
        </w:tabs>
        <w:spacing w:line="360" w:lineRule="auto"/>
        <w:jc w:val="both"/>
        <w:rPr>
          <w:rFonts w:asciiTheme="majorBidi" w:hAnsiTheme="majorBidi" w:cstheme="majorBidi"/>
          <w:b/>
          <w:bCs/>
          <w:sz w:val="28"/>
          <w:szCs w:val="28"/>
          <w:lang w:val="en-US"/>
        </w:rPr>
      </w:pPr>
      <w:r w:rsidRPr="00FF70BA">
        <w:rPr>
          <w:rFonts w:asciiTheme="majorBidi" w:hAnsiTheme="majorBidi" w:cstheme="majorBidi"/>
          <w:b/>
          <w:bCs/>
          <w:sz w:val="28"/>
          <w:szCs w:val="28"/>
          <w:lang w:val="en-US"/>
        </w:rPr>
        <w:t xml:space="preserve">LE SOLVENCY CAPITAL REQUIREMENT (SCR) </w:t>
      </w:r>
    </w:p>
    <w:p w:rsidR="009153A6" w:rsidRDefault="009153A6" w:rsidP="006B0558">
      <w:pPr>
        <w:pStyle w:val="Paragraphedeliste"/>
        <w:autoSpaceDE w:val="0"/>
        <w:autoSpaceDN w:val="0"/>
        <w:adjustRightInd w:val="0"/>
        <w:spacing w:after="0" w:line="360" w:lineRule="auto"/>
        <w:ind w:left="0"/>
        <w:jc w:val="both"/>
        <w:rPr>
          <w:rFonts w:asciiTheme="majorBidi" w:hAnsiTheme="majorBidi" w:cstheme="majorBidi"/>
          <w:color w:val="000000"/>
          <w:sz w:val="24"/>
          <w:szCs w:val="24"/>
        </w:rPr>
      </w:pPr>
      <w:r w:rsidRPr="00FF70BA">
        <w:rPr>
          <w:rFonts w:asciiTheme="majorBidi" w:hAnsiTheme="majorBidi" w:cstheme="majorBidi"/>
          <w:color w:val="000000"/>
          <w:sz w:val="24"/>
          <w:szCs w:val="24"/>
        </w:rPr>
        <w:tab/>
        <w:t>Sous le régime Solvabilité 2, le SCR (capital de solvabilité requis) représente l’exigence de capital. Il correspond au montant de fonds propres à détenir pour limiter la probabilité de ruine à un an à 0,5%</w:t>
      </w:r>
      <w:r w:rsidR="001B2203">
        <w:rPr>
          <w:rFonts w:asciiTheme="majorBidi" w:hAnsiTheme="majorBidi" w:cstheme="majorBidi"/>
          <w:color w:val="000000"/>
          <w:sz w:val="24"/>
          <w:szCs w:val="24"/>
        </w:rPr>
        <w:t xml:space="preserve">, </w:t>
      </w:r>
      <w:r w:rsidR="001B2203" w:rsidRPr="001B2203">
        <w:rPr>
          <w:rFonts w:asciiTheme="majorBidi" w:hAnsiTheme="majorBidi" w:cstheme="majorBidi"/>
        </w:rPr>
        <w:t>ou bien la VaR (Value at Risk) à 99,5% de la perte en fonds propres économiques à horizon d’un an</w:t>
      </w:r>
      <w:r w:rsidRPr="00FF70BA">
        <w:rPr>
          <w:rFonts w:asciiTheme="majorBidi" w:hAnsiTheme="majorBidi" w:cstheme="majorBidi"/>
          <w:color w:val="000000"/>
          <w:sz w:val="24"/>
          <w:szCs w:val="24"/>
        </w:rPr>
        <w:t xml:space="preserve">. Dès lors que l’organisme ne couvrira plus son SCR, le superviseur devra établir un plan de redressement en concertation avec ce dernier. Le SCR est basé sur le profil de risque de l’organisme. </w:t>
      </w:r>
    </w:p>
    <w:p w:rsidR="001B2203" w:rsidRPr="00EF35C2" w:rsidRDefault="001B2203" w:rsidP="006B0558">
      <w:pPr>
        <w:pStyle w:val="Paragraphedeliste"/>
        <w:autoSpaceDE w:val="0"/>
        <w:autoSpaceDN w:val="0"/>
        <w:adjustRightInd w:val="0"/>
        <w:spacing w:after="0" w:line="360" w:lineRule="auto"/>
        <w:ind w:left="0"/>
        <w:jc w:val="both"/>
        <w:rPr>
          <w:rFonts w:asciiTheme="majorBidi" w:hAnsiTheme="majorBidi" w:cstheme="majorBidi"/>
          <w:color w:val="000000"/>
          <w:sz w:val="24"/>
          <w:szCs w:val="24"/>
        </w:rPr>
      </w:pPr>
      <w:r>
        <w:rPr>
          <w:rFonts w:asciiTheme="majorBidi" w:hAnsiTheme="majorBidi" w:cstheme="majorBidi"/>
          <w:noProof/>
          <w:color w:val="000000"/>
          <w:sz w:val="24"/>
          <w:szCs w:val="24"/>
        </w:rPr>
        <w:drawing>
          <wp:inline distT="0" distB="0" distL="0" distR="0">
            <wp:extent cx="5762625" cy="3124200"/>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762625" cy="3124200"/>
                    </a:xfrm>
                    <a:prstGeom prst="rect">
                      <a:avLst/>
                    </a:prstGeom>
                    <a:noFill/>
                    <a:ln w="9525">
                      <a:noFill/>
                      <a:miter lim="800000"/>
                      <a:headEnd/>
                      <a:tailEnd/>
                    </a:ln>
                  </pic:spPr>
                </pic:pic>
              </a:graphicData>
            </a:graphic>
          </wp:inline>
        </w:drawing>
      </w:r>
      <w:r w:rsidR="00273578">
        <w:rPr>
          <w:rFonts w:asciiTheme="majorBidi" w:hAnsiTheme="majorBidi" w:cstheme="majorBidi"/>
          <w:b/>
          <w:bCs/>
          <w:color w:val="000000"/>
          <w:sz w:val="24"/>
          <w:szCs w:val="24"/>
        </w:rPr>
        <w:t>Graphique</w:t>
      </w:r>
      <w:r w:rsidRPr="001B2203">
        <w:rPr>
          <w:rFonts w:asciiTheme="majorBidi" w:hAnsiTheme="majorBidi" w:cstheme="majorBidi"/>
          <w:b/>
          <w:bCs/>
          <w:color w:val="000000"/>
          <w:sz w:val="24"/>
          <w:szCs w:val="24"/>
        </w:rPr>
        <w:t xml:space="preserve"> N°</w:t>
      </w:r>
      <w:r w:rsidR="00BB5340">
        <w:rPr>
          <w:rFonts w:asciiTheme="majorBidi" w:hAnsiTheme="majorBidi" w:cstheme="majorBidi"/>
          <w:b/>
          <w:bCs/>
          <w:color w:val="000000"/>
          <w:sz w:val="24"/>
          <w:szCs w:val="24"/>
        </w:rPr>
        <w:t>1</w:t>
      </w:r>
      <w:r w:rsidRPr="001B2203">
        <w:rPr>
          <w:rFonts w:asciiTheme="majorBidi" w:hAnsiTheme="majorBidi" w:cstheme="majorBidi"/>
          <w:b/>
          <w:bCs/>
          <w:color w:val="000000"/>
          <w:sz w:val="24"/>
          <w:szCs w:val="24"/>
        </w:rPr>
        <w:t xml:space="preserve">: </w:t>
      </w:r>
      <w:r w:rsidRPr="001B2203">
        <w:rPr>
          <w:rFonts w:asciiTheme="majorBidi" w:hAnsiTheme="majorBidi" w:cstheme="majorBidi"/>
          <w:b/>
          <w:bCs/>
          <w:sz w:val="24"/>
          <w:szCs w:val="24"/>
        </w:rPr>
        <w:t>Calcul du SCR à partir de la distribution des pertes à un an</w:t>
      </w:r>
    </w:p>
    <w:p w:rsidR="00EF35C2" w:rsidRPr="006B0558" w:rsidRDefault="00EF35C2" w:rsidP="006B0558">
      <w:pPr>
        <w:pStyle w:val="Paragraphedeliste"/>
        <w:autoSpaceDE w:val="0"/>
        <w:autoSpaceDN w:val="0"/>
        <w:adjustRightInd w:val="0"/>
        <w:spacing w:after="0" w:line="360" w:lineRule="auto"/>
        <w:ind w:left="0"/>
        <w:jc w:val="both"/>
        <w:rPr>
          <w:rFonts w:asciiTheme="majorBidi" w:hAnsiTheme="majorBidi" w:cstheme="majorBidi"/>
          <w:b/>
          <w:bCs/>
          <w:sz w:val="24"/>
          <w:szCs w:val="24"/>
        </w:rPr>
      </w:pPr>
      <w:r>
        <w:rPr>
          <w:rFonts w:asciiTheme="majorBidi" w:hAnsiTheme="majorBidi" w:cstheme="majorBidi"/>
          <w:b/>
          <w:bCs/>
          <w:sz w:val="24"/>
          <w:szCs w:val="24"/>
        </w:rPr>
        <w:t xml:space="preserve">Source: </w:t>
      </w:r>
      <w:hyperlink r:id="rId13" w:history="1">
        <w:r w:rsidRPr="00B4763C">
          <w:rPr>
            <w:rStyle w:val="Lienhypertexte"/>
            <w:rFonts w:asciiTheme="majorBidi" w:hAnsiTheme="majorBidi" w:cstheme="majorBidi"/>
            <w:b/>
            <w:bCs/>
            <w:sz w:val="24"/>
            <w:szCs w:val="24"/>
          </w:rPr>
          <w:t>www.actuaire-search.fr</w:t>
        </w:r>
      </w:hyperlink>
    </w:p>
    <w:p w:rsidR="006B0558" w:rsidRPr="00FF70BA" w:rsidRDefault="009153A6" w:rsidP="006B0558">
      <w:pPr>
        <w:pStyle w:val="Paragraphedeliste"/>
        <w:autoSpaceDE w:val="0"/>
        <w:autoSpaceDN w:val="0"/>
        <w:adjustRightInd w:val="0"/>
        <w:spacing w:after="0" w:line="360" w:lineRule="auto"/>
        <w:ind w:left="0"/>
        <w:jc w:val="both"/>
        <w:rPr>
          <w:rFonts w:asciiTheme="majorBidi" w:hAnsiTheme="majorBidi" w:cstheme="majorBidi"/>
          <w:color w:val="000000"/>
          <w:sz w:val="24"/>
          <w:szCs w:val="24"/>
        </w:rPr>
      </w:pPr>
      <w:r w:rsidRPr="00FF70BA">
        <w:rPr>
          <w:rFonts w:asciiTheme="majorBidi" w:hAnsiTheme="majorBidi" w:cstheme="majorBidi"/>
          <w:color w:val="000000"/>
          <w:sz w:val="24"/>
          <w:szCs w:val="24"/>
        </w:rPr>
        <w:tab/>
        <w:t xml:space="preserve">Le SCR peut être calculé de plusieurs façons différentes : soit par une formule standard, soit par un modèle interne développé par l’assureur et après autorisation par le </w:t>
      </w:r>
      <w:r w:rsidRPr="00FF70BA">
        <w:rPr>
          <w:rFonts w:asciiTheme="majorBidi" w:hAnsiTheme="majorBidi" w:cstheme="majorBidi"/>
          <w:color w:val="000000"/>
          <w:sz w:val="24"/>
          <w:szCs w:val="24"/>
        </w:rPr>
        <w:lastRenderedPageBreak/>
        <w:t xml:space="preserve">superviseur, soit par une combinaison de ces deux méthodes (il s’agit dés lors d’un model interne partiel). </w:t>
      </w:r>
    </w:p>
    <w:p w:rsidR="009153A6" w:rsidRPr="00FF70BA" w:rsidRDefault="009153A6" w:rsidP="006B0558">
      <w:pPr>
        <w:pStyle w:val="Paragraphedeliste"/>
        <w:autoSpaceDE w:val="0"/>
        <w:autoSpaceDN w:val="0"/>
        <w:adjustRightInd w:val="0"/>
        <w:spacing w:after="0" w:line="360" w:lineRule="auto"/>
        <w:ind w:left="0"/>
        <w:jc w:val="both"/>
        <w:rPr>
          <w:rFonts w:asciiTheme="majorBidi" w:hAnsiTheme="majorBidi" w:cstheme="majorBidi"/>
          <w:color w:val="000000"/>
          <w:sz w:val="24"/>
          <w:szCs w:val="24"/>
        </w:rPr>
      </w:pPr>
      <w:r w:rsidRPr="00FF70BA">
        <w:rPr>
          <w:rFonts w:asciiTheme="majorBidi" w:hAnsiTheme="majorBidi" w:cstheme="majorBidi"/>
          <w:color w:val="000000"/>
          <w:sz w:val="24"/>
          <w:szCs w:val="24"/>
        </w:rPr>
        <w:tab/>
        <w:t>Le SCR formule standard est calculé selon une approche modulaire, comme l’indique le schéma ci-dessous. L’organisme doit calculer la perte subie en cas d’événement défavorable lié à une trentaine de facteurs de risque. Pour tenir compte de la probabilité faible de réalisation simultanée de tous ces événements, la formule standard introduit des corrélations entre ces facteurs de risque et permet ainsi à l’organisme de constater des bénéfices de diversification. Enfin, pour refléter au mieux la réalité économique, la perte brute observée par l’organisme (BSCR ou SCR de base) peut encore être atténuée par deux effets avant d’obtenir le SCR final :</w:t>
      </w:r>
      <w:r w:rsidR="00207A40" w:rsidRPr="00FF70BA">
        <w:rPr>
          <w:rStyle w:val="Appelnotedebasdep"/>
          <w:rFonts w:asciiTheme="majorBidi" w:hAnsiTheme="majorBidi" w:cstheme="majorBidi"/>
          <w:color w:val="000000"/>
          <w:sz w:val="24"/>
          <w:szCs w:val="24"/>
        </w:rPr>
        <w:footnoteReference w:id="16"/>
      </w:r>
      <w:r w:rsidRPr="00FF70BA">
        <w:rPr>
          <w:rFonts w:asciiTheme="majorBidi" w:hAnsiTheme="majorBidi" w:cstheme="majorBidi"/>
          <w:color w:val="000000"/>
          <w:sz w:val="24"/>
          <w:szCs w:val="24"/>
        </w:rPr>
        <w:t xml:space="preserve"> </w:t>
      </w:r>
    </w:p>
    <w:p w:rsidR="009153A6" w:rsidRPr="00F32EF0" w:rsidRDefault="009153A6" w:rsidP="006B0558">
      <w:pPr>
        <w:pStyle w:val="Paragraphedeliste"/>
        <w:numPr>
          <w:ilvl w:val="0"/>
          <w:numId w:val="4"/>
        </w:numPr>
        <w:autoSpaceDE w:val="0"/>
        <w:autoSpaceDN w:val="0"/>
        <w:adjustRightInd w:val="0"/>
        <w:spacing w:after="0" w:line="360" w:lineRule="auto"/>
        <w:jc w:val="both"/>
        <w:rPr>
          <w:rFonts w:asciiTheme="majorBidi" w:hAnsiTheme="majorBidi" w:cstheme="majorBidi"/>
          <w:color w:val="000000"/>
          <w:sz w:val="24"/>
          <w:szCs w:val="24"/>
        </w:rPr>
      </w:pPr>
      <w:r w:rsidRPr="00FF70BA">
        <w:rPr>
          <w:rFonts w:asciiTheme="majorBidi" w:hAnsiTheme="majorBidi" w:cstheme="majorBidi"/>
          <w:color w:val="000000"/>
          <w:sz w:val="24"/>
          <w:szCs w:val="24"/>
        </w:rPr>
        <w:t xml:space="preserve">D’une part, la prise en compte de la capacité de l’organisme à transférer une partie de sa perte aux assurés via une moindre participation aux bénéfices que celle qu’il avait escomptée avant le choc. </w:t>
      </w:r>
    </w:p>
    <w:p w:rsidR="009153A6" w:rsidRPr="00FF70BA" w:rsidRDefault="001B2203" w:rsidP="006B0558">
      <w:pPr>
        <w:pStyle w:val="Paragraphedeliste"/>
        <w:numPr>
          <w:ilvl w:val="0"/>
          <w:numId w:val="4"/>
        </w:num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noProof/>
          <w:color w:val="000000"/>
          <w:sz w:val="24"/>
          <w:szCs w:val="24"/>
        </w:rPr>
        <w:drawing>
          <wp:anchor distT="0" distB="0" distL="114300" distR="114300" simplePos="0" relativeHeight="251663872" behindDoc="0" locked="0" layoutInCell="1" allowOverlap="1">
            <wp:simplePos x="0" y="0"/>
            <wp:positionH relativeFrom="column">
              <wp:posOffset>-42545</wp:posOffset>
            </wp:positionH>
            <wp:positionV relativeFrom="paragraph">
              <wp:posOffset>824865</wp:posOffset>
            </wp:positionV>
            <wp:extent cx="5762625" cy="3314700"/>
            <wp:effectExtent l="19050" t="0" r="9525" b="0"/>
            <wp:wrapTopAndBottom/>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762625" cy="3314700"/>
                    </a:xfrm>
                    <a:prstGeom prst="rect">
                      <a:avLst/>
                    </a:prstGeom>
                    <a:noFill/>
                    <a:ln w="9525">
                      <a:noFill/>
                      <a:miter lim="800000"/>
                      <a:headEnd/>
                      <a:tailEnd/>
                    </a:ln>
                  </pic:spPr>
                </pic:pic>
              </a:graphicData>
            </a:graphic>
          </wp:anchor>
        </w:drawing>
      </w:r>
      <w:r w:rsidR="009153A6" w:rsidRPr="00FF70BA">
        <w:rPr>
          <w:rFonts w:asciiTheme="majorBidi" w:hAnsiTheme="majorBidi" w:cstheme="majorBidi"/>
          <w:color w:val="000000"/>
          <w:sz w:val="24"/>
          <w:szCs w:val="24"/>
        </w:rPr>
        <w:t xml:space="preserve">D’autre part, l’imputation de la perte au résultat fiscal qui conduira dans la plupart des cas à payer </w:t>
      </w:r>
      <w:r w:rsidR="009153A6" w:rsidRPr="00FF70BA">
        <w:rPr>
          <w:rFonts w:asciiTheme="majorBidi" w:hAnsiTheme="majorBidi" w:cstheme="majorBidi"/>
          <w:i/>
          <w:iCs/>
          <w:color w:val="000000"/>
          <w:sz w:val="24"/>
          <w:szCs w:val="24"/>
        </w:rPr>
        <w:t xml:space="preserve">in fine </w:t>
      </w:r>
      <w:r w:rsidR="009153A6" w:rsidRPr="00FF70BA">
        <w:rPr>
          <w:rFonts w:asciiTheme="majorBidi" w:hAnsiTheme="majorBidi" w:cstheme="majorBidi"/>
          <w:color w:val="000000"/>
          <w:sz w:val="24"/>
          <w:szCs w:val="24"/>
        </w:rPr>
        <w:t xml:space="preserve">moins d’impôts dans le futur que ceux qui avaient été comptabilisés au bilan initial. </w:t>
      </w:r>
    </w:p>
    <w:p w:rsidR="00861FCC" w:rsidRPr="00FF70BA" w:rsidRDefault="00433E41" w:rsidP="006B0558">
      <w:pPr>
        <w:pStyle w:val="Default"/>
        <w:tabs>
          <w:tab w:val="left" w:pos="284"/>
        </w:tabs>
        <w:spacing w:line="360" w:lineRule="auto"/>
        <w:jc w:val="both"/>
        <w:rPr>
          <w:rFonts w:asciiTheme="majorBidi" w:hAnsiTheme="majorBidi" w:cstheme="majorBidi"/>
          <w:b/>
          <w:bCs/>
        </w:rPr>
      </w:pPr>
      <w:r w:rsidRPr="00FF70BA">
        <w:rPr>
          <w:rFonts w:asciiTheme="majorBidi" w:hAnsiTheme="majorBidi" w:cstheme="majorBidi"/>
          <w:b/>
          <w:bCs/>
        </w:rPr>
        <w:t>Figure N°</w:t>
      </w:r>
      <w:r w:rsidR="00273578">
        <w:rPr>
          <w:rFonts w:asciiTheme="majorBidi" w:hAnsiTheme="majorBidi" w:cstheme="majorBidi"/>
          <w:b/>
          <w:bCs/>
        </w:rPr>
        <w:t>4</w:t>
      </w:r>
      <w:r w:rsidRPr="00FF70BA">
        <w:rPr>
          <w:rFonts w:asciiTheme="majorBidi" w:hAnsiTheme="majorBidi" w:cstheme="majorBidi"/>
          <w:b/>
          <w:bCs/>
        </w:rPr>
        <w:t>:L</w:t>
      </w:r>
      <w:r w:rsidR="0012316D">
        <w:rPr>
          <w:rFonts w:asciiTheme="majorBidi" w:hAnsiTheme="majorBidi" w:cstheme="majorBidi"/>
          <w:b/>
          <w:bCs/>
        </w:rPr>
        <w:t>’approche modulaire de calcul</w:t>
      </w:r>
      <w:r w:rsidRPr="00FF70BA">
        <w:rPr>
          <w:rFonts w:asciiTheme="majorBidi" w:hAnsiTheme="majorBidi" w:cstheme="majorBidi"/>
          <w:b/>
          <w:bCs/>
        </w:rPr>
        <w:t>e</w:t>
      </w:r>
      <w:r w:rsidR="0012316D">
        <w:rPr>
          <w:rFonts w:asciiTheme="majorBidi" w:hAnsiTheme="majorBidi" w:cstheme="majorBidi"/>
          <w:b/>
          <w:bCs/>
        </w:rPr>
        <w:t xml:space="preserve"> du</w:t>
      </w:r>
      <w:r w:rsidRPr="00FF70BA">
        <w:rPr>
          <w:rFonts w:asciiTheme="majorBidi" w:hAnsiTheme="majorBidi" w:cstheme="majorBidi"/>
          <w:b/>
          <w:bCs/>
        </w:rPr>
        <w:t xml:space="preserve"> </w:t>
      </w:r>
      <w:r w:rsidR="0012316D">
        <w:rPr>
          <w:rFonts w:asciiTheme="majorBidi" w:hAnsiTheme="majorBidi" w:cstheme="majorBidi"/>
          <w:b/>
          <w:bCs/>
        </w:rPr>
        <w:t>SCR</w:t>
      </w:r>
      <w:r w:rsidRPr="00FF70BA">
        <w:rPr>
          <w:rFonts w:asciiTheme="majorBidi" w:hAnsiTheme="majorBidi" w:cstheme="majorBidi"/>
          <w:b/>
          <w:bCs/>
        </w:rPr>
        <w:t xml:space="preserve"> </w:t>
      </w:r>
    </w:p>
    <w:p w:rsidR="00F32EF0" w:rsidRDefault="00207A40" w:rsidP="006B0558">
      <w:pPr>
        <w:pStyle w:val="Default"/>
        <w:tabs>
          <w:tab w:val="left" w:pos="284"/>
        </w:tabs>
        <w:spacing w:line="360" w:lineRule="auto"/>
        <w:jc w:val="both"/>
        <w:rPr>
          <w:rFonts w:asciiTheme="majorBidi" w:hAnsiTheme="majorBidi" w:cstheme="majorBidi"/>
          <w:b/>
          <w:bCs/>
        </w:rPr>
      </w:pPr>
      <w:r w:rsidRPr="00FF70BA">
        <w:rPr>
          <w:rFonts w:asciiTheme="majorBidi" w:hAnsiTheme="majorBidi" w:cstheme="majorBidi"/>
          <w:b/>
          <w:bCs/>
        </w:rPr>
        <w:t>Source</w:t>
      </w:r>
      <w:r w:rsidR="00447534" w:rsidRPr="00FF70BA">
        <w:rPr>
          <w:rFonts w:asciiTheme="majorBidi" w:hAnsiTheme="majorBidi" w:cstheme="majorBidi"/>
          <w:b/>
          <w:bCs/>
        </w:rPr>
        <w:t>: CEIOPS-DOC-23/07</w:t>
      </w:r>
      <w:r w:rsidR="000615FB" w:rsidRPr="00FF70BA">
        <w:rPr>
          <w:rFonts w:asciiTheme="majorBidi" w:hAnsiTheme="majorBidi" w:cstheme="majorBidi"/>
          <w:b/>
          <w:bCs/>
        </w:rPr>
        <w:t>, QIS4 Technical Specifications</w:t>
      </w:r>
    </w:p>
    <w:p w:rsidR="002C6A7E" w:rsidRDefault="002C6A7E" w:rsidP="006B0558">
      <w:pPr>
        <w:pStyle w:val="Default"/>
        <w:tabs>
          <w:tab w:val="left" w:pos="284"/>
        </w:tabs>
        <w:spacing w:line="360" w:lineRule="auto"/>
        <w:jc w:val="both"/>
        <w:rPr>
          <w:rFonts w:asciiTheme="majorBidi" w:hAnsiTheme="majorBidi" w:cstheme="majorBidi"/>
          <w:b/>
          <w:bCs/>
        </w:rPr>
      </w:pPr>
    </w:p>
    <w:p w:rsidR="002C6A7E" w:rsidRDefault="002C6A7E" w:rsidP="006B0558">
      <w:pPr>
        <w:pStyle w:val="Default"/>
        <w:tabs>
          <w:tab w:val="left" w:pos="284"/>
        </w:tabs>
        <w:spacing w:line="360" w:lineRule="auto"/>
        <w:jc w:val="both"/>
        <w:rPr>
          <w:rFonts w:asciiTheme="majorBidi" w:hAnsiTheme="majorBidi" w:cstheme="majorBidi"/>
          <w:b/>
          <w:bCs/>
        </w:rPr>
      </w:pPr>
    </w:p>
    <w:p w:rsidR="00433E41" w:rsidRPr="00FF70BA" w:rsidRDefault="008D60BA" w:rsidP="006B0558">
      <w:pPr>
        <w:pStyle w:val="Default"/>
        <w:tabs>
          <w:tab w:val="left" w:pos="284"/>
        </w:tabs>
        <w:spacing w:line="360" w:lineRule="auto"/>
        <w:jc w:val="both"/>
        <w:rPr>
          <w:rFonts w:asciiTheme="majorBidi" w:hAnsiTheme="majorBidi" w:cstheme="majorBidi"/>
        </w:rPr>
      </w:pPr>
      <w:r w:rsidRPr="00FF70BA">
        <w:rPr>
          <w:rFonts w:asciiTheme="majorBidi" w:hAnsiTheme="majorBidi" w:cstheme="majorBidi"/>
          <w:noProof/>
        </w:rPr>
        <w:lastRenderedPageBreak/>
        <w:drawing>
          <wp:anchor distT="0" distB="0" distL="114300" distR="114300" simplePos="0" relativeHeight="251655680" behindDoc="0" locked="0" layoutInCell="1" allowOverlap="1">
            <wp:simplePos x="0" y="0"/>
            <wp:positionH relativeFrom="column">
              <wp:posOffset>1842770</wp:posOffset>
            </wp:positionH>
            <wp:positionV relativeFrom="paragraph">
              <wp:posOffset>369570</wp:posOffset>
            </wp:positionV>
            <wp:extent cx="2085975" cy="342900"/>
            <wp:effectExtent l="95250" t="57150" r="47625" b="152400"/>
            <wp:wrapTopAndBottom/>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085975" cy="3429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anchor>
        </w:drawing>
      </w:r>
      <w:r w:rsidR="00433E41" w:rsidRPr="00FF70BA">
        <w:rPr>
          <w:rFonts w:asciiTheme="majorBidi" w:hAnsiTheme="majorBidi" w:cstheme="majorBidi"/>
        </w:rPr>
        <w:t>La formule standard du SCR repose sur la relation:</w:t>
      </w:r>
    </w:p>
    <w:p w:rsidR="00960435" w:rsidRDefault="00960435" w:rsidP="00960435">
      <w:pPr>
        <w:pStyle w:val="Default"/>
        <w:tabs>
          <w:tab w:val="left" w:pos="284"/>
        </w:tabs>
        <w:jc w:val="both"/>
        <w:rPr>
          <w:rFonts w:asciiTheme="majorBidi" w:hAnsiTheme="majorBidi" w:cstheme="majorBidi"/>
        </w:rPr>
      </w:pPr>
    </w:p>
    <w:p w:rsidR="00BE5D5F" w:rsidRPr="00FF70BA" w:rsidRDefault="00BE5D5F" w:rsidP="006B0558">
      <w:pPr>
        <w:pStyle w:val="Default"/>
        <w:tabs>
          <w:tab w:val="left" w:pos="284"/>
        </w:tabs>
        <w:spacing w:line="360" w:lineRule="auto"/>
        <w:jc w:val="both"/>
        <w:rPr>
          <w:rFonts w:asciiTheme="majorBidi" w:hAnsiTheme="majorBidi" w:cstheme="majorBidi"/>
        </w:rPr>
      </w:pPr>
      <w:r w:rsidRPr="00FF70BA">
        <w:rPr>
          <w:rFonts w:asciiTheme="majorBidi" w:hAnsiTheme="majorBidi" w:cstheme="majorBidi"/>
        </w:rPr>
        <w:t>Avec : BSCR: le capital de solvabilité requis de base</w:t>
      </w:r>
    </w:p>
    <w:p w:rsidR="00BE5D5F" w:rsidRPr="00FF70BA" w:rsidRDefault="00BE5D5F" w:rsidP="006B0558">
      <w:pPr>
        <w:pStyle w:val="Default"/>
        <w:tabs>
          <w:tab w:val="left" w:pos="284"/>
        </w:tabs>
        <w:spacing w:line="360" w:lineRule="auto"/>
        <w:jc w:val="both"/>
        <w:rPr>
          <w:rFonts w:asciiTheme="majorBidi" w:hAnsiTheme="majorBidi" w:cstheme="majorBidi"/>
        </w:rPr>
      </w:pPr>
      <w:r w:rsidRPr="00FF70BA">
        <w:rPr>
          <w:rFonts w:asciiTheme="majorBidi" w:hAnsiTheme="majorBidi" w:cstheme="majorBidi"/>
          <w:i/>
          <w:iCs/>
        </w:rPr>
        <w:t xml:space="preserve">          SCR</w:t>
      </w:r>
      <w:r w:rsidRPr="00FF70BA">
        <w:rPr>
          <w:rFonts w:asciiTheme="majorBidi" w:hAnsiTheme="majorBidi" w:cstheme="majorBidi"/>
          <w:i/>
          <w:iCs/>
          <w:vertAlign w:val="subscript"/>
        </w:rPr>
        <w:t>OP </w:t>
      </w:r>
      <w:r w:rsidRPr="00FF70BA">
        <w:rPr>
          <w:rFonts w:asciiTheme="majorBidi" w:hAnsiTheme="majorBidi" w:cstheme="majorBidi"/>
          <w:i/>
          <w:iCs/>
        </w:rPr>
        <w:t>:</w:t>
      </w:r>
      <w:r w:rsidRPr="00FF70BA">
        <w:rPr>
          <w:rFonts w:asciiTheme="majorBidi" w:hAnsiTheme="majorBidi" w:cstheme="majorBidi"/>
        </w:rPr>
        <w:t xml:space="preserve"> la charge de capital pour le risque opérationnel</w:t>
      </w:r>
    </w:p>
    <w:p w:rsidR="00F32EF0" w:rsidRDefault="00BE5D5F" w:rsidP="006B0558">
      <w:pPr>
        <w:pStyle w:val="Default"/>
        <w:tabs>
          <w:tab w:val="left" w:pos="284"/>
        </w:tabs>
        <w:spacing w:line="360" w:lineRule="auto"/>
        <w:jc w:val="both"/>
        <w:rPr>
          <w:rFonts w:asciiTheme="majorBidi" w:hAnsiTheme="majorBidi" w:cstheme="majorBidi"/>
        </w:rPr>
      </w:pPr>
      <w:r w:rsidRPr="00FF70BA">
        <w:rPr>
          <w:rFonts w:asciiTheme="majorBidi" w:hAnsiTheme="majorBidi" w:cstheme="majorBidi"/>
          <w:i/>
          <w:iCs/>
        </w:rPr>
        <w:t xml:space="preserve">         Adj : </w:t>
      </w:r>
      <w:r w:rsidRPr="00FF70BA">
        <w:rPr>
          <w:rFonts w:asciiTheme="majorBidi" w:hAnsiTheme="majorBidi" w:cstheme="majorBidi"/>
        </w:rPr>
        <w:t>est l’ajustement au titre de l’effet d’absorption des risques des futures participations aux bénéfices et des impôts différés.</w:t>
      </w:r>
      <w:r w:rsidR="00861FCC" w:rsidRPr="00FF70BA">
        <w:rPr>
          <w:rFonts w:asciiTheme="majorBidi" w:hAnsiTheme="majorBidi" w:cstheme="majorBidi"/>
        </w:rPr>
        <w:tab/>
      </w:r>
    </w:p>
    <w:p w:rsidR="001B2203" w:rsidRPr="00FF70BA" w:rsidRDefault="001B2203" w:rsidP="00960435">
      <w:pPr>
        <w:pStyle w:val="Default"/>
        <w:tabs>
          <w:tab w:val="left" w:pos="284"/>
        </w:tabs>
        <w:jc w:val="both"/>
        <w:rPr>
          <w:rFonts w:asciiTheme="majorBidi" w:hAnsiTheme="majorBidi" w:cstheme="majorBidi"/>
        </w:rPr>
      </w:pPr>
    </w:p>
    <w:p w:rsidR="00835696" w:rsidRPr="00FF70BA" w:rsidRDefault="00BE5D5F" w:rsidP="006B0558">
      <w:pPr>
        <w:pStyle w:val="Default"/>
        <w:tabs>
          <w:tab w:val="left" w:pos="284"/>
        </w:tabs>
        <w:spacing w:line="360" w:lineRule="auto"/>
        <w:jc w:val="both"/>
        <w:rPr>
          <w:rFonts w:asciiTheme="majorBidi" w:hAnsiTheme="majorBidi" w:cstheme="majorBidi"/>
        </w:rPr>
      </w:pPr>
      <w:r w:rsidRPr="00FF70BA">
        <w:rPr>
          <w:rFonts w:asciiTheme="majorBidi" w:hAnsiTheme="majorBidi" w:cstheme="majorBidi"/>
        </w:rPr>
        <w:tab/>
        <w:t xml:space="preserve">Les risques inclus dans le </w:t>
      </w:r>
      <w:r w:rsidR="00453827" w:rsidRPr="00FF70BA">
        <w:rPr>
          <w:rFonts w:asciiTheme="majorBidi" w:hAnsiTheme="majorBidi" w:cstheme="majorBidi"/>
        </w:rPr>
        <w:t>calcul du SCR sont les suivants</w:t>
      </w:r>
      <w:r w:rsidRPr="00FF70BA">
        <w:rPr>
          <w:rFonts w:asciiTheme="majorBidi" w:hAnsiTheme="majorBidi" w:cstheme="majorBidi"/>
        </w:rPr>
        <w:t>:</w:t>
      </w:r>
    </w:p>
    <w:p w:rsidR="00835696" w:rsidRPr="00FF70BA" w:rsidRDefault="00835696" w:rsidP="006B0558">
      <w:pPr>
        <w:pStyle w:val="Paragraphedeliste"/>
        <w:numPr>
          <w:ilvl w:val="0"/>
          <w:numId w:val="4"/>
        </w:num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Le risque opérationnel</w:t>
      </w:r>
    </w:p>
    <w:p w:rsidR="00835696" w:rsidRPr="00FF70BA" w:rsidRDefault="00835696" w:rsidP="006B0558">
      <w:pPr>
        <w:pStyle w:val="Paragraphedeliste"/>
        <w:numPr>
          <w:ilvl w:val="0"/>
          <w:numId w:val="4"/>
        </w:num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Le risque de souscription non vie</w:t>
      </w:r>
    </w:p>
    <w:p w:rsidR="00835696" w:rsidRPr="00FF70BA" w:rsidRDefault="00835696" w:rsidP="006B0558">
      <w:pPr>
        <w:pStyle w:val="Paragraphedeliste"/>
        <w:numPr>
          <w:ilvl w:val="0"/>
          <w:numId w:val="4"/>
        </w:num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Le risque de marché</w:t>
      </w:r>
    </w:p>
    <w:p w:rsidR="00835696" w:rsidRPr="00FF70BA" w:rsidRDefault="00835696" w:rsidP="006B0558">
      <w:pPr>
        <w:pStyle w:val="Paragraphedeliste"/>
        <w:numPr>
          <w:ilvl w:val="0"/>
          <w:numId w:val="4"/>
        </w:num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Le risque de souscription vie</w:t>
      </w:r>
    </w:p>
    <w:p w:rsidR="00835696" w:rsidRPr="00FF70BA" w:rsidRDefault="00835696" w:rsidP="006B0558">
      <w:pPr>
        <w:pStyle w:val="Paragraphedeliste"/>
        <w:numPr>
          <w:ilvl w:val="0"/>
          <w:numId w:val="4"/>
        </w:num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Le risque de souscription santé</w:t>
      </w:r>
    </w:p>
    <w:p w:rsidR="00F32EF0" w:rsidRPr="00214A74" w:rsidRDefault="00835696" w:rsidP="006B0558">
      <w:pPr>
        <w:pStyle w:val="Paragraphedeliste"/>
        <w:numPr>
          <w:ilvl w:val="0"/>
          <w:numId w:val="4"/>
        </w:numPr>
        <w:autoSpaceDE w:val="0"/>
        <w:autoSpaceDN w:val="0"/>
        <w:adjustRightInd w:val="0"/>
        <w:spacing w:after="0" w:line="360" w:lineRule="auto"/>
        <w:jc w:val="both"/>
        <w:rPr>
          <w:rFonts w:asciiTheme="majorBidi" w:hAnsiTheme="majorBidi" w:cstheme="majorBidi"/>
        </w:rPr>
      </w:pPr>
      <w:r w:rsidRPr="00FF70BA">
        <w:rPr>
          <w:rFonts w:asciiTheme="majorBidi" w:hAnsiTheme="majorBidi" w:cstheme="majorBidi"/>
          <w:sz w:val="24"/>
          <w:szCs w:val="24"/>
        </w:rPr>
        <w:t>Le risque de défaut de contrepartie</w:t>
      </w:r>
    </w:p>
    <w:p w:rsidR="00214A74" w:rsidRPr="00214A74" w:rsidRDefault="00214A74" w:rsidP="00960435">
      <w:pPr>
        <w:pStyle w:val="Paragraphedeliste"/>
        <w:autoSpaceDE w:val="0"/>
        <w:autoSpaceDN w:val="0"/>
        <w:adjustRightInd w:val="0"/>
        <w:spacing w:after="0" w:line="240" w:lineRule="auto"/>
        <w:jc w:val="both"/>
        <w:rPr>
          <w:rFonts w:asciiTheme="majorBidi" w:hAnsiTheme="majorBidi" w:cstheme="majorBidi"/>
        </w:rPr>
      </w:pPr>
    </w:p>
    <w:p w:rsidR="00835696" w:rsidRPr="00FF70BA" w:rsidRDefault="00D63727"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ab/>
      </w:r>
      <w:r w:rsidR="00835696" w:rsidRPr="00FF70BA">
        <w:rPr>
          <w:rFonts w:asciiTheme="majorBidi" w:hAnsiTheme="majorBidi" w:cstheme="majorBidi"/>
          <w:sz w:val="24"/>
          <w:szCs w:val="24"/>
        </w:rPr>
        <w:t>Tous ces risques sont eux mêmes subdivisés en sous facteurs de risques. Ils sont tous regroupés dans le BSCR sauf en ce qui concerne le risque opérationnel.</w:t>
      </w:r>
      <w:r w:rsidRPr="00FF70BA">
        <w:rPr>
          <w:rFonts w:asciiTheme="majorBidi" w:hAnsiTheme="majorBidi" w:cstheme="majorBidi"/>
          <w:sz w:val="24"/>
          <w:szCs w:val="24"/>
        </w:rPr>
        <w:t xml:space="preserve"> </w:t>
      </w:r>
    </w:p>
    <w:p w:rsidR="00D63727" w:rsidRPr="00FF70BA" w:rsidRDefault="00D63727" w:rsidP="00960435">
      <w:pPr>
        <w:autoSpaceDE w:val="0"/>
        <w:autoSpaceDN w:val="0"/>
        <w:adjustRightInd w:val="0"/>
        <w:spacing w:after="0" w:line="240" w:lineRule="auto"/>
        <w:jc w:val="both"/>
        <w:rPr>
          <w:rFonts w:asciiTheme="majorBidi" w:hAnsiTheme="majorBidi" w:cstheme="majorBidi"/>
          <w:sz w:val="24"/>
          <w:szCs w:val="24"/>
        </w:rPr>
      </w:pPr>
    </w:p>
    <w:p w:rsidR="00D63727" w:rsidRPr="00FF70BA" w:rsidRDefault="00D63727"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 xml:space="preserve">Le BSCR net est obtenu selon la formule suivante: </w:t>
      </w:r>
    </w:p>
    <w:p w:rsidR="00D63727" w:rsidRPr="00FF70BA" w:rsidRDefault="00D63727" w:rsidP="006B0558">
      <w:pPr>
        <w:autoSpaceDE w:val="0"/>
        <w:autoSpaceDN w:val="0"/>
        <w:adjustRightInd w:val="0"/>
        <w:spacing w:after="0" w:line="360" w:lineRule="auto"/>
        <w:jc w:val="center"/>
        <w:rPr>
          <w:rFonts w:asciiTheme="majorBidi" w:hAnsiTheme="majorBidi" w:cstheme="majorBidi"/>
          <w:sz w:val="24"/>
          <w:szCs w:val="24"/>
        </w:rPr>
      </w:pPr>
      <w:r w:rsidRPr="00FF70BA">
        <w:rPr>
          <w:rFonts w:asciiTheme="majorBidi" w:hAnsiTheme="majorBidi" w:cstheme="majorBidi"/>
          <w:noProof/>
          <w:sz w:val="24"/>
          <w:szCs w:val="24"/>
        </w:rPr>
        <w:drawing>
          <wp:inline distT="0" distB="0" distL="0" distR="0">
            <wp:extent cx="2505075" cy="409575"/>
            <wp:effectExtent l="95250" t="57150" r="66675" b="161925"/>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2505075" cy="40957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D63727" w:rsidRPr="00FF70BA" w:rsidRDefault="001C0768"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ab/>
        <w:t xml:space="preserve">Avec : </w:t>
      </w:r>
      <w:r w:rsidRPr="00FF70BA">
        <w:rPr>
          <w:rFonts w:asciiTheme="majorBidi" w:hAnsiTheme="majorBidi" w:cstheme="majorBidi"/>
          <w:i/>
          <w:iCs/>
          <w:sz w:val="24"/>
          <w:szCs w:val="24"/>
        </w:rPr>
        <w:t xml:space="preserve">BSCR </w:t>
      </w:r>
      <w:r w:rsidRPr="00F32EF0">
        <w:rPr>
          <w:rFonts w:asciiTheme="majorBidi" w:hAnsiTheme="majorBidi" w:cstheme="majorBidi"/>
          <w:i/>
          <w:iCs/>
          <w:sz w:val="24"/>
          <w:szCs w:val="24"/>
          <w:vertAlign w:val="subscript"/>
        </w:rPr>
        <w:t>n</w:t>
      </w:r>
      <w:r w:rsidRPr="00FF70BA">
        <w:rPr>
          <w:rFonts w:asciiTheme="majorBidi" w:hAnsiTheme="majorBidi" w:cstheme="majorBidi"/>
          <w:i/>
          <w:iCs/>
          <w:sz w:val="24"/>
          <w:szCs w:val="24"/>
        </w:rPr>
        <w:t xml:space="preserve"> </w:t>
      </w:r>
      <w:r w:rsidRPr="00FF70BA">
        <w:rPr>
          <w:rFonts w:asciiTheme="majorBidi" w:hAnsiTheme="majorBidi" w:cstheme="majorBidi"/>
          <w:sz w:val="24"/>
          <w:szCs w:val="24"/>
        </w:rPr>
        <w:t xml:space="preserve">le BSCR net et </w:t>
      </w:r>
      <w:r w:rsidRPr="00FF70BA">
        <w:rPr>
          <w:rFonts w:asciiTheme="majorBidi" w:hAnsiTheme="majorBidi" w:cstheme="majorBidi"/>
          <w:i/>
          <w:iCs/>
          <w:sz w:val="24"/>
          <w:szCs w:val="24"/>
        </w:rPr>
        <w:t>Adj</w:t>
      </w:r>
      <w:r w:rsidR="00F32EF0" w:rsidRPr="00F32EF0">
        <w:rPr>
          <w:rFonts w:asciiTheme="majorBidi" w:hAnsiTheme="majorBidi" w:cstheme="majorBidi"/>
          <w:i/>
          <w:iCs/>
          <w:sz w:val="24"/>
          <w:szCs w:val="24"/>
        </w:rPr>
        <w:t xml:space="preserve"> </w:t>
      </w:r>
      <w:r w:rsidR="00F32EF0" w:rsidRPr="00F32EF0">
        <w:rPr>
          <w:rFonts w:asciiTheme="majorBidi" w:hAnsiTheme="majorBidi" w:cstheme="majorBidi"/>
          <w:i/>
          <w:iCs/>
          <w:sz w:val="24"/>
          <w:szCs w:val="24"/>
          <w:vertAlign w:val="subscript"/>
        </w:rPr>
        <w:t>FDB</w:t>
      </w:r>
      <w:r w:rsidRPr="00FF70BA">
        <w:rPr>
          <w:rFonts w:asciiTheme="majorBidi" w:hAnsiTheme="majorBidi" w:cstheme="majorBidi"/>
          <w:i/>
          <w:iCs/>
          <w:sz w:val="24"/>
          <w:szCs w:val="24"/>
        </w:rPr>
        <w:t xml:space="preserve"> </w:t>
      </w:r>
      <w:r w:rsidRPr="00FF70BA">
        <w:rPr>
          <w:rFonts w:asciiTheme="majorBidi" w:hAnsiTheme="majorBidi" w:cstheme="majorBidi"/>
          <w:sz w:val="24"/>
          <w:szCs w:val="24"/>
        </w:rPr>
        <w:t>l’ajustement au titre de l’effet d’absorption des risques des futures participations aux bénéfices.</w:t>
      </w:r>
    </w:p>
    <w:p w:rsidR="00C57BF8" w:rsidRPr="00FF70BA" w:rsidRDefault="00C57BF8" w:rsidP="006B0558">
      <w:pPr>
        <w:autoSpaceDE w:val="0"/>
        <w:autoSpaceDN w:val="0"/>
        <w:adjustRightInd w:val="0"/>
        <w:spacing w:after="0" w:line="360" w:lineRule="auto"/>
        <w:jc w:val="both"/>
        <w:rPr>
          <w:rFonts w:asciiTheme="majorBidi" w:hAnsiTheme="majorBidi" w:cstheme="majorBidi"/>
          <w:sz w:val="24"/>
          <w:szCs w:val="24"/>
        </w:rPr>
      </w:pPr>
    </w:p>
    <w:p w:rsidR="00C57BF8" w:rsidRPr="00FF70BA" w:rsidRDefault="00931155" w:rsidP="006B0558">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4257675" cy="457200"/>
            <wp:effectExtent l="95250" t="57150" r="47625" b="19050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4257675" cy="4572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1C0768" w:rsidRPr="00FF70BA" w:rsidRDefault="00C57BF8"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noProof/>
          <w:sz w:val="24"/>
          <w:szCs w:val="24"/>
        </w:rPr>
        <w:drawing>
          <wp:inline distT="0" distB="0" distL="0" distR="0">
            <wp:extent cx="5524500" cy="549745"/>
            <wp:effectExtent l="19050" t="0" r="0" b="0"/>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5524500" cy="552450"/>
                    </a:xfrm>
                    <a:prstGeom prst="rect">
                      <a:avLst/>
                    </a:prstGeom>
                    <a:noFill/>
                    <a:ln w="9525">
                      <a:noFill/>
                      <a:miter lim="800000"/>
                      <a:headEnd/>
                      <a:tailEnd/>
                    </a:ln>
                  </pic:spPr>
                </pic:pic>
              </a:graphicData>
            </a:graphic>
          </wp:inline>
        </w:drawing>
      </w:r>
    </w:p>
    <w:p w:rsidR="0012316D" w:rsidRDefault="00C57BF8"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sz w:val="24"/>
          <w:szCs w:val="24"/>
        </w:rPr>
        <w:tab/>
      </w:r>
    </w:p>
    <w:p w:rsidR="00C57BF8" w:rsidRDefault="0012316D" w:rsidP="006B0558">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1C0768" w:rsidRPr="00FF70BA">
        <w:rPr>
          <w:rFonts w:asciiTheme="majorBidi" w:hAnsiTheme="majorBidi" w:cstheme="majorBidi"/>
          <w:sz w:val="24"/>
          <w:szCs w:val="24"/>
        </w:rPr>
        <w:t xml:space="preserve">Avec </w:t>
      </w:r>
      <w:r w:rsidR="001C0768" w:rsidRPr="00FF70BA">
        <w:rPr>
          <w:rFonts w:asciiTheme="majorBidi" w:hAnsiTheme="majorBidi" w:cstheme="majorBidi"/>
          <w:i/>
          <w:iCs/>
          <w:sz w:val="24"/>
          <w:szCs w:val="24"/>
        </w:rPr>
        <w:t>SCR</w:t>
      </w:r>
      <w:r w:rsidR="001C0768" w:rsidRPr="00FF70BA">
        <w:rPr>
          <w:rFonts w:asciiTheme="majorBidi" w:hAnsiTheme="majorBidi" w:cstheme="majorBidi"/>
          <w:i/>
          <w:iCs/>
          <w:sz w:val="24"/>
          <w:szCs w:val="24"/>
          <w:vertAlign w:val="subscript"/>
        </w:rPr>
        <w:t>n</w:t>
      </w:r>
      <w:r w:rsidR="001C0768" w:rsidRPr="00FF70BA">
        <w:rPr>
          <w:rFonts w:asciiTheme="majorBidi" w:hAnsiTheme="majorBidi" w:cstheme="majorBidi"/>
          <w:i/>
          <w:iCs/>
          <w:sz w:val="24"/>
          <w:szCs w:val="24"/>
        </w:rPr>
        <w:t xml:space="preserve"> </w:t>
      </w:r>
      <w:r w:rsidR="001C0768" w:rsidRPr="00FF70BA">
        <w:rPr>
          <w:rFonts w:asciiTheme="majorBidi" w:hAnsiTheme="majorBidi" w:cstheme="majorBidi"/>
          <w:sz w:val="24"/>
          <w:szCs w:val="24"/>
        </w:rPr>
        <w:t xml:space="preserve">le chargement en capital pour le risque considéré compte tenu de l’effet d’absorption des risques des futures participations aux bénéfices. </w:t>
      </w:r>
      <w:r w:rsidR="001C0768" w:rsidRPr="00FF70BA">
        <w:rPr>
          <w:rFonts w:asciiTheme="majorBidi" w:hAnsiTheme="majorBidi" w:cstheme="majorBidi"/>
          <w:i/>
          <w:iCs/>
          <w:sz w:val="24"/>
          <w:szCs w:val="24"/>
        </w:rPr>
        <w:t xml:space="preserve">FDB </w:t>
      </w:r>
      <w:r w:rsidR="001C0768" w:rsidRPr="00FF70BA">
        <w:rPr>
          <w:rFonts w:asciiTheme="majorBidi" w:hAnsiTheme="majorBidi" w:cstheme="majorBidi"/>
          <w:sz w:val="24"/>
          <w:szCs w:val="24"/>
        </w:rPr>
        <w:t>est la valeur des futures participations discrétionnaires.</w:t>
      </w:r>
      <w:r w:rsidR="00DA5B14">
        <w:rPr>
          <w:rFonts w:asciiTheme="majorBidi" w:hAnsiTheme="majorBidi" w:cstheme="majorBidi"/>
          <w:sz w:val="24"/>
          <w:szCs w:val="24"/>
        </w:rPr>
        <w:t xml:space="preserve">  </w:t>
      </w:r>
    </w:p>
    <w:p w:rsidR="0012316D" w:rsidRPr="00FF70BA" w:rsidRDefault="0012316D" w:rsidP="006B0558">
      <w:pPr>
        <w:autoSpaceDE w:val="0"/>
        <w:autoSpaceDN w:val="0"/>
        <w:adjustRightInd w:val="0"/>
        <w:spacing w:after="0" w:line="360" w:lineRule="auto"/>
        <w:jc w:val="both"/>
        <w:rPr>
          <w:rFonts w:asciiTheme="majorBidi" w:hAnsiTheme="majorBidi" w:cstheme="majorBidi"/>
          <w:sz w:val="24"/>
          <w:szCs w:val="24"/>
        </w:rPr>
      </w:pPr>
    </w:p>
    <w:p w:rsidR="001C0768" w:rsidRPr="00FF70BA" w:rsidRDefault="00C57BF8" w:rsidP="006B0558">
      <w:pPr>
        <w:autoSpaceDE w:val="0"/>
        <w:autoSpaceDN w:val="0"/>
        <w:adjustRightInd w:val="0"/>
        <w:spacing w:after="0" w:line="360" w:lineRule="auto"/>
        <w:jc w:val="both"/>
        <w:rPr>
          <w:rFonts w:asciiTheme="majorBidi" w:hAnsiTheme="majorBidi" w:cstheme="majorBidi"/>
          <w:sz w:val="24"/>
          <w:szCs w:val="24"/>
        </w:rPr>
      </w:pPr>
      <w:r w:rsidRPr="00FF70BA">
        <w:rPr>
          <w:rFonts w:asciiTheme="majorBidi" w:hAnsiTheme="majorBidi" w:cstheme="majorBidi"/>
          <w:i/>
          <w:iCs/>
          <w:sz w:val="24"/>
          <w:szCs w:val="24"/>
        </w:rPr>
        <w:t xml:space="preserve">           </w:t>
      </w:r>
      <w:r w:rsidR="001C0768" w:rsidRPr="00FF70BA">
        <w:rPr>
          <w:rFonts w:asciiTheme="majorBidi" w:hAnsiTheme="majorBidi" w:cstheme="majorBidi"/>
          <w:i/>
          <w:iCs/>
          <w:sz w:val="24"/>
          <w:szCs w:val="24"/>
        </w:rPr>
        <w:t>CorrSCR</w:t>
      </w:r>
      <w:r w:rsidR="001C0768" w:rsidRPr="00FF70BA">
        <w:rPr>
          <w:rFonts w:asciiTheme="majorBidi" w:hAnsiTheme="majorBidi" w:cstheme="majorBidi"/>
          <w:i/>
          <w:iCs/>
          <w:sz w:val="24"/>
          <w:szCs w:val="24"/>
          <w:vertAlign w:val="subscript"/>
        </w:rPr>
        <w:t>r</w:t>
      </w:r>
      <w:r w:rsidRPr="00FF70BA">
        <w:rPr>
          <w:rFonts w:asciiTheme="majorBidi" w:hAnsiTheme="majorBidi" w:cstheme="majorBidi"/>
          <w:i/>
          <w:iCs/>
          <w:sz w:val="24"/>
          <w:szCs w:val="24"/>
          <w:vertAlign w:val="subscript"/>
        </w:rPr>
        <w:t>,</w:t>
      </w:r>
      <w:r w:rsidR="001C0768" w:rsidRPr="00FF70BA">
        <w:rPr>
          <w:rFonts w:asciiTheme="majorBidi" w:hAnsiTheme="majorBidi" w:cstheme="majorBidi"/>
          <w:i/>
          <w:iCs/>
          <w:sz w:val="24"/>
          <w:szCs w:val="24"/>
          <w:vertAlign w:val="subscript"/>
        </w:rPr>
        <w:t>c</w:t>
      </w:r>
      <w:r w:rsidR="001C0768" w:rsidRPr="00FF70BA">
        <w:rPr>
          <w:rFonts w:asciiTheme="majorBidi" w:hAnsiTheme="majorBidi" w:cstheme="majorBidi"/>
          <w:i/>
          <w:iCs/>
          <w:sz w:val="24"/>
          <w:szCs w:val="24"/>
        </w:rPr>
        <w:t xml:space="preserve"> </w:t>
      </w:r>
      <w:r w:rsidR="001C0768" w:rsidRPr="00FF70BA">
        <w:rPr>
          <w:rFonts w:asciiTheme="majorBidi" w:hAnsiTheme="majorBidi" w:cstheme="majorBidi"/>
          <w:sz w:val="24"/>
          <w:szCs w:val="24"/>
        </w:rPr>
        <w:t>, est la matrice de corrélation fournie par le CEIOPS :</w:t>
      </w:r>
    </w:p>
    <w:p w:rsidR="001B2203" w:rsidRPr="00A63112" w:rsidRDefault="001B2203" w:rsidP="006B0558">
      <w:pPr>
        <w:autoSpaceDE w:val="0"/>
        <w:autoSpaceDN w:val="0"/>
        <w:adjustRightInd w:val="0"/>
        <w:spacing w:after="0" w:line="360" w:lineRule="auto"/>
        <w:jc w:val="center"/>
        <w:rPr>
          <w:rFonts w:asciiTheme="majorBidi" w:hAnsiTheme="majorBidi" w:cstheme="majorBidi"/>
          <w:sz w:val="24"/>
          <w:szCs w:val="24"/>
        </w:rPr>
      </w:pPr>
      <w:r w:rsidRPr="00FF70BA">
        <w:rPr>
          <w:rFonts w:asciiTheme="majorBidi" w:hAnsiTheme="majorBidi" w:cstheme="majorBidi"/>
          <w:noProof/>
          <w:sz w:val="24"/>
          <w:szCs w:val="24"/>
        </w:rPr>
        <w:drawing>
          <wp:inline distT="0" distB="0" distL="0" distR="0">
            <wp:extent cx="4905375" cy="1752600"/>
            <wp:effectExtent l="19050" t="0" r="9525" b="0"/>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4905375" cy="1752600"/>
                    </a:xfrm>
                    <a:prstGeom prst="rect">
                      <a:avLst/>
                    </a:prstGeom>
                    <a:noFill/>
                    <a:ln w="9525">
                      <a:noFill/>
                      <a:miter lim="800000"/>
                      <a:headEnd/>
                      <a:tailEnd/>
                    </a:ln>
                  </pic:spPr>
                </pic:pic>
              </a:graphicData>
            </a:graphic>
          </wp:inline>
        </w:drawing>
      </w:r>
    </w:p>
    <w:p w:rsidR="0012316D" w:rsidRDefault="0012316D" w:rsidP="006B0558">
      <w:pPr>
        <w:pStyle w:val="Default"/>
        <w:tabs>
          <w:tab w:val="left" w:pos="284"/>
        </w:tabs>
        <w:spacing w:line="360" w:lineRule="auto"/>
        <w:rPr>
          <w:rFonts w:asciiTheme="majorBidi" w:hAnsiTheme="majorBidi" w:cstheme="majorBidi"/>
          <w:b/>
          <w:bCs/>
          <w:sz w:val="32"/>
          <w:szCs w:val="32"/>
        </w:rPr>
      </w:pPr>
    </w:p>
    <w:p w:rsidR="0012316D" w:rsidRDefault="0012316D" w:rsidP="006B0558">
      <w:pPr>
        <w:pStyle w:val="Default"/>
        <w:tabs>
          <w:tab w:val="left" w:pos="284"/>
        </w:tabs>
        <w:spacing w:line="360" w:lineRule="auto"/>
        <w:rPr>
          <w:rFonts w:asciiTheme="majorBidi" w:hAnsiTheme="majorBidi" w:cstheme="majorBidi"/>
          <w:b/>
          <w:bCs/>
          <w:sz w:val="32"/>
          <w:szCs w:val="32"/>
        </w:rPr>
      </w:pPr>
    </w:p>
    <w:p w:rsidR="0012316D" w:rsidRDefault="0012316D" w:rsidP="006B0558">
      <w:pPr>
        <w:pStyle w:val="Default"/>
        <w:tabs>
          <w:tab w:val="left" w:pos="284"/>
        </w:tabs>
        <w:spacing w:line="360" w:lineRule="auto"/>
        <w:rPr>
          <w:rFonts w:asciiTheme="majorBidi" w:hAnsiTheme="majorBidi" w:cstheme="majorBidi"/>
          <w:b/>
          <w:bCs/>
          <w:sz w:val="32"/>
          <w:szCs w:val="32"/>
        </w:rPr>
      </w:pPr>
    </w:p>
    <w:p w:rsidR="0012316D" w:rsidRDefault="0012316D" w:rsidP="006B0558">
      <w:pPr>
        <w:pStyle w:val="Default"/>
        <w:tabs>
          <w:tab w:val="left" w:pos="284"/>
        </w:tabs>
        <w:spacing w:line="360" w:lineRule="auto"/>
        <w:rPr>
          <w:rFonts w:asciiTheme="majorBidi" w:hAnsiTheme="majorBidi" w:cstheme="majorBidi"/>
          <w:b/>
          <w:bCs/>
          <w:sz w:val="32"/>
          <w:szCs w:val="32"/>
        </w:rPr>
      </w:pPr>
    </w:p>
    <w:p w:rsidR="0012316D" w:rsidRDefault="0012316D" w:rsidP="006B0558">
      <w:pPr>
        <w:pStyle w:val="Default"/>
        <w:tabs>
          <w:tab w:val="left" w:pos="284"/>
        </w:tabs>
        <w:spacing w:line="360" w:lineRule="auto"/>
        <w:rPr>
          <w:rFonts w:asciiTheme="majorBidi" w:hAnsiTheme="majorBidi" w:cstheme="majorBidi"/>
          <w:b/>
          <w:bCs/>
          <w:sz w:val="32"/>
          <w:szCs w:val="32"/>
        </w:rPr>
      </w:pPr>
    </w:p>
    <w:p w:rsidR="0012316D" w:rsidRDefault="0012316D" w:rsidP="006B0558">
      <w:pPr>
        <w:pStyle w:val="Default"/>
        <w:tabs>
          <w:tab w:val="left" w:pos="284"/>
        </w:tabs>
        <w:spacing w:line="360" w:lineRule="auto"/>
        <w:rPr>
          <w:rFonts w:asciiTheme="majorBidi" w:hAnsiTheme="majorBidi" w:cstheme="majorBidi"/>
          <w:b/>
          <w:bCs/>
          <w:sz w:val="32"/>
          <w:szCs w:val="32"/>
        </w:rPr>
      </w:pPr>
    </w:p>
    <w:p w:rsidR="0012316D" w:rsidRDefault="0012316D" w:rsidP="006B0558">
      <w:pPr>
        <w:pStyle w:val="Default"/>
        <w:tabs>
          <w:tab w:val="left" w:pos="284"/>
        </w:tabs>
        <w:spacing w:line="360" w:lineRule="auto"/>
        <w:rPr>
          <w:rFonts w:asciiTheme="majorBidi" w:hAnsiTheme="majorBidi" w:cstheme="majorBidi"/>
          <w:b/>
          <w:bCs/>
          <w:sz w:val="32"/>
          <w:szCs w:val="32"/>
        </w:rPr>
      </w:pPr>
    </w:p>
    <w:p w:rsidR="0012316D" w:rsidRDefault="0012316D" w:rsidP="006B0558">
      <w:pPr>
        <w:pStyle w:val="Default"/>
        <w:tabs>
          <w:tab w:val="left" w:pos="284"/>
        </w:tabs>
        <w:spacing w:line="360" w:lineRule="auto"/>
        <w:rPr>
          <w:rFonts w:asciiTheme="majorBidi" w:hAnsiTheme="majorBidi" w:cstheme="majorBidi"/>
          <w:b/>
          <w:bCs/>
          <w:sz w:val="32"/>
          <w:szCs w:val="32"/>
        </w:rPr>
      </w:pPr>
    </w:p>
    <w:p w:rsidR="0012316D" w:rsidRDefault="0012316D" w:rsidP="006B0558">
      <w:pPr>
        <w:pStyle w:val="Default"/>
        <w:tabs>
          <w:tab w:val="left" w:pos="284"/>
        </w:tabs>
        <w:spacing w:line="360" w:lineRule="auto"/>
        <w:rPr>
          <w:rFonts w:asciiTheme="majorBidi" w:hAnsiTheme="majorBidi" w:cstheme="majorBidi"/>
          <w:b/>
          <w:bCs/>
          <w:sz w:val="32"/>
          <w:szCs w:val="32"/>
        </w:rPr>
      </w:pPr>
    </w:p>
    <w:p w:rsidR="0012316D" w:rsidRDefault="0012316D" w:rsidP="006B0558">
      <w:pPr>
        <w:pStyle w:val="Default"/>
        <w:tabs>
          <w:tab w:val="left" w:pos="284"/>
        </w:tabs>
        <w:spacing w:line="360" w:lineRule="auto"/>
        <w:rPr>
          <w:rFonts w:asciiTheme="majorBidi" w:hAnsiTheme="majorBidi" w:cstheme="majorBidi"/>
          <w:b/>
          <w:bCs/>
          <w:sz w:val="32"/>
          <w:szCs w:val="32"/>
        </w:rPr>
      </w:pPr>
    </w:p>
    <w:p w:rsidR="0012316D" w:rsidRDefault="0012316D" w:rsidP="006B0558">
      <w:pPr>
        <w:pStyle w:val="Default"/>
        <w:tabs>
          <w:tab w:val="left" w:pos="284"/>
        </w:tabs>
        <w:spacing w:line="360" w:lineRule="auto"/>
        <w:rPr>
          <w:rFonts w:asciiTheme="majorBidi" w:hAnsiTheme="majorBidi" w:cstheme="majorBidi"/>
          <w:b/>
          <w:bCs/>
          <w:sz w:val="32"/>
          <w:szCs w:val="32"/>
        </w:rPr>
      </w:pPr>
    </w:p>
    <w:p w:rsidR="0012316D" w:rsidRDefault="0012316D" w:rsidP="006B0558">
      <w:pPr>
        <w:pStyle w:val="Default"/>
        <w:tabs>
          <w:tab w:val="left" w:pos="284"/>
        </w:tabs>
        <w:spacing w:line="360" w:lineRule="auto"/>
        <w:rPr>
          <w:rFonts w:asciiTheme="majorBidi" w:hAnsiTheme="majorBidi" w:cstheme="majorBidi"/>
          <w:b/>
          <w:bCs/>
          <w:sz w:val="32"/>
          <w:szCs w:val="32"/>
        </w:rPr>
      </w:pPr>
    </w:p>
    <w:p w:rsidR="0012316D" w:rsidRDefault="0012316D" w:rsidP="006B0558">
      <w:pPr>
        <w:pStyle w:val="Default"/>
        <w:tabs>
          <w:tab w:val="left" w:pos="284"/>
        </w:tabs>
        <w:spacing w:line="360" w:lineRule="auto"/>
        <w:rPr>
          <w:rFonts w:asciiTheme="majorBidi" w:hAnsiTheme="majorBidi" w:cstheme="majorBidi"/>
          <w:b/>
          <w:bCs/>
          <w:sz w:val="32"/>
          <w:szCs w:val="32"/>
        </w:rPr>
      </w:pPr>
    </w:p>
    <w:p w:rsidR="0012316D" w:rsidRDefault="0012316D" w:rsidP="006B0558">
      <w:pPr>
        <w:pStyle w:val="Default"/>
        <w:tabs>
          <w:tab w:val="left" w:pos="284"/>
        </w:tabs>
        <w:spacing w:line="360" w:lineRule="auto"/>
        <w:rPr>
          <w:rFonts w:asciiTheme="majorBidi" w:hAnsiTheme="majorBidi" w:cstheme="majorBidi"/>
          <w:b/>
          <w:bCs/>
          <w:sz w:val="32"/>
          <w:szCs w:val="32"/>
        </w:rPr>
      </w:pPr>
    </w:p>
    <w:p w:rsidR="0012316D" w:rsidRDefault="0012316D" w:rsidP="006B0558">
      <w:pPr>
        <w:pStyle w:val="Default"/>
        <w:tabs>
          <w:tab w:val="left" w:pos="284"/>
        </w:tabs>
        <w:spacing w:line="360" w:lineRule="auto"/>
        <w:rPr>
          <w:rFonts w:asciiTheme="majorBidi" w:hAnsiTheme="majorBidi" w:cstheme="majorBidi"/>
          <w:b/>
          <w:bCs/>
          <w:sz w:val="32"/>
          <w:szCs w:val="32"/>
        </w:rPr>
      </w:pPr>
    </w:p>
    <w:p w:rsidR="0012316D" w:rsidRDefault="0012316D" w:rsidP="006B0558">
      <w:pPr>
        <w:pStyle w:val="Default"/>
        <w:tabs>
          <w:tab w:val="left" w:pos="284"/>
        </w:tabs>
        <w:spacing w:line="360" w:lineRule="auto"/>
        <w:rPr>
          <w:rFonts w:asciiTheme="majorBidi" w:hAnsiTheme="majorBidi" w:cstheme="majorBidi"/>
          <w:b/>
          <w:bCs/>
          <w:sz w:val="32"/>
          <w:szCs w:val="32"/>
        </w:rPr>
      </w:pPr>
    </w:p>
    <w:p w:rsidR="00464048" w:rsidRPr="00464048" w:rsidRDefault="00496ADC" w:rsidP="00960435">
      <w:pPr>
        <w:pStyle w:val="Default"/>
        <w:tabs>
          <w:tab w:val="left" w:pos="284"/>
        </w:tabs>
        <w:spacing w:line="360" w:lineRule="auto"/>
        <w:rPr>
          <w:rFonts w:asciiTheme="majorBidi" w:hAnsiTheme="majorBidi" w:cstheme="majorBidi"/>
          <w:b/>
          <w:bCs/>
          <w:sz w:val="32"/>
          <w:szCs w:val="32"/>
        </w:rPr>
      </w:pPr>
      <w:r w:rsidRPr="00FF70BA">
        <w:rPr>
          <w:rFonts w:asciiTheme="majorBidi" w:hAnsiTheme="majorBidi" w:cstheme="majorBidi"/>
          <w:b/>
          <w:bCs/>
          <w:sz w:val="32"/>
          <w:szCs w:val="32"/>
        </w:rPr>
        <w:lastRenderedPageBreak/>
        <w:t>CONCLUSION</w:t>
      </w:r>
      <w:r w:rsidR="00DF4240">
        <w:rPr>
          <w:rFonts w:asciiTheme="majorBidi" w:hAnsiTheme="majorBidi" w:cstheme="majorBidi"/>
          <w:b/>
          <w:bCs/>
          <w:sz w:val="32"/>
          <w:szCs w:val="32"/>
        </w:rPr>
        <w:t xml:space="preserve"> DU </w:t>
      </w:r>
      <w:r w:rsidR="00B046F4">
        <w:rPr>
          <w:rFonts w:asciiTheme="majorBidi" w:hAnsiTheme="majorBidi" w:cstheme="majorBidi"/>
          <w:b/>
          <w:bCs/>
          <w:sz w:val="32"/>
          <w:szCs w:val="32"/>
        </w:rPr>
        <w:t>DEUXIEME</w:t>
      </w:r>
      <w:r w:rsidR="00DF4240">
        <w:rPr>
          <w:rFonts w:asciiTheme="majorBidi" w:hAnsiTheme="majorBidi" w:cstheme="majorBidi"/>
          <w:b/>
          <w:bCs/>
          <w:sz w:val="32"/>
          <w:szCs w:val="32"/>
        </w:rPr>
        <w:t xml:space="preserve"> CHAPITRE</w:t>
      </w:r>
    </w:p>
    <w:tbl>
      <w:tblPr>
        <w:tblW w:w="9540" w:type="dxa"/>
        <w:tblBorders>
          <w:top w:val="nil"/>
          <w:left w:val="nil"/>
          <w:bottom w:val="nil"/>
          <w:right w:val="nil"/>
        </w:tblBorders>
        <w:tblLayout w:type="fixed"/>
        <w:tblLook w:val="0000"/>
      </w:tblPr>
      <w:tblGrid>
        <w:gridCol w:w="9540"/>
      </w:tblGrid>
      <w:tr w:rsidR="000615FB" w:rsidRPr="00FF70BA" w:rsidTr="000615FB">
        <w:trPr>
          <w:trHeight w:val="1491"/>
        </w:trPr>
        <w:tc>
          <w:tcPr>
            <w:tcW w:w="9540" w:type="dxa"/>
          </w:tcPr>
          <w:p w:rsidR="000615FB" w:rsidRPr="00FF70BA" w:rsidRDefault="0085595A" w:rsidP="006B0558">
            <w:pPr>
              <w:pStyle w:val="Default"/>
              <w:tabs>
                <w:tab w:val="left" w:pos="284"/>
              </w:tabs>
              <w:spacing w:after="240" w:line="360" w:lineRule="auto"/>
              <w:jc w:val="both"/>
              <w:rPr>
                <w:rFonts w:asciiTheme="majorBidi" w:hAnsiTheme="majorBidi" w:cstheme="majorBidi"/>
              </w:rPr>
            </w:pPr>
            <w:r w:rsidRPr="00FF70BA">
              <w:rPr>
                <w:rFonts w:asciiTheme="majorBidi" w:hAnsiTheme="majorBidi" w:cstheme="majorBidi"/>
                <w:b/>
                <w:bCs/>
              </w:rPr>
              <w:t xml:space="preserve">         </w:t>
            </w:r>
            <w:r w:rsidR="000615FB" w:rsidRPr="00FF70BA">
              <w:rPr>
                <w:rFonts w:asciiTheme="majorBidi" w:hAnsiTheme="majorBidi" w:cstheme="majorBidi"/>
                <w:b/>
                <w:bCs/>
              </w:rPr>
              <w:t xml:space="preserve"> </w:t>
            </w:r>
            <w:r w:rsidR="000615FB" w:rsidRPr="00FF70BA">
              <w:rPr>
                <w:rFonts w:asciiTheme="majorBidi" w:hAnsiTheme="majorBidi" w:cstheme="majorBidi"/>
              </w:rPr>
              <w:t xml:space="preserve">La directive «Solvabilité II», inspirée de Bâle II, devant entrer en vigueur au début de l’année 2014, vient combler les lacunes de la première directive et propose une nouvelle approche fondée notamment sur: </w:t>
            </w:r>
          </w:p>
          <w:p w:rsidR="0085595A" w:rsidRPr="00FF70BA" w:rsidRDefault="000615FB" w:rsidP="006B0558">
            <w:pPr>
              <w:pStyle w:val="Default"/>
              <w:tabs>
                <w:tab w:val="left" w:pos="284"/>
              </w:tabs>
              <w:spacing w:after="240" w:line="360" w:lineRule="auto"/>
              <w:jc w:val="both"/>
              <w:rPr>
                <w:rFonts w:asciiTheme="majorBidi" w:hAnsiTheme="majorBidi" w:cstheme="majorBidi"/>
              </w:rPr>
            </w:pPr>
            <w:r w:rsidRPr="00FF70BA">
              <w:rPr>
                <w:rFonts w:asciiTheme="majorBidi" w:hAnsiTheme="majorBidi" w:cstheme="majorBidi"/>
              </w:rPr>
              <w:t xml:space="preserve">- Un nouveau mode de valorisation des éléments d’actifs et passifs en « valeur de marché » dans la continuité des normes IFRS, </w:t>
            </w:r>
          </w:p>
          <w:p w:rsidR="0085595A" w:rsidRPr="00FF70BA" w:rsidRDefault="000615FB" w:rsidP="006B0558">
            <w:pPr>
              <w:pStyle w:val="Default"/>
              <w:tabs>
                <w:tab w:val="left" w:pos="284"/>
              </w:tabs>
              <w:spacing w:after="240" w:line="360" w:lineRule="auto"/>
              <w:jc w:val="both"/>
              <w:rPr>
                <w:rFonts w:asciiTheme="majorBidi" w:hAnsiTheme="majorBidi" w:cstheme="majorBidi"/>
              </w:rPr>
            </w:pPr>
            <w:r w:rsidRPr="00FF70BA">
              <w:rPr>
                <w:rFonts w:asciiTheme="majorBidi" w:hAnsiTheme="majorBidi" w:cstheme="majorBidi"/>
              </w:rPr>
              <w:t xml:space="preserve">- Un niveau de marge de solvabilité devant refléter le profil réel de risques de l’entreprise calculée soit par l'application d'une formule standard, soit par la prise en compte d'un modèle interne (Pilier I), </w:t>
            </w:r>
          </w:p>
          <w:p w:rsidR="000615FB" w:rsidRPr="00FF70BA" w:rsidRDefault="000615FB" w:rsidP="006B0558">
            <w:pPr>
              <w:pStyle w:val="Default"/>
              <w:tabs>
                <w:tab w:val="left" w:pos="284"/>
              </w:tabs>
              <w:spacing w:line="360" w:lineRule="auto"/>
              <w:jc w:val="both"/>
              <w:rPr>
                <w:rFonts w:asciiTheme="majorBidi" w:hAnsiTheme="majorBidi" w:cstheme="majorBidi"/>
              </w:rPr>
            </w:pPr>
            <w:r w:rsidRPr="00FF70BA">
              <w:rPr>
                <w:rFonts w:asciiTheme="majorBidi" w:hAnsiTheme="majorBidi" w:cstheme="majorBidi"/>
              </w:rPr>
              <w:t xml:space="preserve">- La mise en conformité et le renforcement « qualitatif » du dispositif de gestion des risques avec la directive (Pilier II) dont la responsabilisation des acteurs dans un cadre de gouvernance simple et applicable. </w:t>
            </w:r>
          </w:p>
          <w:p w:rsidR="000615FB" w:rsidRPr="00FF70BA" w:rsidRDefault="000615FB" w:rsidP="006B0558">
            <w:pPr>
              <w:pStyle w:val="Default"/>
              <w:tabs>
                <w:tab w:val="left" w:pos="284"/>
              </w:tabs>
              <w:spacing w:line="360" w:lineRule="auto"/>
              <w:jc w:val="both"/>
              <w:rPr>
                <w:rFonts w:asciiTheme="majorBidi" w:hAnsiTheme="majorBidi" w:cstheme="majorBidi"/>
                <w:b/>
                <w:bCs/>
              </w:rPr>
            </w:pPr>
          </w:p>
        </w:tc>
      </w:tr>
      <w:tr w:rsidR="0085595A" w:rsidRPr="00FF70BA" w:rsidTr="000615FB">
        <w:trPr>
          <w:trHeight w:val="1491"/>
        </w:trPr>
        <w:tc>
          <w:tcPr>
            <w:tcW w:w="9540" w:type="dxa"/>
          </w:tcPr>
          <w:p w:rsidR="0085595A" w:rsidRPr="00FF70BA" w:rsidRDefault="0085595A" w:rsidP="006B0558">
            <w:pPr>
              <w:pStyle w:val="Default"/>
              <w:tabs>
                <w:tab w:val="left" w:pos="284"/>
              </w:tabs>
              <w:spacing w:line="360" w:lineRule="auto"/>
              <w:jc w:val="both"/>
              <w:rPr>
                <w:rFonts w:asciiTheme="majorBidi" w:hAnsiTheme="majorBidi" w:cstheme="majorBidi"/>
                <w:b/>
                <w:bCs/>
              </w:rPr>
            </w:pPr>
          </w:p>
        </w:tc>
      </w:tr>
    </w:tbl>
    <w:p w:rsidR="000615FB" w:rsidRPr="00FF70BA" w:rsidRDefault="000615FB" w:rsidP="006B0558">
      <w:pPr>
        <w:pStyle w:val="Default"/>
        <w:tabs>
          <w:tab w:val="left" w:pos="284"/>
        </w:tabs>
        <w:spacing w:line="360" w:lineRule="auto"/>
        <w:jc w:val="both"/>
        <w:rPr>
          <w:rFonts w:asciiTheme="majorBidi" w:hAnsiTheme="majorBidi" w:cstheme="majorBidi"/>
          <w:b/>
          <w:bCs/>
        </w:rPr>
      </w:pPr>
    </w:p>
    <w:p w:rsidR="00A82A43" w:rsidRPr="00FF70BA" w:rsidRDefault="00A82A43" w:rsidP="006B0558">
      <w:pPr>
        <w:pStyle w:val="Default"/>
        <w:tabs>
          <w:tab w:val="left" w:pos="284"/>
        </w:tabs>
        <w:spacing w:line="360" w:lineRule="auto"/>
        <w:jc w:val="both"/>
        <w:rPr>
          <w:rFonts w:asciiTheme="majorBidi" w:hAnsiTheme="majorBidi" w:cstheme="majorBidi"/>
        </w:rPr>
      </w:pPr>
    </w:p>
    <w:p w:rsidR="00A82A43" w:rsidRPr="00FF70BA" w:rsidRDefault="00A82A43" w:rsidP="006B0558">
      <w:pPr>
        <w:pStyle w:val="Default"/>
        <w:tabs>
          <w:tab w:val="left" w:pos="284"/>
        </w:tabs>
        <w:spacing w:line="360" w:lineRule="auto"/>
        <w:jc w:val="both"/>
        <w:rPr>
          <w:rFonts w:asciiTheme="majorBidi" w:hAnsiTheme="majorBidi" w:cstheme="majorBidi"/>
        </w:rPr>
      </w:pPr>
      <w:r w:rsidRPr="00FF70BA">
        <w:rPr>
          <w:rFonts w:asciiTheme="majorBidi" w:hAnsiTheme="majorBidi" w:cstheme="majorBidi"/>
        </w:rPr>
        <w:tab/>
      </w:r>
      <w:r w:rsidRPr="00FF70BA">
        <w:rPr>
          <w:rFonts w:asciiTheme="majorBidi" w:hAnsiTheme="majorBidi" w:cstheme="majorBidi"/>
        </w:rPr>
        <w:tab/>
      </w:r>
    </w:p>
    <w:p w:rsidR="00FB1BCF" w:rsidRPr="00FF70BA" w:rsidRDefault="00FB1BCF" w:rsidP="006B0558">
      <w:pPr>
        <w:pStyle w:val="Default"/>
        <w:spacing w:line="360" w:lineRule="auto"/>
        <w:jc w:val="both"/>
        <w:rPr>
          <w:rFonts w:asciiTheme="majorBidi" w:hAnsiTheme="majorBidi" w:cstheme="majorBidi"/>
          <w:b/>
          <w:bCs/>
        </w:rPr>
      </w:pPr>
    </w:p>
    <w:p w:rsidR="00936D8D" w:rsidRPr="00FF70BA" w:rsidRDefault="00936D8D" w:rsidP="006B0558">
      <w:pPr>
        <w:pStyle w:val="Default"/>
        <w:spacing w:line="360" w:lineRule="auto"/>
        <w:jc w:val="both"/>
        <w:rPr>
          <w:rFonts w:asciiTheme="majorBidi" w:hAnsiTheme="majorBidi" w:cstheme="majorBidi"/>
          <w:b/>
          <w:bCs/>
        </w:rPr>
      </w:pPr>
    </w:p>
    <w:p w:rsidR="000B5D03" w:rsidRPr="00FF70BA" w:rsidRDefault="000B5D03" w:rsidP="006B0558">
      <w:pPr>
        <w:pStyle w:val="Default"/>
        <w:spacing w:line="360" w:lineRule="auto"/>
        <w:jc w:val="both"/>
        <w:rPr>
          <w:rFonts w:asciiTheme="majorBidi" w:hAnsiTheme="majorBidi" w:cstheme="majorBidi"/>
        </w:rPr>
      </w:pPr>
    </w:p>
    <w:p w:rsidR="000B5D03" w:rsidRPr="00FF70BA" w:rsidRDefault="000B5D03" w:rsidP="006B0558">
      <w:pPr>
        <w:pStyle w:val="Paragraphedeliste"/>
        <w:autoSpaceDE w:val="0"/>
        <w:autoSpaceDN w:val="0"/>
        <w:adjustRightInd w:val="0"/>
        <w:spacing w:after="0" w:line="360" w:lineRule="auto"/>
        <w:ind w:left="0"/>
        <w:jc w:val="both"/>
        <w:rPr>
          <w:rFonts w:asciiTheme="majorBidi" w:hAnsiTheme="majorBidi" w:cstheme="majorBidi"/>
          <w:b/>
          <w:bCs/>
          <w:sz w:val="24"/>
          <w:szCs w:val="24"/>
        </w:rPr>
      </w:pPr>
    </w:p>
    <w:p w:rsidR="000B5D03" w:rsidRPr="00FF70BA" w:rsidRDefault="000B5D03" w:rsidP="006B0558">
      <w:pPr>
        <w:pStyle w:val="Paragraphedeliste"/>
        <w:autoSpaceDE w:val="0"/>
        <w:autoSpaceDN w:val="0"/>
        <w:adjustRightInd w:val="0"/>
        <w:spacing w:after="0" w:line="360" w:lineRule="auto"/>
        <w:ind w:left="0"/>
        <w:jc w:val="both"/>
        <w:rPr>
          <w:rFonts w:asciiTheme="majorBidi" w:hAnsiTheme="majorBidi" w:cstheme="majorBidi"/>
          <w:sz w:val="24"/>
          <w:szCs w:val="24"/>
        </w:rPr>
      </w:pPr>
    </w:p>
    <w:p w:rsidR="004C5DA3" w:rsidRPr="00FF70BA" w:rsidRDefault="004C5DA3" w:rsidP="006B0558">
      <w:pPr>
        <w:autoSpaceDE w:val="0"/>
        <w:autoSpaceDN w:val="0"/>
        <w:adjustRightInd w:val="0"/>
        <w:spacing w:after="0" w:line="360" w:lineRule="auto"/>
        <w:jc w:val="both"/>
        <w:rPr>
          <w:rFonts w:asciiTheme="majorBidi" w:hAnsiTheme="majorBidi" w:cstheme="majorBidi"/>
          <w:sz w:val="24"/>
          <w:szCs w:val="24"/>
        </w:rPr>
      </w:pPr>
    </w:p>
    <w:sectPr w:rsidR="004C5DA3" w:rsidRPr="00FF70BA" w:rsidSect="004D29BE">
      <w:headerReference w:type="default" r:id="rId20"/>
      <w:footerReference w:type="default" r:id="rId21"/>
      <w:footnotePr>
        <w:numRestart w:val="eachPage"/>
      </w:footnotePr>
      <w:pgSz w:w="11906" w:h="16838"/>
      <w:pgMar w:top="1417" w:right="1417" w:bottom="1417" w:left="1417" w:header="709" w:footer="709" w:gutter="0"/>
      <w:pgNumType w:start="3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A14" w:rsidRDefault="007C6A14" w:rsidP="0098473E">
      <w:pPr>
        <w:spacing w:after="0" w:line="240" w:lineRule="auto"/>
      </w:pPr>
      <w:r>
        <w:separator/>
      </w:r>
    </w:p>
  </w:endnote>
  <w:endnote w:type="continuationSeparator" w:id="1">
    <w:p w:rsidR="007C6A14" w:rsidRDefault="007C6A14" w:rsidP="00984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CharterCom-BlackItalic">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1B" w:rsidRDefault="00C4631B">
    <w:pPr>
      <w:pStyle w:val="Pieddepage"/>
    </w:pPr>
    <w:r>
      <w:rPr>
        <w:rFonts w:ascii="Monotype Corsiva" w:hAnsi="Monotype Corsiva"/>
        <w:b/>
        <w:bCs/>
      </w:rPr>
      <w:t xml:space="preserve">                                                                 </w:t>
    </w:r>
    <w:r w:rsidRPr="004B354A">
      <w:rPr>
        <w:rFonts w:ascii="Monotype Corsiva" w:hAnsi="Monotype Corsiva"/>
        <w:b/>
        <w:bCs/>
      </w:rPr>
      <w:t xml:space="preserve">Partie N°1 : </w:t>
    </w:r>
    <w:r>
      <w:rPr>
        <w:rFonts w:ascii="Monotype Corsiva" w:hAnsi="Monotype Corsiva"/>
        <w:b/>
        <w:bCs/>
      </w:rPr>
      <w:t>A</w:t>
    </w:r>
    <w:r w:rsidRPr="004B354A">
      <w:rPr>
        <w:rFonts w:ascii="Monotype Corsiva" w:hAnsi="Monotype Corsiva"/>
        <w:b/>
        <w:bCs/>
      </w:rPr>
      <w:t>spects théoriques relatives aux nouvelles normes de solvabilité</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A14" w:rsidRDefault="007C6A14" w:rsidP="0098473E">
      <w:pPr>
        <w:spacing w:after="0" w:line="240" w:lineRule="auto"/>
      </w:pPr>
      <w:r>
        <w:separator/>
      </w:r>
    </w:p>
  </w:footnote>
  <w:footnote w:type="continuationSeparator" w:id="1">
    <w:p w:rsidR="007C6A14" w:rsidRDefault="007C6A14" w:rsidP="0098473E">
      <w:pPr>
        <w:spacing w:after="0" w:line="240" w:lineRule="auto"/>
      </w:pPr>
      <w:r>
        <w:continuationSeparator/>
      </w:r>
    </w:p>
  </w:footnote>
  <w:footnote w:id="2">
    <w:p w:rsidR="000E3DAB" w:rsidRPr="00333483" w:rsidRDefault="000E3DAB">
      <w:pPr>
        <w:pStyle w:val="Notedebasdepage"/>
        <w:rPr>
          <w:lang w:val="en-US"/>
        </w:rPr>
      </w:pPr>
      <w:r w:rsidRPr="000E3DAB">
        <w:rPr>
          <w:rStyle w:val="Appelnotedebasdep"/>
        </w:rPr>
        <w:sym w:font="Symbol" w:char="F02A"/>
      </w:r>
      <w:r w:rsidRPr="00333483">
        <w:rPr>
          <w:lang w:val="en-US"/>
        </w:rPr>
        <w:t xml:space="preserve"> </w:t>
      </w:r>
      <w:r w:rsidR="00333483" w:rsidRPr="001C3273">
        <w:rPr>
          <w:rFonts w:asciiTheme="majorBidi" w:hAnsiTheme="majorBidi" w:cstheme="majorBidi"/>
          <w:i/>
          <w:iCs/>
          <w:lang w:val="en-US"/>
        </w:rPr>
        <w:t>Committee of European Insurance and Occupational Pensions Supervisors</w:t>
      </w:r>
    </w:p>
  </w:footnote>
  <w:footnote w:id="3">
    <w:p w:rsidR="00E32748" w:rsidRDefault="00E32748" w:rsidP="00C8320A">
      <w:pPr>
        <w:pStyle w:val="Notedebasdepage"/>
        <w:jc w:val="both"/>
      </w:pPr>
      <w:r>
        <w:rPr>
          <w:rStyle w:val="Appelnotedebasdep"/>
        </w:rPr>
        <w:footnoteRef/>
      </w:r>
      <w:r>
        <w:t xml:space="preserve"> </w:t>
      </w:r>
      <w:r w:rsidR="00C8320A" w:rsidRPr="001C3273">
        <w:rPr>
          <w:rFonts w:asciiTheme="majorBidi" w:hAnsiTheme="majorBidi" w:cstheme="majorBidi"/>
        </w:rPr>
        <w:t xml:space="preserve">PLANCHET et Frédéric, </w:t>
      </w:r>
      <w:r w:rsidR="00C8320A" w:rsidRPr="001C3273">
        <w:rPr>
          <w:rFonts w:asciiTheme="majorBidi" w:hAnsiTheme="majorBidi" w:cstheme="majorBidi"/>
          <w:u w:val="single"/>
        </w:rPr>
        <w:t>M</w:t>
      </w:r>
      <w:r w:rsidR="00207A40" w:rsidRPr="001C3273">
        <w:rPr>
          <w:rFonts w:asciiTheme="majorBidi" w:hAnsiTheme="majorBidi" w:cstheme="majorBidi"/>
          <w:u w:val="single"/>
        </w:rPr>
        <w:t>odèles financiers en assurance</w:t>
      </w:r>
      <w:r w:rsidR="00C8320A" w:rsidRPr="001C3273">
        <w:rPr>
          <w:rFonts w:asciiTheme="majorBidi" w:hAnsiTheme="majorBidi" w:cstheme="majorBidi"/>
          <w:u w:val="single"/>
        </w:rPr>
        <w:t>: Analyses de risque dynamiques</w:t>
      </w:r>
      <w:r w:rsidR="00C8320A" w:rsidRPr="001C3273">
        <w:rPr>
          <w:rFonts w:asciiTheme="majorBidi" w:hAnsiTheme="majorBidi" w:cstheme="majorBidi"/>
        </w:rPr>
        <w:t>, Economica, Paris, 2005,</w:t>
      </w:r>
      <w:r w:rsidR="00207A40" w:rsidRPr="001C3273">
        <w:rPr>
          <w:rFonts w:asciiTheme="majorBidi" w:hAnsiTheme="majorBidi" w:cstheme="majorBidi"/>
        </w:rPr>
        <w:t xml:space="preserve"> p</w:t>
      </w:r>
      <w:r w:rsidR="00C8380A" w:rsidRPr="001C3273">
        <w:rPr>
          <w:rFonts w:asciiTheme="majorBidi" w:hAnsiTheme="majorBidi" w:cstheme="majorBidi"/>
        </w:rPr>
        <w:t>296</w:t>
      </w:r>
      <w:r w:rsidR="00C8320A" w:rsidRPr="001C3273">
        <w:rPr>
          <w:rFonts w:asciiTheme="majorBidi" w:hAnsiTheme="majorBidi" w:cstheme="majorBidi"/>
        </w:rPr>
        <w:t>.</w:t>
      </w:r>
    </w:p>
  </w:footnote>
  <w:footnote w:id="4">
    <w:p w:rsidR="00333483" w:rsidRDefault="00333483">
      <w:pPr>
        <w:pStyle w:val="Notedebasdepage"/>
      </w:pPr>
      <w:r w:rsidRPr="00333483">
        <w:rPr>
          <w:rStyle w:val="Appelnotedebasdep"/>
        </w:rPr>
        <w:sym w:font="Symbol" w:char="F02A"/>
      </w:r>
      <w:r>
        <w:t xml:space="preserve"> </w:t>
      </w:r>
      <w:r w:rsidR="00552D73" w:rsidRPr="001C3273">
        <w:rPr>
          <w:rFonts w:ascii="TimesNewRoman" w:hAnsi="TimesNewRoman" w:cs="TimesNewRoman"/>
        </w:rPr>
        <w:t>Approche Lamfalussy : approche ligislative à 4 niveaux régulant l’élaboration, l'adoption et la mise en oeuvre de la nouvelle législation sur les services financiers par les institutions de l'UE.</w:t>
      </w:r>
      <w:r w:rsidR="00552D73">
        <w:rPr>
          <w:rFonts w:ascii="TimesNewRoman" w:hAnsi="TimesNewRoman" w:cs="TimesNewRoman"/>
        </w:rPr>
        <w:t>(</w:t>
      </w:r>
      <w:r w:rsidR="00552D73" w:rsidRPr="00B7421B">
        <w:rPr>
          <w:rFonts w:ascii="TimesNewRoman" w:hAnsi="TimesNewRoman" w:cs="TimesNewRoman"/>
          <w:b/>
          <w:bCs/>
        </w:rPr>
        <w:t>Annexe N°1</w:t>
      </w:r>
      <w:r w:rsidR="00552D73">
        <w:rPr>
          <w:rFonts w:ascii="TimesNewRoman" w:hAnsi="TimesNewRoman" w:cs="TimesNewRoman"/>
        </w:rPr>
        <w:t>)</w:t>
      </w:r>
    </w:p>
  </w:footnote>
  <w:footnote w:id="5">
    <w:p w:rsidR="00AB15E7" w:rsidRDefault="00AB15E7">
      <w:pPr>
        <w:pStyle w:val="Notedebasdepage"/>
      </w:pPr>
      <w:r w:rsidRPr="00AB15E7">
        <w:rPr>
          <w:rStyle w:val="Appelnotedebasdep"/>
        </w:rPr>
        <w:sym w:font="Symbol" w:char="F02A"/>
      </w:r>
      <w:r w:rsidRPr="00AB15E7">
        <w:rPr>
          <w:rStyle w:val="Appelnotedebasdep"/>
        </w:rPr>
        <w:sym w:font="Symbol" w:char="F02A"/>
      </w:r>
      <w:r>
        <w:t xml:space="preserve"> </w:t>
      </w:r>
      <w:r w:rsidRPr="00A449A0">
        <w:rPr>
          <w:rFonts w:asciiTheme="majorBidi" w:hAnsiTheme="majorBidi" w:cstheme="majorBidi"/>
        </w:rPr>
        <w:t>QIS: Quantitative Impact Study</w:t>
      </w:r>
    </w:p>
  </w:footnote>
  <w:footnote w:id="6">
    <w:p w:rsidR="00E32748" w:rsidRPr="00A449A0" w:rsidRDefault="00E32748">
      <w:pPr>
        <w:pStyle w:val="Notedebasdepage"/>
        <w:rPr>
          <w:rFonts w:asciiTheme="majorBidi" w:hAnsiTheme="majorBidi" w:cstheme="majorBidi"/>
        </w:rPr>
      </w:pPr>
      <w:r w:rsidRPr="001C3273">
        <w:rPr>
          <w:rStyle w:val="Appelnotedebasdep"/>
        </w:rPr>
        <w:footnoteRef/>
      </w:r>
      <w:r w:rsidRPr="001C3273">
        <w:t xml:space="preserve"> </w:t>
      </w:r>
      <w:r w:rsidRPr="00A449A0">
        <w:rPr>
          <w:rFonts w:asciiTheme="majorBidi" w:hAnsiTheme="majorBidi" w:cstheme="majorBidi"/>
        </w:rPr>
        <w:t xml:space="preserve">Commission Européenne, </w:t>
      </w:r>
      <w:r w:rsidRPr="00A449A0">
        <w:rPr>
          <w:rFonts w:asciiTheme="majorBidi" w:hAnsiTheme="majorBidi" w:cstheme="majorBidi"/>
          <w:u w:val="single"/>
        </w:rPr>
        <w:t xml:space="preserve">proposition de directive du parlement européenne et du conseil modifiant et complétant la directive </w:t>
      </w:r>
      <w:r w:rsidRPr="00A449A0">
        <w:rPr>
          <w:rFonts w:asciiTheme="majorBidi" w:eastAsia="Times New Roman" w:hAnsiTheme="majorBidi" w:cstheme="majorBidi"/>
          <w:noProof/>
          <w:u w:val="single"/>
        </w:rPr>
        <w:t>2009/138/CE</w:t>
      </w:r>
      <w:r w:rsidRPr="00A449A0">
        <w:rPr>
          <w:rFonts w:asciiTheme="majorBidi" w:hAnsiTheme="majorBidi" w:cstheme="majorBidi"/>
          <w:noProof/>
        </w:rPr>
        <w:t>, Bruxelle , 16/05/2012.</w:t>
      </w:r>
    </w:p>
  </w:footnote>
  <w:footnote w:id="7">
    <w:p w:rsidR="00E32748" w:rsidRDefault="00E32748" w:rsidP="0003055E">
      <w:pPr>
        <w:pStyle w:val="Notedebasdepage"/>
      </w:pPr>
      <w:r w:rsidRPr="00A449A0">
        <w:rPr>
          <w:rStyle w:val="Appelnotedebasdep"/>
          <w:rFonts w:asciiTheme="majorBidi" w:hAnsiTheme="majorBidi" w:cstheme="majorBidi"/>
        </w:rPr>
        <w:footnoteRef/>
      </w:r>
      <w:r w:rsidRPr="00A449A0">
        <w:rPr>
          <w:rFonts w:asciiTheme="majorBidi" w:hAnsiTheme="majorBidi" w:cstheme="majorBidi"/>
        </w:rPr>
        <w:t xml:space="preserve">Swiss Re,  </w:t>
      </w:r>
      <w:r w:rsidRPr="00A449A0">
        <w:rPr>
          <w:rFonts w:asciiTheme="majorBidi" w:hAnsiTheme="majorBidi" w:cstheme="majorBidi"/>
          <w:u w:val="single"/>
        </w:rPr>
        <w:t>Solvabilité II: une approche intégrée des risques pour les assureurs européens</w:t>
      </w:r>
      <w:r w:rsidRPr="00A449A0">
        <w:rPr>
          <w:rFonts w:asciiTheme="majorBidi" w:hAnsiTheme="majorBidi" w:cstheme="majorBidi"/>
        </w:rPr>
        <w:t>, Sigma n°4/2006, P7</w:t>
      </w:r>
      <w:r w:rsidR="001C3273" w:rsidRPr="00A449A0">
        <w:rPr>
          <w:rFonts w:asciiTheme="majorBidi" w:hAnsiTheme="majorBidi" w:cstheme="majorBidi"/>
        </w:rPr>
        <w:t>.</w:t>
      </w:r>
    </w:p>
  </w:footnote>
  <w:footnote w:id="8">
    <w:p w:rsidR="00E12BF1" w:rsidRPr="00E12BF1" w:rsidRDefault="00E12BF1">
      <w:pPr>
        <w:pStyle w:val="Notedebasdepage"/>
        <w:rPr>
          <w:lang w:val="en-US"/>
        </w:rPr>
      </w:pPr>
      <w:r w:rsidRPr="00E12BF1">
        <w:rPr>
          <w:rStyle w:val="Appelnotedebasdep"/>
        </w:rPr>
        <w:sym w:font="Symbol" w:char="F02A"/>
      </w:r>
      <w:r w:rsidRPr="00E12BF1">
        <w:rPr>
          <w:lang w:val="en-US"/>
        </w:rPr>
        <w:t xml:space="preserve"> </w:t>
      </w:r>
      <w:r w:rsidRPr="001C3273">
        <w:rPr>
          <w:rFonts w:asciiTheme="majorBidi" w:hAnsiTheme="majorBidi" w:cstheme="majorBidi"/>
          <w:lang w:val="en-US"/>
        </w:rPr>
        <w:t xml:space="preserve">IASB: The International Accounting Standards Boards </w:t>
      </w:r>
      <w:r>
        <w:rPr>
          <w:rFonts w:asciiTheme="majorBidi" w:hAnsiTheme="majorBidi" w:cstheme="majorBidi"/>
          <w:lang w:val="en-US"/>
        </w:rPr>
        <w:t>;</w:t>
      </w:r>
    </w:p>
  </w:footnote>
  <w:footnote w:id="9">
    <w:p w:rsidR="00E32748" w:rsidRPr="001C3273" w:rsidRDefault="00E32748" w:rsidP="001C3273">
      <w:pPr>
        <w:pStyle w:val="Notedebasdepage"/>
        <w:jc w:val="both"/>
        <w:rPr>
          <w:rFonts w:asciiTheme="majorBidi" w:hAnsiTheme="majorBidi" w:cstheme="majorBidi"/>
        </w:rPr>
      </w:pPr>
      <w:r w:rsidRPr="001C3273">
        <w:rPr>
          <w:rStyle w:val="Appelnotedebasdep"/>
          <w:rFonts w:asciiTheme="majorBidi" w:hAnsiTheme="majorBidi" w:cstheme="majorBidi"/>
        </w:rPr>
        <w:footnoteRef/>
      </w:r>
      <w:r w:rsidRPr="001C3273">
        <w:rPr>
          <w:rFonts w:asciiTheme="majorBidi" w:hAnsiTheme="majorBidi" w:cstheme="majorBidi"/>
        </w:rPr>
        <w:t xml:space="preserve"> ACP (Autorité de Contrôle Prudentiel), </w:t>
      </w:r>
      <w:r w:rsidRPr="001C3273">
        <w:rPr>
          <w:rFonts w:asciiTheme="majorBidi" w:hAnsiTheme="majorBidi" w:cstheme="majorBidi"/>
          <w:u w:val="single"/>
        </w:rPr>
        <w:t>solvabilité II: principaux enseignements de la cinquième  étude quantitative  d’impact (QIS5)</w:t>
      </w:r>
      <w:r w:rsidRPr="001C3273">
        <w:rPr>
          <w:rFonts w:asciiTheme="majorBidi" w:hAnsiTheme="majorBidi" w:cstheme="majorBidi"/>
        </w:rPr>
        <w:t>, Banque de France, mars 2011, P8</w:t>
      </w:r>
    </w:p>
  </w:footnote>
  <w:footnote w:id="10">
    <w:p w:rsidR="00E32748" w:rsidRPr="00A61B98" w:rsidRDefault="00E32748" w:rsidP="001C3273">
      <w:pPr>
        <w:pStyle w:val="Notedebasdepage"/>
        <w:jc w:val="both"/>
        <w:rPr>
          <w:lang w:val="en-US"/>
        </w:rPr>
      </w:pPr>
      <w:r w:rsidRPr="001C3273">
        <w:rPr>
          <w:rStyle w:val="Appelnotedebasdep"/>
          <w:rFonts w:asciiTheme="majorBidi" w:hAnsiTheme="majorBidi" w:cstheme="majorBidi"/>
        </w:rPr>
        <w:footnoteRef/>
      </w:r>
      <w:r w:rsidRPr="001C3273">
        <w:rPr>
          <w:rFonts w:asciiTheme="majorBidi" w:hAnsiTheme="majorBidi" w:cstheme="majorBidi"/>
          <w:lang w:val="en-US"/>
        </w:rPr>
        <w:t xml:space="preserve"> Swiss Re,  </w:t>
      </w:r>
      <w:r w:rsidRPr="001C3273">
        <w:rPr>
          <w:rFonts w:asciiTheme="majorBidi" w:hAnsiTheme="majorBidi" w:cstheme="majorBidi"/>
          <w:u w:val="single"/>
          <w:lang w:val="en-US"/>
        </w:rPr>
        <w:t>Op-Cit</w:t>
      </w:r>
      <w:r w:rsidRPr="001C3273">
        <w:rPr>
          <w:rFonts w:asciiTheme="majorBidi" w:hAnsiTheme="majorBidi" w:cstheme="majorBidi"/>
          <w:lang w:val="en-US"/>
        </w:rPr>
        <w:t>, Sigma n°4/2006, P9</w:t>
      </w:r>
    </w:p>
  </w:footnote>
  <w:footnote w:id="11">
    <w:p w:rsidR="00E12BF1" w:rsidRDefault="00E12BF1">
      <w:pPr>
        <w:pStyle w:val="Notedebasdepage"/>
      </w:pPr>
      <w:r w:rsidRPr="00E12BF1">
        <w:rPr>
          <w:rStyle w:val="Appelnotedebasdep"/>
        </w:rPr>
        <w:sym w:font="Symbol" w:char="F02A"/>
      </w:r>
      <w:r>
        <w:t xml:space="preserve"> </w:t>
      </w:r>
      <w:r w:rsidR="009E189D" w:rsidRPr="001C3273">
        <w:rPr>
          <w:rFonts w:asciiTheme="majorBidi" w:hAnsiTheme="majorBidi" w:cstheme="majorBidi"/>
        </w:rPr>
        <w:t>Evaluation interne des risques et de la solvabilité.</w:t>
      </w:r>
    </w:p>
  </w:footnote>
  <w:footnote w:id="12">
    <w:p w:rsidR="00E32748" w:rsidRPr="00377966" w:rsidRDefault="00E32748" w:rsidP="00377966">
      <w:pPr>
        <w:pStyle w:val="Notedebasdepage"/>
        <w:rPr>
          <w:rFonts w:asciiTheme="majorBidi" w:hAnsiTheme="majorBidi" w:cstheme="majorBidi"/>
        </w:rPr>
      </w:pPr>
      <w:r w:rsidRPr="001C3273">
        <w:rPr>
          <w:rStyle w:val="Appelnotedebasdep"/>
          <w:rFonts w:asciiTheme="majorBidi" w:hAnsiTheme="majorBidi" w:cstheme="majorBidi"/>
        </w:rPr>
        <w:footnoteRef/>
      </w:r>
      <w:r w:rsidRPr="001C3273">
        <w:rPr>
          <w:rFonts w:asciiTheme="majorBidi" w:hAnsiTheme="majorBidi" w:cstheme="majorBidi"/>
        </w:rPr>
        <w:t xml:space="preserve"> Aon Global Risk Consulting, </w:t>
      </w:r>
      <w:r w:rsidRPr="001C3273">
        <w:rPr>
          <w:rFonts w:asciiTheme="majorBidi" w:hAnsiTheme="majorBidi" w:cstheme="majorBidi"/>
          <w:u w:val="single"/>
        </w:rPr>
        <w:t>Solvabilité 2 : les assureurs à l’épreuve du deuxième pilier et de l’ORSA</w:t>
      </w:r>
      <w:r w:rsidRPr="001C3273">
        <w:rPr>
          <w:rFonts w:asciiTheme="majorBidi" w:hAnsiTheme="majorBidi" w:cstheme="majorBidi"/>
        </w:rPr>
        <w:t>, Aon, Octobre 2009, P3.</w:t>
      </w:r>
    </w:p>
  </w:footnote>
  <w:footnote w:id="13">
    <w:p w:rsidR="00E32748" w:rsidRPr="00E10A08" w:rsidRDefault="00E32748" w:rsidP="00980712">
      <w:pPr>
        <w:autoSpaceDE w:val="0"/>
        <w:autoSpaceDN w:val="0"/>
        <w:adjustRightInd w:val="0"/>
        <w:spacing w:after="0" w:line="240" w:lineRule="auto"/>
        <w:rPr>
          <w:rFonts w:ascii="ITCCharterCom-BlackItalic" w:hAnsi="ITCCharterCom-BlackItalic" w:cs="ITCCharterCom-BlackItalic"/>
          <w:i/>
          <w:iCs/>
        </w:rPr>
      </w:pPr>
      <w:r w:rsidRPr="00E10A08">
        <w:rPr>
          <w:rStyle w:val="Appelnotedebasdep"/>
        </w:rPr>
        <w:footnoteRef/>
      </w:r>
      <w:r w:rsidRPr="00E10A08">
        <w:t xml:space="preserve"> </w:t>
      </w:r>
      <w:r w:rsidRPr="00E10A08">
        <w:rPr>
          <w:rFonts w:asciiTheme="majorBidi" w:hAnsiTheme="majorBidi" w:cstheme="majorBidi"/>
        </w:rPr>
        <w:t xml:space="preserve">Eric Dupont, Jimmy Zou, </w:t>
      </w:r>
      <w:r w:rsidRPr="00E10A08">
        <w:rPr>
          <w:rFonts w:asciiTheme="majorBidi" w:hAnsiTheme="majorBidi" w:cstheme="majorBidi"/>
          <w:u w:val="single"/>
        </w:rPr>
        <w:t>Solvabilité 2 Le Pilier 2, enjeux opérationnels de la gestion des risques</w:t>
      </w:r>
      <w:r w:rsidRPr="00026A14">
        <w:rPr>
          <w:rFonts w:asciiTheme="majorBidi" w:hAnsiTheme="majorBidi" w:cstheme="majorBidi"/>
        </w:rPr>
        <w:t xml:space="preserve">, </w:t>
      </w:r>
      <w:r w:rsidRPr="00E10A08">
        <w:rPr>
          <w:rFonts w:asciiTheme="majorBidi" w:hAnsiTheme="majorBidi" w:cstheme="majorBidi"/>
        </w:rPr>
        <w:t>le livre blanc, tome1, PricewaterhouseCoopers</w:t>
      </w:r>
      <w:r w:rsidR="009446CD">
        <w:rPr>
          <w:rFonts w:asciiTheme="majorBidi" w:hAnsiTheme="majorBidi" w:cstheme="majorBidi"/>
        </w:rPr>
        <w:t>,</w:t>
      </w:r>
      <w:r w:rsidRPr="00E10A08">
        <w:rPr>
          <w:rFonts w:asciiTheme="majorBidi" w:hAnsiTheme="majorBidi" w:cstheme="majorBidi"/>
        </w:rPr>
        <w:t xml:space="preserve"> 2011, P6</w:t>
      </w:r>
    </w:p>
  </w:footnote>
  <w:footnote w:id="14">
    <w:p w:rsidR="00207A40" w:rsidRDefault="00207A40">
      <w:pPr>
        <w:pStyle w:val="Notedebasdepage"/>
      </w:pPr>
      <w:r>
        <w:rPr>
          <w:rStyle w:val="Appelnotedebasdep"/>
        </w:rPr>
        <w:footnoteRef/>
      </w:r>
      <w:r w:rsidR="00FB2EFD">
        <w:t xml:space="preserve"> </w:t>
      </w:r>
      <w:r w:rsidR="00FB2EFD" w:rsidRPr="00FB2EFD">
        <w:rPr>
          <w:rFonts w:asciiTheme="majorBidi" w:hAnsiTheme="majorBidi" w:cstheme="majorBidi"/>
          <w:sz w:val="22"/>
          <w:szCs w:val="22"/>
        </w:rPr>
        <w:t>PLANCHET et Frédéric</w:t>
      </w:r>
      <w:r w:rsidR="00FB2EFD" w:rsidRPr="00FB2EFD">
        <w:rPr>
          <w:rFonts w:asciiTheme="majorBidi" w:hAnsiTheme="majorBidi" w:cstheme="majorBidi"/>
          <w:sz w:val="22"/>
          <w:szCs w:val="22"/>
          <w:u w:val="single"/>
        </w:rPr>
        <w:t>,</w:t>
      </w:r>
      <w:r w:rsidR="00FB2EFD">
        <w:rPr>
          <w:rFonts w:asciiTheme="majorBidi" w:hAnsiTheme="majorBidi" w:cstheme="majorBidi"/>
          <w:sz w:val="22"/>
          <w:szCs w:val="22"/>
          <w:u w:val="single"/>
        </w:rPr>
        <w:t xml:space="preserve"> </w:t>
      </w:r>
      <w:r w:rsidRPr="00FB2EFD">
        <w:rPr>
          <w:rFonts w:asciiTheme="majorBidi" w:hAnsiTheme="majorBidi" w:cstheme="majorBidi"/>
          <w:sz w:val="22"/>
          <w:szCs w:val="22"/>
          <w:u w:val="single"/>
        </w:rPr>
        <w:t>Mesures et  gestion des risques en assurance</w:t>
      </w:r>
      <w:r w:rsidR="00FB2EFD" w:rsidRPr="00FB2EFD">
        <w:rPr>
          <w:rFonts w:asciiTheme="majorBidi" w:hAnsiTheme="majorBidi" w:cstheme="majorBidi"/>
          <w:sz w:val="22"/>
          <w:szCs w:val="22"/>
          <w:u w:val="single"/>
        </w:rPr>
        <w:t>: Analyse critique des futurs référenciels prudentiel et d’information financière</w:t>
      </w:r>
      <w:r w:rsidR="00FB2EFD" w:rsidRPr="00FB2EFD">
        <w:rPr>
          <w:rFonts w:asciiTheme="majorBidi" w:hAnsiTheme="majorBidi" w:cstheme="majorBidi"/>
          <w:sz w:val="22"/>
          <w:szCs w:val="22"/>
        </w:rPr>
        <w:t>, Economica, Paris,</w:t>
      </w:r>
      <w:r w:rsidR="009446CD">
        <w:rPr>
          <w:rFonts w:asciiTheme="majorBidi" w:hAnsiTheme="majorBidi" w:cstheme="majorBidi"/>
          <w:sz w:val="22"/>
          <w:szCs w:val="22"/>
        </w:rPr>
        <w:t xml:space="preserve"> 2007,</w:t>
      </w:r>
      <w:r w:rsidR="00C8380A" w:rsidRPr="00FB2EFD">
        <w:rPr>
          <w:rFonts w:asciiTheme="majorBidi" w:hAnsiTheme="majorBidi" w:cstheme="majorBidi"/>
          <w:sz w:val="22"/>
          <w:szCs w:val="22"/>
        </w:rPr>
        <w:t xml:space="preserve"> P173-174</w:t>
      </w:r>
      <w:r w:rsidR="00FB2EFD" w:rsidRPr="00FB2EFD">
        <w:rPr>
          <w:rFonts w:asciiTheme="majorBidi" w:hAnsiTheme="majorBidi" w:cstheme="majorBidi"/>
          <w:sz w:val="22"/>
          <w:szCs w:val="22"/>
        </w:rPr>
        <w:t>.</w:t>
      </w:r>
    </w:p>
  </w:footnote>
  <w:footnote w:id="15">
    <w:p w:rsidR="009909D6" w:rsidRDefault="009909D6">
      <w:pPr>
        <w:pStyle w:val="Notedebasdepage"/>
      </w:pPr>
      <w:r>
        <w:rPr>
          <w:rStyle w:val="Appelnotedebasdep"/>
        </w:rPr>
        <w:footnoteRef/>
      </w:r>
      <w:r>
        <w:t xml:space="preserve"> </w:t>
      </w:r>
      <w:r w:rsidRPr="009909D6">
        <w:rPr>
          <w:rFonts w:asciiTheme="majorBidi" w:hAnsiTheme="majorBidi" w:cstheme="majorBidi"/>
          <w:sz w:val="22"/>
          <w:szCs w:val="22"/>
        </w:rPr>
        <w:t xml:space="preserve">Autorité de contrôle </w:t>
      </w:r>
      <w:r w:rsidR="007C61A3" w:rsidRPr="009909D6">
        <w:rPr>
          <w:rFonts w:asciiTheme="majorBidi" w:hAnsiTheme="majorBidi" w:cstheme="majorBidi"/>
          <w:sz w:val="22"/>
          <w:szCs w:val="22"/>
        </w:rPr>
        <w:t>de l’assurance</w:t>
      </w:r>
      <w:r w:rsidRPr="009909D6">
        <w:rPr>
          <w:rFonts w:asciiTheme="majorBidi" w:hAnsiTheme="majorBidi" w:cstheme="majorBidi"/>
          <w:sz w:val="22"/>
          <w:szCs w:val="22"/>
        </w:rPr>
        <w:t xml:space="preserve"> et des </w:t>
      </w:r>
      <w:r w:rsidR="007C61A3" w:rsidRPr="009909D6">
        <w:rPr>
          <w:rFonts w:asciiTheme="majorBidi" w:hAnsiTheme="majorBidi" w:cstheme="majorBidi"/>
          <w:sz w:val="22"/>
          <w:szCs w:val="22"/>
        </w:rPr>
        <w:t>mutuelles</w:t>
      </w:r>
      <w:r w:rsidRPr="009909D6">
        <w:rPr>
          <w:rFonts w:asciiTheme="majorBidi" w:hAnsiTheme="majorBidi" w:cstheme="majorBidi"/>
          <w:sz w:val="22"/>
          <w:szCs w:val="22"/>
        </w:rPr>
        <w:t xml:space="preserve"> (ACAM), </w:t>
      </w:r>
      <w:r w:rsidRPr="00A37B53">
        <w:rPr>
          <w:rFonts w:asciiTheme="majorBidi" w:hAnsiTheme="majorBidi" w:cstheme="majorBidi"/>
          <w:sz w:val="22"/>
          <w:szCs w:val="22"/>
          <w:u w:val="single"/>
        </w:rPr>
        <w:t>Rapport du groupe de</w:t>
      </w:r>
      <w:r w:rsidR="007C61A3" w:rsidRPr="00A37B53">
        <w:rPr>
          <w:rFonts w:asciiTheme="majorBidi" w:hAnsiTheme="majorBidi" w:cstheme="majorBidi"/>
          <w:sz w:val="22"/>
          <w:szCs w:val="22"/>
          <w:u w:val="single"/>
        </w:rPr>
        <w:t xml:space="preserve"> tarvail sur le calcul du Best E</w:t>
      </w:r>
      <w:r w:rsidRPr="00A37B53">
        <w:rPr>
          <w:rFonts w:asciiTheme="majorBidi" w:hAnsiTheme="majorBidi" w:cstheme="majorBidi"/>
          <w:sz w:val="22"/>
          <w:szCs w:val="22"/>
          <w:u w:val="single"/>
        </w:rPr>
        <w:t>stimate en assurance dommages</w:t>
      </w:r>
      <w:r w:rsidRPr="009909D6">
        <w:rPr>
          <w:rFonts w:asciiTheme="majorBidi" w:hAnsiTheme="majorBidi" w:cstheme="majorBidi"/>
          <w:sz w:val="22"/>
          <w:szCs w:val="22"/>
        </w:rPr>
        <w:t>, novembre 2007.</w:t>
      </w:r>
    </w:p>
  </w:footnote>
  <w:footnote w:id="16">
    <w:p w:rsidR="00207A40" w:rsidRDefault="00207A40">
      <w:pPr>
        <w:pStyle w:val="Notedebasdepage"/>
      </w:pPr>
      <w:r>
        <w:rPr>
          <w:rStyle w:val="Appelnotedebasdep"/>
        </w:rPr>
        <w:footnoteRef/>
      </w:r>
      <w:r w:rsidR="00447534">
        <w:t xml:space="preserve"> ACP (Autorité de Contrôle Prudentiel), </w:t>
      </w:r>
      <w:r w:rsidR="00447534">
        <w:rPr>
          <w:u w:val="single"/>
        </w:rPr>
        <w:t>OP-CIT</w:t>
      </w:r>
      <w:r w:rsidR="00447534">
        <w:t>, Banque de France, mars 2011, P14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748" w:rsidRPr="00FF70BA" w:rsidRDefault="00FF70BA" w:rsidP="00FF70BA">
    <w:pPr>
      <w:pStyle w:val="En-tte"/>
      <w:rPr>
        <w:rFonts w:ascii="Monotype Corsiva" w:hAnsi="Monotype Corsiva"/>
        <w:b/>
        <w:bCs/>
        <w:sz w:val="28"/>
        <w:szCs w:val="28"/>
      </w:rPr>
    </w:pPr>
    <w:r>
      <w:tab/>
    </w:r>
    <w:sdt>
      <w:sdtPr>
        <w:id w:val="7896928"/>
        <w:docPartObj>
          <w:docPartGallery w:val="Page Numbers (Top of Page)"/>
          <w:docPartUnique/>
        </w:docPartObj>
      </w:sdtPr>
      <w:sdtContent>
        <w:r w:rsidR="009C5AC6">
          <w:rPr>
            <w:rFonts w:ascii="Monotype Corsiva" w:hAnsi="Monotype Corsiva"/>
            <w:b/>
            <w:bCs/>
            <w:noProof/>
            <w:sz w:val="28"/>
            <w:szCs w:val="28"/>
          </w:rPr>
          <w:pict>
            <v:shapetype id="_x0000_t32" coordsize="21600,21600" o:spt="32" o:oned="t" path="m,l21600,21600e" filled="f">
              <v:path arrowok="t" fillok="f" o:connecttype="none"/>
              <o:lock v:ext="edit" shapetype="t"/>
            </v:shapetype>
            <v:shape id="_x0000_s87041" type="#_x0000_t32" style="position:absolute;margin-left:4.55pt;margin-top:19.6pt;width:450.35pt;height:0;z-index:251658240;mso-position-horizontal-relative:text;mso-position-vertical-relative:text" o:connectortype="straight" strokecolor="black [3213]" strokeweight="2.25pt"/>
          </w:pict>
        </w:r>
        <w:r w:rsidR="00A44827">
          <w:rPr>
            <w:rFonts w:ascii="Monotype Corsiva" w:hAnsi="Monotype Corsiva"/>
            <w:b/>
            <w:bCs/>
            <w:sz w:val="28"/>
            <w:szCs w:val="28"/>
          </w:rPr>
          <w:t xml:space="preserve">Chapitre II: La réforme Solvency II                     </w:t>
        </w:r>
        <w:r>
          <w:rPr>
            <w:rFonts w:ascii="Monotype Corsiva" w:hAnsi="Monotype Corsiva"/>
            <w:b/>
            <w:bCs/>
            <w:sz w:val="28"/>
            <w:szCs w:val="28"/>
          </w:rPr>
          <w:t xml:space="preserve">                                                               </w:t>
        </w:r>
        <w:r w:rsidRPr="008C6D5D">
          <w:rPr>
            <w:rFonts w:ascii="Monotype Corsiva" w:hAnsi="Monotype Corsiva"/>
            <w:b/>
            <w:bCs/>
            <w:sz w:val="28"/>
            <w:szCs w:val="28"/>
          </w:rPr>
          <w:t xml:space="preserve"> </w:t>
        </w:r>
        <w:r w:rsidR="009C5AC6" w:rsidRPr="008C6D5D">
          <w:rPr>
            <w:rFonts w:ascii="Monotype Corsiva" w:hAnsi="Monotype Corsiva"/>
            <w:sz w:val="28"/>
            <w:szCs w:val="28"/>
          </w:rPr>
          <w:fldChar w:fldCharType="begin"/>
        </w:r>
        <w:r w:rsidRPr="008C6D5D">
          <w:rPr>
            <w:rFonts w:ascii="Monotype Corsiva" w:hAnsi="Monotype Corsiva"/>
            <w:sz w:val="28"/>
            <w:szCs w:val="28"/>
          </w:rPr>
          <w:instrText xml:space="preserve"> PAGE   \* MERGEFORMAT </w:instrText>
        </w:r>
        <w:r w:rsidR="009C5AC6" w:rsidRPr="008C6D5D">
          <w:rPr>
            <w:rFonts w:ascii="Monotype Corsiva" w:hAnsi="Monotype Corsiva"/>
            <w:sz w:val="28"/>
            <w:szCs w:val="28"/>
          </w:rPr>
          <w:fldChar w:fldCharType="separate"/>
        </w:r>
        <w:r w:rsidR="00B046F4">
          <w:rPr>
            <w:rFonts w:ascii="Monotype Corsiva" w:hAnsi="Monotype Corsiva"/>
            <w:noProof/>
            <w:sz w:val="28"/>
            <w:szCs w:val="28"/>
          </w:rPr>
          <w:t>54</w:t>
        </w:r>
        <w:r w:rsidR="009C5AC6" w:rsidRPr="008C6D5D">
          <w:rPr>
            <w:rFonts w:ascii="Monotype Corsiva" w:hAnsi="Monotype Corsiva"/>
            <w:sz w:val="28"/>
            <w:szCs w:val="28"/>
          </w:rPr>
          <w:fldChar w:fldCharType="end"/>
        </w:r>
      </w:sdtContent>
    </w:sdt>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9EF"/>
    <w:multiLevelType w:val="hybridMultilevel"/>
    <w:tmpl w:val="BF769886"/>
    <w:lvl w:ilvl="0" w:tplc="040C000B">
      <w:start w:val="1"/>
      <w:numFmt w:val="bullet"/>
      <w:lvlText w:val=""/>
      <w:lvlJc w:val="left"/>
      <w:pPr>
        <w:ind w:left="788" w:hanging="360"/>
      </w:pPr>
      <w:rPr>
        <w:rFonts w:ascii="Wingdings" w:hAnsi="Wingdings"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
    <w:nsid w:val="02F40222"/>
    <w:multiLevelType w:val="multilevel"/>
    <w:tmpl w:val="84DA1D78"/>
    <w:lvl w:ilvl="0">
      <w:start w:val="1"/>
      <w:numFmt w:val="decimal"/>
      <w:lvlText w:val="%1."/>
      <w:lvlJc w:val="left"/>
      <w:pPr>
        <w:ind w:left="450" w:hanging="450"/>
      </w:pPr>
      <w:rPr>
        <w:rFonts w:ascii="Times New Roman" w:eastAsia="Times New Roman" w:hAnsi="Times New Roman" w:cs="Times New Roman" w:hint="default"/>
        <w:b w:val="0"/>
        <w:sz w:val="28"/>
      </w:rPr>
    </w:lvl>
    <w:lvl w:ilvl="1">
      <w:start w:val="1"/>
      <w:numFmt w:val="decimal"/>
      <w:lvlText w:val="%1.%2."/>
      <w:lvlJc w:val="left"/>
      <w:pPr>
        <w:ind w:left="720" w:hanging="720"/>
      </w:pPr>
      <w:rPr>
        <w:rFonts w:ascii="Times New Roman" w:eastAsia="Times New Roman" w:hAnsi="Times New Roman" w:cs="Times New Roman" w:hint="default"/>
        <w:b/>
        <w:bCs w:val="0"/>
        <w:sz w:val="28"/>
      </w:rPr>
    </w:lvl>
    <w:lvl w:ilvl="2">
      <w:start w:val="1"/>
      <w:numFmt w:val="decimal"/>
      <w:lvlText w:val="%1.%2.%3."/>
      <w:lvlJc w:val="left"/>
      <w:pPr>
        <w:ind w:left="720" w:hanging="720"/>
      </w:pPr>
      <w:rPr>
        <w:rFonts w:ascii="Times New Roman" w:eastAsia="Times New Roman" w:hAnsi="Times New Roman" w:cs="Times New Roman" w:hint="default"/>
        <w:b/>
        <w:bCs w:val="0"/>
        <w:sz w:val="28"/>
      </w:rPr>
    </w:lvl>
    <w:lvl w:ilvl="3">
      <w:start w:val="1"/>
      <w:numFmt w:val="decimal"/>
      <w:lvlText w:val="%1.%2.%3.%4."/>
      <w:lvlJc w:val="left"/>
      <w:pPr>
        <w:ind w:left="1080" w:hanging="1080"/>
      </w:pPr>
      <w:rPr>
        <w:rFonts w:ascii="Times New Roman" w:eastAsia="Times New Roman" w:hAnsi="Times New Roman" w:cs="Times New Roman" w:hint="default"/>
        <w:b w:val="0"/>
        <w:sz w:val="28"/>
      </w:rPr>
    </w:lvl>
    <w:lvl w:ilvl="4">
      <w:start w:val="1"/>
      <w:numFmt w:val="decimal"/>
      <w:lvlText w:val="%1.%2.%3.%4.%5."/>
      <w:lvlJc w:val="left"/>
      <w:pPr>
        <w:ind w:left="1440" w:hanging="1440"/>
      </w:pPr>
      <w:rPr>
        <w:rFonts w:ascii="Times New Roman" w:eastAsia="Times New Roman" w:hAnsi="Times New Roman" w:cs="Times New Roman" w:hint="default"/>
        <w:b w:val="0"/>
        <w:sz w:val="28"/>
      </w:rPr>
    </w:lvl>
    <w:lvl w:ilvl="5">
      <w:start w:val="1"/>
      <w:numFmt w:val="decimal"/>
      <w:lvlText w:val="%1.%2.%3.%4.%5.%6."/>
      <w:lvlJc w:val="left"/>
      <w:pPr>
        <w:ind w:left="1440" w:hanging="1440"/>
      </w:pPr>
      <w:rPr>
        <w:rFonts w:ascii="Times New Roman" w:eastAsia="Times New Roman" w:hAnsi="Times New Roman" w:cs="Times New Roman" w:hint="default"/>
        <w:b w:val="0"/>
        <w:sz w:val="28"/>
      </w:rPr>
    </w:lvl>
    <w:lvl w:ilvl="6">
      <w:start w:val="1"/>
      <w:numFmt w:val="decimal"/>
      <w:lvlText w:val="%1.%2.%3.%4.%5.%6.%7."/>
      <w:lvlJc w:val="left"/>
      <w:pPr>
        <w:ind w:left="1800" w:hanging="1800"/>
      </w:pPr>
      <w:rPr>
        <w:rFonts w:ascii="Times New Roman" w:eastAsia="Times New Roman" w:hAnsi="Times New Roman" w:cs="Times New Roman" w:hint="default"/>
        <w:b w:val="0"/>
        <w:sz w:val="28"/>
      </w:rPr>
    </w:lvl>
    <w:lvl w:ilvl="7">
      <w:start w:val="1"/>
      <w:numFmt w:val="decimal"/>
      <w:lvlText w:val="%1.%2.%3.%4.%5.%6.%7.%8."/>
      <w:lvlJc w:val="left"/>
      <w:pPr>
        <w:ind w:left="2160" w:hanging="2160"/>
      </w:pPr>
      <w:rPr>
        <w:rFonts w:ascii="Times New Roman" w:eastAsia="Times New Roman" w:hAnsi="Times New Roman" w:cs="Times New Roman" w:hint="default"/>
        <w:b w:val="0"/>
        <w:sz w:val="28"/>
      </w:rPr>
    </w:lvl>
    <w:lvl w:ilvl="8">
      <w:start w:val="1"/>
      <w:numFmt w:val="decimal"/>
      <w:lvlText w:val="%1.%2.%3.%4.%5.%6.%7.%8.%9."/>
      <w:lvlJc w:val="left"/>
      <w:pPr>
        <w:ind w:left="2160" w:hanging="2160"/>
      </w:pPr>
      <w:rPr>
        <w:rFonts w:ascii="Times New Roman" w:eastAsia="Times New Roman" w:hAnsi="Times New Roman" w:cs="Times New Roman" w:hint="default"/>
        <w:b w:val="0"/>
        <w:sz w:val="28"/>
      </w:rPr>
    </w:lvl>
  </w:abstractNum>
  <w:abstractNum w:abstractNumId="2">
    <w:nsid w:val="20AA45DF"/>
    <w:multiLevelType w:val="hybridMultilevel"/>
    <w:tmpl w:val="03006580"/>
    <w:lvl w:ilvl="0" w:tplc="5082F49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021FCE"/>
    <w:multiLevelType w:val="multilevel"/>
    <w:tmpl w:val="A6848F4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48C3BD3"/>
    <w:multiLevelType w:val="hybridMultilevel"/>
    <w:tmpl w:val="AB349696"/>
    <w:lvl w:ilvl="0" w:tplc="040C000B">
      <w:start w:val="1"/>
      <w:numFmt w:val="bullet"/>
      <w:lvlText w:val=""/>
      <w:lvlJc w:val="left"/>
      <w:pPr>
        <w:ind w:left="788" w:hanging="360"/>
      </w:pPr>
      <w:rPr>
        <w:rFonts w:ascii="Wingdings" w:hAnsi="Wingdings"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5">
    <w:nsid w:val="24A2179B"/>
    <w:multiLevelType w:val="multilevel"/>
    <w:tmpl w:val="B71AD28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03146B"/>
    <w:multiLevelType w:val="multilevel"/>
    <w:tmpl w:val="027C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3D3C63"/>
    <w:multiLevelType w:val="hybridMultilevel"/>
    <w:tmpl w:val="E352479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4CFB7C22"/>
    <w:multiLevelType w:val="hybridMultilevel"/>
    <w:tmpl w:val="0E28934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3A51516"/>
    <w:multiLevelType w:val="hybridMultilevel"/>
    <w:tmpl w:val="0C241F1A"/>
    <w:lvl w:ilvl="0" w:tplc="24EAA434">
      <w:start w:val="1"/>
      <w:numFmt w:val="bullet"/>
      <w:lvlText w:val="-"/>
      <w:lvlJc w:val="left"/>
      <w:pPr>
        <w:ind w:left="720" w:hanging="360"/>
      </w:pPr>
      <w:rPr>
        <w:rFonts w:ascii="TimesNewRoman" w:eastAsiaTheme="minorEastAsia" w:hAnsi="TimesNewRoman" w:cs="TimesNew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E742DF"/>
    <w:multiLevelType w:val="hybridMultilevel"/>
    <w:tmpl w:val="5D96AA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290722B"/>
    <w:multiLevelType w:val="hybridMultilevel"/>
    <w:tmpl w:val="4F8AC67C"/>
    <w:lvl w:ilvl="0" w:tplc="76229B68">
      <w:start w:val="6"/>
      <w:numFmt w:val="bullet"/>
      <w:lvlText w:val="-"/>
      <w:lvlJc w:val="left"/>
      <w:pPr>
        <w:ind w:left="720" w:hanging="360"/>
      </w:pPr>
      <w:rPr>
        <w:rFonts w:ascii="Times New Roman" w:eastAsia="Times New Roman" w:hAnsi="Times New Roman" w:cs="Times New Roman" w:hint="default"/>
      </w:rPr>
    </w:lvl>
    <w:lvl w:ilvl="1" w:tplc="F642F810">
      <w:numFmt w:val="bullet"/>
      <w:lvlText w:val="•"/>
      <w:lvlJc w:val="left"/>
      <w:pPr>
        <w:ind w:left="1440" w:hanging="360"/>
      </w:pPr>
      <w:rPr>
        <w:rFonts w:ascii="Times New Roman" w:eastAsiaTheme="minorEastAsia" w:hAnsi="Times New Roman" w:cs="Times New Roman" w:hint="default"/>
        <w:color w:val="713B3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520425E"/>
    <w:multiLevelType w:val="hybridMultilevel"/>
    <w:tmpl w:val="9FDC2EF8"/>
    <w:lvl w:ilvl="0" w:tplc="040C000B">
      <w:start w:val="1"/>
      <w:numFmt w:val="bullet"/>
      <w:lvlText w:val=""/>
      <w:lvlJc w:val="left"/>
      <w:pPr>
        <w:ind w:left="1426" w:hanging="360"/>
      </w:pPr>
      <w:rPr>
        <w:rFonts w:ascii="Wingdings" w:hAnsi="Wingdings"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3">
    <w:nsid w:val="6F1F5A81"/>
    <w:multiLevelType w:val="hybridMultilevel"/>
    <w:tmpl w:val="E572D6EA"/>
    <w:lvl w:ilvl="0" w:tplc="F17AA0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0E00E15"/>
    <w:multiLevelType w:val="hybridMultilevel"/>
    <w:tmpl w:val="C8ECAB68"/>
    <w:lvl w:ilvl="0" w:tplc="040C000B">
      <w:start w:val="1"/>
      <w:numFmt w:val="bullet"/>
      <w:lvlText w:val=""/>
      <w:lvlJc w:val="left"/>
      <w:pPr>
        <w:ind w:left="761" w:hanging="360"/>
      </w:pPr>
      <w:rPr>
        <w:rFonts w:ascii="Wingdings" w:hAnsi="Wingdings"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num w:numId="1">
    <w:abstractNumId w:val="1"/>
  </w:num>
  <w:num w:numId="2">
    <w:abstractNumId w:val="10"/>
  </w:num>
  <w:num w:numId="3">
    <w:abstractNumId w:val="6"/>
  </w:num>
  <w:num w:numId="4">
    <w:abstractNumId w:val="9"/>
  </w:num>
  <w:num w:numId="5">
    <w:abstractNumId w:val="11"/>
  </w:num>
  <w:num w:numId="6">
    <w:abstractNumId w:val="13"/>
  </w:num>
  <w:num w:numId="7">
    <w:abstractNumId w:val="8"/>
  </w:num>
  <w:num w:numId="8">
    <w:abstractNumId w:val="12"/>
  </w:num>
  <w:num w:numId="9">
    <w:abstractNumId w:val="0"/>
  </w:num>
  <w:num w:numId="10">
    <w:abstractNumId w:val="4"/>
  </w:num>
  <w:num w:numId="11">
    <w:abstractNumId w:val="14"/>
  </w:num>
  <w:num w:numId="12">
    <w:abstractNumId w:val="3"/>
  </w:num>
  <w:num w:numId="13">
    <w:abstractNumId w:val="5"/>
  </w:num>
  <w:num w:numId="14">
    <w:abstractNumId w:val="7"/>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47458"/>
    <o:shapelayout v:ext="edit">
      <o:idmap v:ext="edit" data="85"/>
      <o:rules v:ext="edit">
        <o:r id="V:Rule2" type="connector" idref="#_x0000_s87041"/>
      </o:rules>
    </o:shapelayout>
  </w:hdrShapeDefaults>
  <w:footnotePr>
    <w:numRestart w:val="eachPage"/>
    <w:footnote w:id="0"/>
    <w:footnote w:id="1"/>
  </w:footnotePr>
  <w:endnotePr>
    <w:endnote w:id="0"/>
    <w:endnote w:id="1"/>
  </w:endnotePr>
  <w:compat>
    <w:useFELayout/>
  </w:compat>
  <w:rsids>
    <w:rsidRoot w:val="00426EA0"/>
    <w:rsid w:val="00010E83"/>
    <w:rsid w:val="00022048"/>
    <w:rsid w:val="00023B0C"/>
    <w:rsid w:val="000247D4"/>
    <w:rsid w:val="00026A14"/>
    <w:rsid w:val="00026F5E"/>
    <w:rsid w:val="00027415"/>
    <w:rsid w:val="0003055E"/>
    <w:rsid w:val="000523AC"/>
    <w:rsid w:val="000603A0"/>
    <w:rsid w:val="000615FB"/>
    <w:rsid w:val="00063195"/>
    <w:rsid w:val="0006342A"/>
    <w:rsid w:val="000670DA"/>
    <w:rsid w:val="00067887"/>
    <w:rsid w:val="00076136"/>
    <w:rsid w:val="000772C9"/>
    <w:rsid w:val="000A1A02"/>
    <w:rsid w:val="000B0417"/>
    <w:rsid w:val="000B4AF1"/>
    <w:rsid w:val="000B5D03"/>
    <w:rsid w:val="000C214D"/>
    <w:rsid w:val="000C6683"/>
    <w:rsid w:val="000D751D"/>
    <w:rsid w:val="000E3DAB"/>
    <w:rsid w:val="0010306E"/>
    <w:rsid w:val="0012316D"/>
    <w:rsid w:val="00124351"/>
    <w:rsid w:val="0013154F"/>
    <w:rsid w:val="00131FF6"/>
    <w:rsid w:val="00134159"/>
    <w:rsid w:val="0014645D"/>
    <w:rsid w:val="00161D6F"/>
    <w:rsid w:val="00163F36"/>
    <w:rsid w:val="0018246E"/>
    <w:rsid w:val="00184606"/>
    <w:rsid w:val="00185963"/>
    <w:rsid w:val="001948A5"/>
    <w:rsid w:val="001B1260"/>
    <w:rsid w:val="001B2203"/>
    <w:rsid w:val="001B3296"/>
    <w:rsid w:val="001C0768"/>
    <w:rsid w:val="001C3273"/>
    <w:rsid w:val="001D4C4B"/>
    <w:rsid w:val="001D6D44"/>
    <w:rsid w:val="001D725D"/>
    <w:rsid w:val="001E290C"/>
    <w:rsid w:val="001E4AB4"/>
    <w:rsid w:val="001F5D81"/>
    <w:rsid w:val="00207A40"/>
    <w:rsid w:val="00207BE6"/>
    <w:rsid w:val="00207C4A"/>
    <w:rsid w:val="00210CE6"/>
    <w:rsid w:val="00214A74"/>
    <w:rsid w:val="00214BAD"/>
    <w:rsid w:val="00235F82"/>
    <w:rsid w:val="0024315C"/>
    <w:rsid w:val="00246F0A"/>
    <w:rsid w:val="00261543"/>
    <w:rsid w:val="00273578"/>
    <w:rsid w:val="002A239B"/>
    <w:rsid w:val="002B0DDA"/>
    <w:rsid w:val="002B28FB"/>
    <w:rsid w:val="002B5820"/>
    <w:rsid w:val="002C0CF4"/>
    <w:rsid w:val="002C3025"/>
    <w:rsid w:val="002C6A7E"/>
    <w:rsid w:val="002D044F"/>
    <w:rsid w:val="002D33AA"/>
    <w:rsid w:val="002E14D9"/>
    <w:rsid w:val="002E1747"/>
    <w:rsid w:val="002F36E5"/>
    <w:rsid w:val="002F605B"/>
    <w:rsid w:val="003010CC"/>
    <w:rsid w:val="00305C94"/>
    <w:rsid w:val="003072EC"/>
    <w:rsid w:val="00316E80"/>
    <w:rsid w:val="00316F98"/>
    <w:rsid w:val="003219B8"/>
    <w:rsid w:val="003237FF"/>
    <w:rsid w:val="003254E0"/>
    <w:rsid w:val="00333483"/>
    <w:rsid w:val="00334E99"/>
    <w:rsid w:val="003379CA"/>
    <w:rsid w:val="00340C6E"/>
    <w:rsid w:val="003519F8"/>
    <w:rsid w:val="0037538B"/>
    <w:rsid w:val="0037657B"/>
    <w:rsid w:val="00377966"/>
    <w:rsid w:val="00386D2F"/>
    <w:rsid w:val="00391081"/>
    <w:rsid w:val="003A3DBB"/>
    <w:rsid w:val="003A6B01"/>
    <w:rsid w:val="003A7AD7"/>
    <w:rsid w:val="003B42E1"/>
    <w:rsid w:val="003B78E6"/>
    <w:rsid w:val="003B7D8C"/>
    <w:rsid w:val="003C55BC"/>
    <w:rsid w:val="003E138C"/>
    <w:rsid w:val="003E46A3"/>
    <w:rsid w:val="0040266F"/>
    <w:rsid w:val="0040480B"/>
    <w:rsid w:val="00406510"/>
    <w:rsid w:val="00410B8D"/>
    <w:rsid w:val="00415AB7"/>
    <w:rsid w:val="00426EA0"/>
    <w:rsid w:val="00430404"/>
    <w:rsid w:val="00433E41"/>
    <w:rsid w:val="00447534"/>
    <w:rsid w:val="004476BC"/>
    <w:rsid w:val="00452920"/>
    <w:rsid w:val="00453827"/>
    <w:rsid w:val="00453B5D"/>
    <w:rsid w:val="00454551"/>
    <w:rsid w:val="00461520"/>
    <w:rsid w:val="00464048"/>
    <w:rsid w:val="004735EE"/>
    <w:rsid w:val="0047437A"/>
    <w:rsid w:val="00490B28"/>
    <w:rsid w:val="004955EF"/>
    <w:rsid w:val="0049690F"/>
    <w:rsid w:val="00496ADC"/>
    <w:rsid w:val="004A4780"/>
    <w:rsid w:val="004B336E"/>
    <w:rsid w:val="004C2EA2"/>
    <w:rsid w:val="004C5DA3"/>
    <w:rsid w:val="004D29BE"/>
    <w:rsid w:val="004D2D48"/>
    <w:rsid w:val="004D53DE"/>
    <w:rsid w:val="004D6782"/>
    <w:rsid w:val="004E6D10"/>
    <w:rsid w:val="004E7D34"/>
    <w:rsid w:val="004F6FB8"/>
    <w:rsid w:val="0051036F"/>
    <w:rsid w:val="0051470F"/>
    <w:rsid w:val="00516CA0"/>
    <w:rsid w:val="00522428"/>
    <w:rsid w:val="00523D2A"/>
    <w:rsid w:val="00523E97"/>
    <w:rsid w:val="00525538"/>
    <w:rsid w:val="00526FDD"/>
    <w:rsid w:val="00532896"/>
    <w:rsid w:val="005359D8"/>
    <w:rsid w:val="005456F4"/>
    <w:rsid w:val="00552D73"/>
    <w:rsid w:val="00554633"/>
    <w:rsid w:val="005724E5"/>
    <w:rsid w:val="00572508"/>
    <w:rsid w:val="005807BD"/>
    <w:rsid w:val="00581561"/>
    <w:rsid w:val="005A31F5"/>
    <w:rsid w:val="005C2A04"/>
    <w:rsid w:val="005C65B4"/>
    <w:rsid w:val="005D0424"/>
    <w:rsid w:val="005D3A8E"/>
    <w:rsid w:val="005D718D"/>
    <w:rsid w:val="006151FC"/>
    <w:rsid w:val="006165AD"/>
    <w:rsid w:val="006356AC"/>
    <w:rsid w:val="00636881"/>
    <w:rsid w:val="006452C1"/>
    <w:rsid w:val="0064707C"/>
    <w:rsid w:val="00676BC7"/>
    <w:rsid w:val="00686F46"/>
    <w:rsid w:val="00687FF2"/>
    <w:rsid w:val="0069034C"/>
    <w:rsid w:val="0069144B"/>
    <w:rsid w:val="00693A5C"/>
    <w:rsid w:val="00694DA4"/>
    <w:rsid w:val="006A4A1B"/>
    <w:rsid w:val="006A6AE4"/>
    <w:rsid w:val="006B0558"/>
    <w:rsid w:val="006B08AD"/>
    <w:rsid w:val="006B1EAE"/>
    <w:rsid w:val="006B6B7F"/>
    <w:rsid w:val="006D2389"/>
    <w:rsid w:val="006D6B9D"/>
    <w:rsid w:val="006E10AE"/>
    <w:rsid w:val="006E332C"/>
    <w:rsid w:val="006E36BC"/>
    <w:rsid w:val="006E67DA"/>
    <w:rsid w:val="00707010"/>
    <w:rsid w:val="00707F86"/>
    <w:rsid w:val="00715CEE"/>
    <w:rsid w:val="00725BD8"/>
    <w:rsid w:val="00734406"/>
    <w:rsid w:val="00737C7F"/>
    <w:rsid w:val="0074581C"/>
    <w:rsid w:val="007509F8"/>
    <w:rsid w:val="00774B6A"/>
    <w:rsid w:val="00774F7F"/>
    <w:rsid w:val="007754B2"/>
    <w:rsid w:val="00781CEA"/>
    <w:rsid w:val="00782976"/>
    <w:rsid w:val="00784627"/>
    <w:rsid w:val="007A08EC"/>
    <w:rsid w:val="007A6E1B"/>
    <w:rsid w:val="007B72FF"/>
    <w:rsid w:val="007C61A3"/>
    <w:rsid w:val="007C6A14"/>
    <w:rsid w:val="007D1327"/>
    <w:rsid w:val="007D1EC1"/>
    <w:rsid w:val="007D429C"/>
    <w:rsid w:val="007D6BC1"/>
    <w:rsid w:val="007E48AE"/>
    <w:rsid w:val="007E710A"/>
    <w:rsid w:val="007F397A"/>
    <w:rsid w:val="007F5872"/>
    <w:rsid w:val="0080608A"/>
    <w:rsid w:val="00810FD6"/>
    <w:rsid w:val="00823F0E"/>
    <w:rsid w:val="00823F2D"/>
    <w:rsid w:val="0082564D"/>
    <w:rsid w:val="00832643"/>
    <w:rsid w:val="00835696"/>
    <w:rsid w:val="00852922"/>
    <w:rsid w:val="0085595A"/>
    <w:rsid w:val="00861FCC"/>
    <w:rsid w:val="00864BE0"/>
    <w:rsid w:val="00870BA1"/>
    <w:rsid w:val="0089023D"/>
    <w:rsid w:val="00893AA9"/>
    <w:rsid w:val="00894F21"/>
    <w:rsid w:val="0089538F"/>
    <w:rsid w:val="008A36C0"/>
    <w:rsid w:val="008B70D0"/>
    <w:rsid w:val="008C103E"/>
    <w:rsid w:val="008C271C"/>
    <w:rsid w:val="008C3D1D"/>
    <w:rsid w:val="008C44BE"/>
    <w:rsid w:val="008C5AE7"/>
    <w:rsid w:val="008D60BA"/>
    <w:rsid w:val="008D674D"/>
    <w:rsid w:val="008E2380"/>
    <w:rsid w:val="008F38F6"/>
    <w:rsid w:val="00906CE2"/>
    <w:rsid w:val="009153A6"/>
    <w:rsid w:val="00927C3E"/>
    <w:rsid w:val="00931155"/>
    <w:rsid w:val="00936D8D"/>
    <w:rsid w:val="00936F0D"/>
    <w:rsid w:val="0093716D"/>
    <w:rsid w:val="0093745E"/>
    <w:rsid w:val="009427D7"/>
    <w:rsid w:val="009446CD"/>
    <w:rsid w:val="009479D1"/>
    <w:rsid w:val="00954735"/>
    <w:rsid w:val="00955064"/>
    <w:rsid w:val="00960435"/>
    <w:rsid w:val="00962EC7"/>
    <w:rsid w:val="00980712"/>
    <w:rsid w:val="0098473E"/>
    <w:rsid w:val="00990265"/>
    <w:rsid w:val="009909D6"/>
    <w:rsid w:val="009A09C5"/>
    <w:rsid w:val="009A2FB9"/>
    <w:rsid w:val="009A407B"/>
    <w:rsid w:val="009A5C90"/>
    <w:rsid w:val="009B0532"/>
    <w:rsid w:val="009B7402"/>
    <w:rsid w:val="009C5AC6"/>
    <w:rsid w:val="009E189D"/>
    <w:rsid w:val="009E31C8"/>
    <w:rsid w:val="009E42FD"/>
    <w:rsid w:val="009F42DF"/>
    <w:rsid w:val="009F7572"/>
    <w:rsid w:val="00A17E9B"/>
    <w:rsid w:val="00A201B4"/>
    <w:rsid w:val="00A27BC9"/>
    <w:rsid w:val="00A312C5"/>
    <w:rsid w:val="00A31B60"/>
    <w:rsid w:val="00A35ED1"/>
    <w:rsid w:val="00A37B53"/>
    <w:rsid w:val="00A44827"/>
    <w:rsid w:val="00A449A0"/>
    <w:rsid w:val="00A46AE8"/>
    <w:rsid w:val="00A60454"/>
    <w:rsid w:val="00A61B1E"/>
    <w:rsid w:val="00A61B98"/>
    <w:rsid w:val="00A63112"/>
    <w:rsid w:val="00A71AD1"/>
    <w:rsid w:val="00A812D8"/>
    <w:rsid w:val="00A82A43"/>
    <w:rsid w:val="00A83524"/>
    <w:rsid w:val="00AA22C8"/>
    <w:rsid w:val="00AB15E7"/>
    <w:rsid w:val="00AC59C0"/>
    <w:rsid w:val="00AD0D9F"/>
    <w:rsid w:val="00AD446D"/>
    <w:rsid w:val="00AD5674"/>
    <w:rsid w:val="00AE70D8"/>
    <w:rsid w:val="00AF4B07"/>
    <w:rsid w:val="00B0142D"/>
    <w:rsid w:val="00B024D9"/>
    <w:rsid w:val="00B046F4"/>
    <w:rsid w:val="00B04AF8"/>
    <w:rsid w:val="00B20C63"/>
    <w:rsid w:val="00B235F9"/>
    <w:rsid w:val="00B33F68"/>
    <w:rsid w:val="00B36A78"/>
    <w:rsid w:val="00B46975"/>
    <w:rsid w:val="00B477DF"/>
    <w:rsid w:val="00B63CD9"/>
    <w:rsid w:val="00B65CC5"/>
    <w:rsid w:val="00B70902"/>
    <w:rsid w:val="00B71595"/>
    <w:rsid w:val="00B7421B"/>
    <w:rsid w:val="00B80CED"/>
    <w:rsid w:val="00B94DB8"/>
    <w:rsid w:val="00BA2594"/>
    <w:rsid w:val="00BB17AA"/>
    <w:rsid w:val="00BB5340"/>
    <w:rsid w:val="00BD48D6"/>
    <w:rsid w:val="00BE5D5F"/>
    <w:rsid w:val="00BF0695"/>
    <w:rsid w:val="00BF3ECA"/>
    <w:rsid w:val="00BF7942"/>
    <w:rsid w:val="00C05830"/>
    <w:rsid w:val="00C10FF6"/>
    <w:rsid w:val="00C1464F"/>
    <w:rsid w:val="00C27435"/>
    <w:rsid w:val="00C3630D"/>
    <w:rsid w:val="00C4510E"/>
    <w:rsid w:val="00C4631B"/>
    <w:rsid w:val="00C51DD3"/>
    <w:rsid w:val="00C56B02"/>
    <w:rsid w:val="00C57466"/>
    <w:rsid w:val="00C57BF8"/>
    <w:rsid w:val="00C77EC1"/>
    <w:rsid w:val="00C802A8"/>
    <w:rsid w:val="00C8320A"/>
    <w:rsid w:val="00C8380A"/>
    <w:rsid w:val="00CA16F1"/>
    <w:rsid w:val="00CB1888"/>
    <w:rsid w:val="00CB58DA"/>
    <w:rsid w:val="00CB7283"/>
    <w:rsid w:val="00CC303D"/>
    <w:rsid w:val="00CC43FE"/>
    <w:rsid w:val="00CD3074"/>
    <w:rsid w:val="00CD3955"/>
    <w:rsid w:val="00CE2BD8"/>
    <w:rsid w:val="00CE314B"/>
    <w:rsid w:val="00CE44EA"/>
    <w:rsid w:val="00D059FF"/>
    <w:rsid w:val="00D070F1"/>
    <w:rsid w:val="00D20EE6"/>
    <w:rsid w:val="00D37DDF"/>
    <w:rsid w:val="00D51081"/>
    <w:rsid w:val="00D63727"/>
    <w:rsid w:val="00D64EFE"/>
    <w:rsid w:val="00D6680E"/>
    <w:rsid w:val="00D71BCA"/>
    <w:rsid w:val="00D92688"/>
    <w:rsid w:val="00DA5B14"/>
    <w:rsid w:val="00DC1B04"/>
    <w:rsid w:val="00DE7A0F"/>
    <w:rsid w:val="00DF2CA4"/>
    <w:rsid w:val="00DF4240"/>
    <w:rsid w:val="00DF44B1"/>
    <w:rsid w:val="00E027EF"/>
    <w:rsid w:val="00E065ED"/>
    <w:rsid w:val="00E10A08"/>
    <w:rsid w:val="00E12BF1"/>
    <w:rsid w:val="00E20F93"/>
    <w:rsid w:val="00E21183"/>
    <w:rsid w:val="00E24BA4"/>
    <w:rsid w:val="00E24BF4"/>
    <w:rsid w:val="00E253ED"/>
    <w:rsid w:val="00E32748"/>
    <w:rsid w:val="00E34E01"/>
    <w:rsid w:val="00E46B4B"/>
    <w:rsid w:val="00E53C7F"/>
    <w:rsid w:val="00E555DE"/>
    <w:rsid w:val="00E578F2"/>
    <w:rsid w:val="00E601BA"/>
    <w:rsid w:val="00E66788"/>
    <w:rsid w:val="00E744B5"/>
    <w:rsid w:val="00E84482"/>
    <w:rsid w:val="00EB4FD8"/>
    <w:rsid w:val="00ED6A9C"/>
    <w:rsid w:val="00EE2615"/>
    <w:rsid w:val="00EF1183"/>
    <w:rsid w:val="00EF35C2"/>
    <w:rsid w:val="00F022C7"/>
    <w:rsid w:val="00F02ACD"/>
    <w:rsid w:val="00F13BC8"/>
    <w:rsid w:val="00F32EF0"/>
    <w:rsid w:val="00F35B35"/>
    <w:rsid w:val="00F364A1"/>
    <w:rsid w:val="00F370E7"/>
    <w:rsid w:val="00F37D2C"/>
    <w:rsid w:val="00F478BB"/>
    <w:rsid w:val="00F5313B"/>
    <w:rsid w:val="00F624AA"/>
    <w:rsid w:val="00F72708"/>
    <w:rsid w:val="00F80307"/>
    <w:rsid w:val="00F926BA"/>
    <w:rsid w:val="00F94157"/>
    <w:rsid w:val="00F977EF"/>
    <w:rsid w:val="00F97BAA"/>
    <w:rsid w:val="00FA3680"/>
    <w:rsid w:val="00FA7DFB"/>
    <w:rsid w:val="00FB1BCF"/>
    <w:rsid w:val="00FB2EFD"/>
    <w:rsid w:val="00FB52AE"/>
    <w:rsid w:val="00FC176E"/>
    <w:rsid w:val="00FC1E11"/>
    <w:rsid w:val="00FD4D68"/>
    <w:rsid w:val="00FE6463"/>
    <w:rsid w:val="00FF70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rules v:ext="edit">
        <o:r id="V:Rule2" type="connector" idref="#_x0000_s1068"/>
      </o:rules>
      <o:regrouptable v:ext="edit">
        <o:entry new="1" old="0"/>
        <o:entry new="2" old="0"/>
        <o:entry new="3" old="0"/>
        <o:entry new="4" old="0"/>
        <o:entry new="5" old="4"/>
        <o:entry new="6" old="5"/>
        <o:entry new="7" old="4"/>
        <o:entry new="8" old="7"/>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E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6EA0"/>
    <w:pPr>
      <w:ind w:left="720"/>
      <w:contextualSpacing/>
    </w:pPr>
  </w:style>
  <w:style w:type="paragraph" w:styleId="Notedebasdepage">
    <w:name w:val="footnote text"/>
    <w:basedOn w:val="Normal"/>
    <w:link w:val="NotedebasdepageCar"/>
    <w:uiPriority w:val="99"/>
    <w:semiHidden/>
    <w:unhideWhenUsed/>
    <w:rsid w:val="0098473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8473E"/>
    <w:rPr>
      <w:sz w:val="20"/>
      <w:szCs w:val="20"/>
    </w:rPr>
  </w:style>
  <w:style w:type="character" w:styleId="Appelnotedebasdep">
    <w:name w:val="footnote reference"/>
    <w:basedOn w:val="Policepardfaut"/>
    <w:uiPriority w:val="99"/>
    <w:semiHidden/>
    <w:unhideWhenUsed/>
    <w:rsid w:val="0098473E"/>
    <w:rPr>
      <w:vertAlign w:val="superscript"/>
    </w:rPr>
  </w:style>
  <w:style w:type="character" w:customStyle="1" w:styleId="lettrine">
    <w:name w:val="lettrine"/>
    <w:basedOn w:val="Policepardfaut"/>
    <w:rsid w:val="006D6B9D"/>
  </w:style>
  <w:style w:type="paragraph" w:customStyle="1" w:styleId="Institutionquisigne">
    <w:name w:val="Institution qui signe"/>
    <w:basedOn w:val="Normal"/>
    <w:next w:val="Normal"/>
    <w:rsid w:val="00A83524"/>
    <w:pPr>
      <w:keepNext/>
      <w:tabs>
        <w:tab w:val="left" w:pos="4252"/>
      </w:tabs>
      <w:spacing w:before="720" w:after="0" w:line="240" w:lineRule="auto"/>
      <w:jc w:val="both"/>
    </w:pPr>
    <w:rPr>
      <w:rFonts w:ascii="Times New Roman" w:eastAsia="Times New Roman" w:hAnsi="Times New Roman" w:cs="Times New Roman"/>
      <w:i/>
      <w:sz w:val="24"/>
      <w:szCs w:val="24"/>
      <w:lang w:eastAsia="en-US"/>
    </w:rPr>
  </w:style>
  <w:style w:type="character" w:styleId="Lienhypertexte">
    <w:name w:val="Hyperlink"/>
    <w:basedOn w:val="Policepardfaut"/>
    <w:rsid w:val="00A83524"/>
    <w:rPr>
      <w:color w:val="0000FF"/>
      <w:u w:val="single"/>
    </w:rPr>
  </w:style>
  <w:style w:type="character" w:customStyle="1" w:styleId="orange">
    <w:name w:val="orange"/>
    <w:basedOn w:val="Policepardfaut"/>
    <w:rsid w:val="00A83524"/>
  </w:style>
  <w:style w:type="paragraph" w:styleId="NormalWeb">
    <w:name w:val="Normal (Web)"/>
    <w:basedOn w:val="Normal"/>
    <w:uiPriority w:val="99"/>
    <w:semiHidden/>
    <w:unhideWhenUsed/>
    <w:rsid w:val="00A61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ndidats">
    <w:name w:val="candidats"/>
    <w:basedOn w:val="Policepardfaut"/>
    <w:rsid w:val="00A61B1E"/>
  </w:style>
  <w:style w:type="paragraph" w:styleId="En-tte">
    <w:name w:val="header"/>
    <w:basedOn w:val="Normal"/>
    <w:link w:val="En-tteCar"/>
    <w:uiPriority w:val="99"/>
    <w:unhideWhenUsed/>
    <w:rsid w:val="00F022C7"/>
    <w:pPr>
      <w:tabs>
        <w:tab w:val="center" w:pos="4536"/>
        <w:tab w:val="right" w:pos="9072"/>
      </w:tabs>
      <w:spacing w:after="0" w:line="240" w:lineRule="auto"/>
    </w:pPr>
  </w:style>
  <w:style w:type="character" w:customStyle="1" w:styleId="En-tteCar">
    <w:name w:val="En-tête Car"/>
    <w:basedOn w:val="Policepardfaut"/>
    <w:link w:val="En-tte"/>
    <w:uiPriority w:val="99"/>
    <w:rsid w:val="00F022C7"/>
  </w:style>
  <w:style w:type="paragraph" w:styleId="Pieddepage">
    <w:name w:val="footer"/>
    <w:basedOn w:val="Normal"/>
    <w:link w:val="PieddepageCar"/>
    <w:uiPriority w:val="99"/>
    <w:semiHidden/>
    <w:unhideWhenUsed/>
    <w:rsid w:val="00F022C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022C7"/>
  </w:style>
  <w:style w:type="paragraph" w:customStyle="1" w:styleId="Default">
    <w:name w:val="Default"/>
    <w:rsid w:val="000B5D03"/>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4B33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336E"/>
    <w:rPr>
      <w:rFonts w:ascii="Tahoma" w:hAnsi="Tahoma" w:cs="Tahoma"/>
      <w:sz w:val="16"/>
      <w:szCs w:val="16"/>
    </w:rPr>
  </w:style>
  <w:style w:type="table" w:styleId="Grilledutableau">
    <w:name w:val="Table Grid"/>
    <w:basedOn w:val="TableauNormal"/>
    <w:uiPriority w:val="59"/>
    <w:rsid w:val="00BF79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llemoyenne1-Accent4">
    <w:name w:val="Medium Grid 1 Accent 4"/>
    <w:basedOn w:val="TableauNormal"/>
    <w:uiPriority w:val="67"/>
    <w:rsid w:val="00BF794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NP">
    <w:name w:val="NP"/>
    <w:basedOn w:val="Default"/>
    <w:next w:val="Default"/>
    <w:uiPriority w:val="99"/>
    <w:rsid w:val="0089023D"/>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203293598">
      <w:bodyDiv w:val="1"/>
      <w:marLeft w:val="0"/>
      <w:marRight w:val="0"/>
      <w:marTop w:val="0"/>
      <w:marBottom w:val="0"/>
      <w:divBdr>
        <w:top w:val="none" w:sz="0" w:space="0" w:color="auto"/>
        <w:left w:val="none" w:sz="0" w:space="0" w:color="auto"/>
        <w:bottom w:val="none" w:sz="0" w:space="0" w:color="auto"/>
        <w:right w:val="none" w:sz="0" w:space="0" w:color="auto"/>
      </w:divBdr>
    </w:div>
    <w:div w:id="1303342738">
      <w:bodyDiv w:val="1"/>
      <w:marLeft w:val="0"/>
      <w:marRight w:val="0"/>
      <w:marTop w:val="0"/>
      <w:marBottom w:val="0"/>
      <w:divBdr>
        <w:top w:val="none" w:sz="0" w:space="0" w:color="auto"/>
        <w:left w:val="none" w:sz="0" w:space="0" w:color="auto"/>
        <w:bottom w:val="none" w:sz="0" w:space="0" w:color="auto"/>
        <w:right w:val="none" w:sz="0" w:space="0" w:color="auto"/>
      </w:divBdr>
    </w:div>
    <w:div w:id="192043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Fonds_propres" TargetMode="External"/><Relationship Id="rId13" Type="http://schemas.openxmlformats.org/officeDocument/2006/relationships/hyperlink" Target="http://www.actuaire-search.fr" TargetMode="External"/><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CEF2C-6409-4AFF-ADA8-70F2039A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5761</TotalTime>
  <Pages>1</Pages>
  <Words>5734</Words>
  <Characters>31541</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qlubicwin7</Company>
  <LinksUpToDate>false</LinksUpToDate>
  <CharactersWithSpaces>37201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qlubic7</dc:creator>
  <cp:lastModifiedBy>qlubic7</cp:lastModifiedBy>
  <cp:revision>69</cp:revision>
  <cp:lastPrinted>2013-04-28T18:07:00Z</cp:lastPrinted>
  <dcterms:created xsi:type="dcterms:W3CDTF">2012-07-03T10:00:00Z</dcterms:created>
  <dcterms:modified xsi:type="dcterms:W3CDTF">2014-02-16T18:25:00Z</dcterms:modified>
</cp:coreProperties>
</file>