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EDB" w:rsidRDefault="00E66A8D" w:rsidP="00204CD8">
      <w:pPr>
        <w:spacing w:line="360" w:lineRule="auto"/>
        <w:jc w:val="both"/>
        <w:rPr>
          <w:rFonts w:asciiTheme="majorBidi" w:hAnsiTheme="majorBidi" w:cstheme="majorBidi"/>
          <w:b/>
          <w:bCs/>
          <w:sz w:val="32"/>
          <w:szCs w:val="32"/>
        </w:rPr>
      </w:pPr>
      <w:r>
        <w:rPr>
          <w:rFonts w:asciiTheme="majorBidi" w:hAnsiTheme="majorBidi" w:cstheme="majorBidi"/>
          <w:b/>
          <w:bCs/>
          <w:sz w:val="32"/>
          <w:szCs w:val="32"/>
        </w:rPr>
        <w:t>CHAPITRE II</w:t>
      </w:r>
      <w:r w:rsidR="00285845" w:rsidRPr="00285845">
        <w:rPr>
          <w:rFonts w:asciiTheme="majorBidi" w:hAnsiTheme="majorBidi" w:cstheme="majorBidi"/>
          <w:b/>
          <w:bCs/>
          <w:sz w:val="32"/>
          <w:szCs w:val="32"/>
        </w:rPr>
        <w:t xml:space="preserve"> : </w:t>
      </w:r>
      <w:r w:rsidR="005E3D00">
        <w:rPr>
          <w:rFonts w:asciiTheme="majorBidi" w:hAnsiTheme="majorBidi" w:cstheme="majorBidi"/>
          <w:b/>
          <w:bCs/>
          <w:sz w:val="32"/>
          <w:szCs w:val="32"/>
        </w:rPr>
        <w:t xml:space="preserve">CALCUL DU </w:t>
      </w:r>
      <w:r w:rsidR="00285845" w:rsidRPr="00285845">
        <w:rPr>
          <w:rFonts w:asciiTheme="majorBidi" w:hAnsiTheme="majorBidi" w:cstheme="majorBidi"/>
          <w:b/>
          <w:bCs/>
          <w:sz w:val="32"/>
          <w:szCs w:val="32"/>
        </w:rPr>
        <w:t>BESOIN EN CAPITAL SELON LE CONTEX</w:t>
      </w:r>
      <w:r w:rsidR="00204CD8">
        <w:rPr>
          <w:rFonts w:asciiTheme="majorBidi" w:hAnsiTheme="majorBidi" w:cstheme="majorBidi"/>
          <w:b/>
          <w:bCs/>
          <w:sz w:val="32"/>
          <w:szCs w:val="32"/>
        </w:rPr>
        <w:t>TE ACTUEL ET SOUS SOLVABILITE II</w:t>
      </w:r>
    </w:p>
    <w:p w:rsidR="00726EDB" w:rsidRDefault="000171BF" w:rsidP="00CC73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26EDB" w:rsidRPr="00726EDB">
        <w:rPr>
          <w:rFonts w:ascii="Times New Roman" w:hAnsi="Times New Roman" w:cs="Times New Roman"/>
          <w:sz w:val="24"/>
          <w:szCs w:val="24"/>
        </w:rPr>
        <w:t xml:space="preserve">Afin d’illustrer les différents éléments </w:t>
      </w:r>
      <w:r w:rsidR="00726EDB">
        <w:rPr>
          <w:rFonts w:ascii="Times New Roman" w:hAnsi="Times New Roman" w:cs="Times New Roman"/>
          <w:sz w:val="24"/>
          <w:szCs w:val="24"/>
        </w:rPr>
        <w:t xml:space="preserve">développés dans la partie théorique </w:t>
      </w:r>
      <w:r w:rsidR="00726EDB" w:rsidRPr="00726EDB">
        <w:rPr>
          <w:rFonts w:ascii="Times New Roman" w:hAnsi="Times New Roman" w:cs="Times New Roman"/>
          <w:sz w:val="24"/>
          <w:szCs w:val="24"/>
        </w:rPr>
        <w:t xml:space="preserve"> et mieux toucher du doigt la </w:t>
      </w:r>
      <w:r w:rsidR="002742B7" w:rsidRPr="00726EDB">
        <w:rPr>
          <w:rFonts w:ascii="Times New Roman" w:hAnsi="Times New Roman" w:cs="Times New Roman"/>
          <w:sz w:val="24"/>
          <w:szCs w:val="24"/>
        </w:rPr>
        <w:t>pratique</w:t>
      </w:r>
      <w:r w:rsidR="00387808">
        <w:rPr>
          <w:rFonts w:ascii="Times New Roman" w:hAnsi="Times New Roman" w:cs="Times New Roman"/>
          <w:sz w:val="24"/>
          <w:szCs w:val="24"/>
        </w:rPr>
        <w:t xml:space="preserve"> des nouvelles exigences</w:t>
      </w:r>
      <w:r w:rsidR="00C67726">
        <w:rPr>
          <w:rFonts w:ascii="Times New Roman" w:hAnsi="Times New Roman" w:cs="Times New Roman"/>
          <w:sz w:val="24"/>
          <w:szCs w:val="24"/>
        </w:rPr>
        <w:t xml:space="preserve"> de la solvabilité des compagnies d’assurances</w:t>
      </w:r>
      <w:r w:rsidR="002742B7">
        <w:rPr>
          <w:rFonts w:ascii="Times New Roman" w:hAnsi="Times New Roman" w:cs="Times New Roman"/>
          <w:sz w:val="24"/>
          <w:szCs w:val="24"/>
        </w:rPr>
        <w:t>,</w:t>
      </w:r>
      <w:r w:rsidR="00726EDB" w:rsidRPr="00726EDB">
        <w:rPr>
          <w:rFonts w:ascii="Times New Roman" w:hAnsi="Times New Roman" w:cs="Times New Roman"/>
          <w:sz w:val="24"/>
          <w:szCs w:val="24"/>
        </w:rPr>
        <w:t xml:space="preserve"> </w:t>
      </w:r>
      <w:r w:rsidR="00E66A8D">
        <w:rPr>
          <w:rFonts w:ascii="Times New Roman" w:hAnsi="Times New Roman" w:cs="Times New Roman"/>
          <w:sz w:val="24"/>
          <w:szCs w:val="24"/>
        </w:rPr>
        <w:t>nous avons consacré ce deuxième</w:t>
      </w:r>
      <w:r w:rsidR="00726EDB" w:rsidRPr="00726EDB">
        <w:rPr>
          <w:rFonts w:ascii="Times New Roman" w:hAnsi="Times New Roman" w:cs="Times New Roman"/>
          <w:sz w:val="24"/>
          <w:szCs w:val="24"/>
        </w:rPr>
        <w:t xml:space="preserve"> et dernier cha</w:t>
      </w:r>
      <w:r w:rsidR="00C67726">
        <w:rPr>
          <w:rFonts w:ascii="Times New Roman" w:hAnsi="Times New Roman" w:cs="Times New Roman"/>
          <w:sz w:val="24"/>
          <w:szCs w:val="24"/>
        </w:rPr>
        <w:t>pitre aux calculs de la charge de capital selon</w:t>
      </w:r>
      <w:r w:rsidR="00D309F0">
        <w:rPr>
          <w:rFonts w:ascii="Times New Roman" w:hAnsi="Times New Roman" w:cs="Times New Roman"/>
          <w:sz w:val="24"/>
          <w:szCs w:val="24"/>
        </w:rPr>
        <w:t xml:space="preserve"> les développements</w:t>
      </w:r>
      <w:r w:rsidR="00E2479D">
        <w:rPr>
          <w:rFonts w:ascii="Times New Roman" w:hAnsi="Times New Roman" w:cs="Times New Roman"/>
          <w:sz w:val="24"/>
          <w:szCs w:val="24"/>
        </w:rPr>
        <w:t xml:space="preserve"> de solvabilité II en appuyant sur</w:t>
      </w:r>
      <w:r w:rsidR="00B865C3">
        <w:rPr>
          <w:rFonts w:ascii="Times New Roman" w:hAnsi="Times New Roman" w:cs="Times New Roman"/>
          <w:sz w:val="24"/>
          <w:szCs w:val="24"/>
        </w:rPr>
        <w:t xml:space="preserve"> les spécifications techniques de la dernière étude quantitative d’impact (QIS5) </w:t>
      </w:r>
      <w:r w:rsidR="00D309F0">
        <w:rPr>
          <w:rFonts w:ascii="Times New Roman" w:hAnsi="Times New Roman" w:cs="Times New Roman"/>
          <w:sz w:val="24"/>
          <w:szCs w:val="24"/>
        </w:rPr>
        <w:t xml:space="preserve">  </w:t>
      </w:r>
      <w:r w:rsidR="00AE571E">
        <w:rPr>
          <w:rFonts w:ascii="Times New Roman" w:hAnsi="Times New Roman" w:cs="Times New Roman"/>
          <w:sz w:val="24"/>
          <w:szCs w:val="24"/>
        </w:rPr>
        <w:t xml:space="preserve"> </w:t>
      </w:r>
      <w:r w:rsidR="00C67726">
        <w:rPr>
          <w:rFonts w:ascii="Times New Roman" w:hAnsi="Times New Roman" w:cs="Times New Roman"/>
          <w:sz w:val="24"/>
          <w:szCs w:val="24"/>
        </w:rPr>
        <w:t xml:space="preserve"> </w:t>
      </w:r>
      <w:r w:rsidR="00624CB7">
        <w:rPr>
          <w:rFonts w:ascii="Times New Roman" w:hAnsi="Times New Roman" w:cs="Times New Roman"/>
          <w:sz w:val="24"/>
          <w:szCs w:val="24"/>
        </w:rPr>
        <w:t xml:space="preserve"> </w:t>
      </w:r>
    </w:p>
    <w:p w:rsidR="00726EDB" w:rsidRPr="00726EDB" w:rsidRDefault="00726EDB" w:rsidP="00CC7304">
      <w:pPr>
        <w:autoSpaceDE w:val="0"/>
        <w:autoSpaceDN w:val="0"/>
        <w:adjustRightInd w:val="0"/>
        <w:spacing w:after="0" w:line="360" w:lineRule="auto"/>
        <w:jc w:val="both"/>
        <w:rPr>
          <w:rFonts w:ascii="Times New Roman" w:hAnsi="Times New Roman" w:cs="Times New Roman"/>
          <w:sz w:val="24"/>
          <w:szCs w:val="24"/>
        </w:rPr>
      </w:pPr>
    </w:p>
    <w:p w:rsidR="00726EDB" w:rsidRPr="00726EDB" w:rsidRDefault="000171BF" w:rsidP="00156890">
      <w:pPr>
        <w:spacing w:line="360" w:lineRule="auto"/>
        <w:jc w:val="both"/>
        <w:rPr>
          <w:rFonts w:asciiTheme="majorBidi" w:hAnsiTheme="majorBidi" w:cstheme="majorBidi"/>
          <w:sz w:val="24"/>
          <w:szCs w:val="24"/>
        </w:rPr>
      </w:pPr>
      <w:r>
        <w:rPr>
          <w:rFonts w:asciiTheme="majorBidi" w:hAnsiTheme="majorBidi" w:cstheme="majorBidi"/>
          <w:sz w:val="24"/>
          <w:szCs w:val="24"/>
        </w:rPr>
        <w:tab/>
        <w:t>Nous avons</w:t>
      </w:r>
      <w:r w:rsidR="00726EDB" w:rsidRPr="00726EDB">
        <w:rPr>
          <w:rFonts w:asciiTheme="majorBidi" w:hAnsiTheme="majorBidi" w:cstheme="majorBidi"/>
          <w:sz w:val="24"/>
          <w:szCs w:val="24"/>
        </w:rPr>
        <w:t xml:space="preserve"> à présent défini et expliqué les différentes exigences en capital sous Solvabilité I et sous Solvabilité II. Pour pouvoir comparer les différentes exigences de marge solvabilité nous allons appliquer ces méthodes de calcul </w:t>
      </w:r>
      <w:r w:rsidR="00B90727">
        <w:rPr>
          <w:rFonts w:asciiTheme="majorBidi" w:hAnsiTheme="majorBidi" w:cstheme="majorBidi"/>
          <w:sz w:val="24"/>
          <w:szCs w:val="24"/>
        </w:rPr>
        <w:t>à un portefeuille non vie composé de l’assurance automobile</w:t>
      </w:r>
      <w:proofErr w:type="gramStart"/>
      <w:r w:rsidR="00B90727">
        <w:rPr>
          <w:rFonts w:asciiTheme="majorBidi" w:hAnsiTheme="majorBidi" w:cstheme="majorBidi"/>
          <w:sz w:val="24"/>
          <w:szCs w:val="24"/>
        </w:rPr>
        <w:t>,  transport</w:t>
      </w:r>
      <w:proofErr w:type="gramEnd"/>
      <w:r w:rsidR="00B90727">
        <w:rPr>
          <w:rFonts w:asciiTheme="majorBidi" w:hAnsiTheme="majorBidi" w:cstheme="majorBidi"/>
          <w:sz w:val="24"/>
          <w:szCs w:val="24"/>
        </w:rPr>
        <w:t>,</w:t>
      </w:r>
      <w:r w:rsidR="000A51BD">
        <w:rPr>
          <w:rFonts w:asciiTheme="majorBidi" w:hAnsiTheme="majorBidi" w:cstheme="majorBidi"/>
          <w:sz w:val="24"/>
          <w:szCs w:val="24"/>
        </w:rPr>
        <w:t xml:space="preserve"> incendie, RC générale, et assurance </w:t>
      </w:r>
      <w:r w:rsidR="00150E32">
        <w:rPr>
          <w:rFonts w:asciiTheme="majorBidi" w:hAnsiTheme="majorBidi" w:cstheme="majorBidi"/>
          <w:sz w:val="24"/>
          <w:szCs w:val="24"/>
        </w:rPr>
        <w:t xml:space="preserve">crédit. </w:t>
      </w:r>
      <w:r w:rsidR="00726EDB" w:rsidRPr="00726EDB">
        <w:rPr>
          <w:rFonts w:asciiTheme="majorBidi" w:hAnsiTheme="majorBidi" w:cstheme="majorBidi"/>
          <w:sz w:val="24"/>
          <w:szCs w:val="24"/>
        </w:rPr>
        <w:t xml:space="preserve">Nous </w:t>
      </w:r>
      <w:r w:rsidR="00183A92">
        <w:rPr>
          <w:rFonts w:asciiTheme="majorBidi" w:hAnsiTheme="majorBidi" w:cstheme="majorBidi"/>
          <w:sz w:val="24"/>
          <w:szCs w:val="24"/>
        </w:rPr>
        <w:t>verro</w:t>
      </w:r>
      <w:r w:rsidR="00FD7FCB">
        <w:rPr>
          <w:rFonts w:asciiTheme="majorBidi" w:hAnsiTheme="majorBidi" w:cstheme="majorBidi"/>
          <w:sz w:val="24"/>
          <w:szCs w:val="24"/>
        </w:rPr>
        <w:t>ns dans une première section la</w:t>
      </w:r>
      <w:r w:rsidR="00183A92">
        <w:rPr>
          <w:rFonts w:asciiTheme="majorBidi" w:hAnsiTheme="majorBidi" w:cstheme="majorBidi"/>
          <w:sz w:val="24"/>
          <w:szCs w:val="24"/>
        </w:rPr>
        <w:t xml:space="preserve"> présentation </w:t>
      </w:r>
      <w:r w:rsidR="00156890">
        <w:rPr>
          <w:rFonts w:asciiTheme="majorBidi" w:hAnsiTheme="majorBidi" w:cstheme="majorBidi"/>
          <w:sz w:val="24"/>
          <w:szCs w:val="24"/>
        </w:rPr>
        <w:t>de</w:t>
      </w:r>
      <w:r w:rsidR="00F00F2D">
        <w:rPr>
          <w:rFonts w:asciiTheme="majorBidi" w:hAnsiTheme="majorBidi" w:cstheme="majorBidi"/>
          <w:sz w:val="24"/>
          <w:szCs w:val="24"/>
        </w:rPr>
        <w:t xml:space="preserve"> notre</w:t>
      </w:r>
      <w:r w:rsidR="00156890">
        <w:rPr>
          <w:rFonts w:asciiTheme="majorBidi" w:hAnsiTheme="majorBidi" w:cstheme="majorBidi"/>
          <w:sz w:val="24"/>
          <w:szCs w:val="24"/>
        </w:rPr>
        <w:t xml:space="preserve"> organisme d’accueil à savoir la Compagnie Algérienne des Assurances (CAAT)</w:t>
      </w:r>
      <w:r w:rsidR="00EA5EFC">
        <w:rPr>
          <w:rFonts w:asciiTheme="majorBidi" w:hAnsiTheme="majorBidi" w:cstheme="majorBidi"/>
          <w:sz w:val="24"/>
          <w:szCs w:val="24"/>
        </w:rPr>
        <w:t>. Nous aborderons</w:t>
      </w:r>
      <w:r w:rsidR="00726EDB" w:rsidRPr="00726EDB">
        <w:rPr>
          <w:rFonts w:asciiTheme="majorBidi" w:hAnsiTheme="majorBidi" w:cstheme="majorBidi"/>
          <w:sz w:val="24"/>
          <w:szCs w:val="24"/>
        </w:rPr>
        <w:t xml:space="preserve"> ensuite le calcul de la marge de solvabilité utilisé</w:t>
      </w:r>
      <w:r w:rsidR="00F00F2D">
        <w:rPr>
          <w:rFonts w:asciiTheme="majorBidi" w:hAnsiTheme="majorBidi" w:cstheme="majorBidi"/>
          <w:sz w:val="24"/>
          <w:szCs w:val="24"/>
        </w:rPr>
        <w:t>e</w:t>
      </w:r>
      <w:r w:rsidR="00726EDB" w:rsidRPr="00726EDB">
        <w:rPr>
          <w:rFonts w:asciiTheme="majorBidi" w:hAnsiTheme="majorBidi" w:cstheme="majorBidi"/>
          <w:sz w:val="24"/>
          <w:szCs w:val="24"/>
        </w:rPr>
        <w:t xml:space="preserve"> actuellement sous Solvabilité I</w:t>
      </w:r>
      <w:r w:rsidR="00F00F2D">
        <w:rPr>
          <w:rFonts w:asciiTheme="majorBidi" w:hAnsiTheme="majorBidi" w:cstheme="majorBidi"/>
          <w:sz w:val="24"/>
          <w:szCs w:val="24"/>
        </w:rPr>
        <w:t>, puis nous verrons</w:t>
      </w:r>
      <w:r w:rsidR="00726EDB" w:rsidRPr="00726EDB">
        <w:rPr>
          <w:rFonts w:asciiTheme="majorBidi" w:hAnsiTheme="majorBidi" w:cstheme="majorBidi"/>
          <w:sz w:val="24"/>
          <w:szCs w:val="24"/>
        </w:rPr>
        <w:t xml:space="preserve"> les évolutions de cette marge selon la réforme Solvabilité II par le biais de la formule</w:t>
      </w:r>
      <w:r w:rsidR="00047A71">
        <w:rPr>
          <w:rFonts w:asciiTheme="majorBidi" w:hAnsiTheme="majorBidi" w:cstheme="majorBidi"/>
          <w:sz w:val="24"/>
          <w:szCs w:val="24"/>
        </w:rPr>
        <w:t xml:space="preserve"> standard</w:t>
      </w:r>
      <w:r w:rsidR="00726EDB" w:rsidRPr="00726EDB">
        <w:rPr>
          <w:rFonts w:asciiTheme="majorBidi" w:hAnsiTheme="majorBidi" w:cstheme="majorBidi"/>
          <w:sz w:val="24"/>
          <w:szCs w:val="24"/>
        </w:rPr>
        <w:t>.</w:t>
      </w:r>
    </w:p>
    <w:p w:rsidR="00726EDB" w:rsidRDefault="00726EDB" w:rsidP="00CC7304">
      <w:pPr>
        <w:spacing w:line="360" w:lineRule="auto"/>
        <w:jc w:val="both"/>
        <w:rPr>
          <w:rFonts w:asciiTheme="majorBidi" w:hAnsiTheme="majorBidi" w:cstheme="majorBidi"/>
          <w:b/>
          <w:bCs/>
          <w:sz w:val="32"/>
          <w:szCs w:val="32"/>
        </w:rPr>
      </w:pPr>
    </w:p>
    <w:p w:rsidR="00726EDB" w:rsidRDefault="00726EDB" w:rsidP="00CC7304">
      <w:pPr>
        <w:spacing w:line="360" w:lineRule="auto"/>
        <w:jc w:val="both"/>
        <w:rPr>
          <w:rFonts w:asciiTheme="majorBidi" w:hAnsiTheme="majorBidi" w:cstheme="majorBidi"/>
          <w:b/>
          <w:bCs/>
          <w:sz w:val="32"/>
          <w:szCs w:val="32"/>
        </w:rPr>
      </w:pPr>
    </w:p>
    <w:p w:rsidR="000D77DD" w:rsidRDefault="000D77DD" w:rsidP="00CC7304">
      <w:pPr>
        <w:spacing w:line="360" w:lineRule="auto"/>
        <w:jc w:val="both"/>
        <w:rPr>
          <w:rFonts w:asciiTheme="majorBidi" w:hAnsiTheme="majorBidi" w:cstheme="majorBidi"/>
          <w:sz w:val="24"/>
          <w:szCs w:val="24"/>
        </w:rPr>
      </w:pPr>
    </w:p>
    <w:p w:rsidR="000D77DD" w:rsidRDefault="000D77DD" w:rsidP="00CC7304">
      <w:pPr>
        <w:spacing w:line="360" w:lineRule="auto"/>
        <w:jc w:val="both"/>
        <w:rPr>
          <w:rFonts w:asciiTheme="majorBidi" w:hAnsiTheme="majorBidi" w:cstheme="majorBidi"/>
          <w:sz w:val="24"/>
          <w:szCs w:val="24"/>
        </w:rPr>
      </w:pPr>
      <w:r>
        <w:rPr>
          <w:rFonts w:asciiTheme="majorBidi" w:hAnsiTheme="majorBidi" w:cstheme="majorBidi"/>
          <w:sz w:val="24"/>
          <w:szCs w:val="24"/>
        </w:rPr>
        <w:br w:type="page"/>
      </w:r>
    </w:p>
    <w:p w:rsidR="00285845" w:rsidRPr="000171BF" w:rsidRDefault="000171BF" w:rsidP="00CC7304">
      <w:pPr>
        <w:spacing w:line="360" w:lineRule="auto"/>
        <w:jc w:val="both"/>
        <w:rPr>
          <w:rFonts w:asciiTheme="majorBidi" w:hAnsiTheme="majorBidi" w:cstheme="majorBidi"/>
          <w:b/>
          <w:bCs/>
          <w:sz w:val="32"/>
          <w:szCs w:val="32"/>
        </w:rPr>
      </w:pPr>
      <w:r w:rsidRPr="000171BF">
        <w:rPr>
          <w:rFonts w:asciiTheme="majorBidi" w:hAnsiTheme="majorBidi" w:cstheme="majorBidi"/>
          <w:b/>
          <w:bCs/>
          <w:sz w:val="32"/>
          <w:szCs w:val="32"/>
        </w:rPr>
        <w:lastRenderedPageBreak/>
        <w:t xml:space="preserve">SECTION </w:t>
      </w:r>
      <w:proofErr w:type="gramStart"/>
      <w:r w:rsidRPr="000171BF">
        <w:rPr>
          <w:rFonts w:asciiTheme="majorBidi" w:hAnsiTheme="majorBidi" w:cstheme="majorBidi"/>
          <w:b/>
          <w:bCs/>
          <w:sz w:val="32"/>
          <w:szCs w:val="32"/>
        </w:rPr>
        <w:t>01:</w:t>
      </w:r>
      <w:proofErr w:type="gramEnd"/>
      <w:r w:rsidRPr="000171BF">
        <w:rPr>
          <w:rFonts w:asciiTheme="majorBidi" w:hAnsiTheme="majorBidi" w:cstheme="majorBidi"/>
          <w:b/>
          <w:bCs/>
          <w:sz w:val="32"/>
          <w:szCs w:val="32"/>
        </w:rPr>
        <w:t xml:space="preserve"> PRESENTATION DE LA COMPAGNIE D’ACCUEIL </w:t>
      </w:r>
    </w:p>
    <w:p w:rsidR="00E525DA" w:rsidRDefault="00BA749B" w:rsidP="00CC7304">
      <w:pPr>
        <w:spacing w:line="360" w:lineRule="auto"/>
        <w:jc w:val="both"/>
        <w:rPr>
          <w:rFonts w:asciiTheme="majorBidi" w:hAnsiTheme="majorBidi" w:cstheme="majorBidi"/>
          <w:b/>
          <w:bCs/>
          <w:sz w:val="24"/>
          <w:szCs w:val="24"/>
        </w:rPr>
      </w:pPr>
      <w:r>
        <w:rPr>
          <w:rFonts w:asciiTheme="majorBidi" w:hAnsiTheme="majorBidi" w:cstheme="majorBidi"/>
          <w:sz w:val="24"/>
          <w:szCs w:val="24"/>
        </w:rPr>
        <w:tab/>
      </w:r>
      <w:r w:rsidR="00B31D8F" w:rsidRPr="00B31D8F">
        <w:rPr>
          <w:rFonts w:asciiTheme="majorBidi" w:hAnsiTheme="majorBidi" w:cstheme="majorBidi"/>
          <w:sz w:val="24"/>
          <w:szCs w:val="24"/>
        </w:rPr>
        <w:t>Avant de procéder aux calculs des exigences en capital selon l’ancienne et la nouvelle réglementation du contrôle de la solvabilité, nous avons jugé bon de présenter l’</w:t>
      </w:r>
      <w:r w:rsidR="007F575F">
        <w:rPr>
          <w:rFonts w:asciiTheme="majorBidi" w:hAnsiTheme="majorBidi" w:cstheme="majorBidi"/>
          <w:sz w:val="24"/>
          <w:szCs w:val="24"/>
        </w:rPr>
        <w:t>entreprise objet</w:t>
      </w:r>
      <w:r w:rsidR="00891B33">
        <w:rPr>
          <w:rFonts w:asciiTheme="majorBidi" w:hAnsiTheme="majorBidi" w:cstheme="majorBidi"/>
          <w:sz w:val="24"/>
          <w:szCs w:val="24"/>
        </w:rPr>
        <w:t xml:space="preserve"> de</w:t>
      </w:r>
      <w:r w:rsidR="007F575F">
        <w:rPr>
          <w:rFonts w:asciiTheme="majorBidi" w:hAnsiTheme="majorBidi" w:cstheme="majorBidi"/>
          <w:sz w:val="24"/>
          <w:szCs w:val="24"/>
        </w:rPr>
        <w:t xml:space="preserve"> notre recherche</w:t>
      </w:r>
      <w:r w:rsidR="00B31D8F" w:rsidRPr="00B31D8F">
        <w:rPr>
          <w:rFonts w:asciiTheme="majorBidi" w:hAnsiTheme="majorBidi" w:cstheme="majorBidi"/>
          <w:sz w:val="24"/>
          <w:szCs w:val="24"/>
        </w:rPr>
        <w:t>,</w:t>
      </w:r>
      <w:r w:rsidR="00B31D8F">
        <w:rPr>
          <w:rFonts w:asciiTheme="majorBidi" w:hAnsiTheme="majorBidi" w:cstheme="majorBidi"/>
          <w:sz w:val="24"/>
          <w:szCs w:val="24"/>
        </w:rPr>
        <w:t xml:space="preserve"> mais surtout de présenter la structure du portefeuille</w:t>
      </w:r>
      <w:r w:rsidR="007F575F">
        <w:rPr>
          <w:rFonts w:asciiTheme="majorBidi" w:hAnsiTheme="majorBidi" w:cstheme="majorBidi"/>
          <w:sz w:val="24"/>
          <w:szCs w:val="24"/>
        </w:rPr>
        <w:t xml:space="preserve"> afin de </w:t>
      </w:r>
      <w:r w:rsidR="003C0D48">
        <w:rPr>
          <w:rFonts w:asciiTheme="majorBidi" w:hAnsiTheme="majorBidi" w:cstheme="majorBidi"/>
          <w:sz w:val="24"/>
          <w:szCs w:val="24"/>
        </w:rPr>
        <w:t>procéder</w:t>
      </w:r>
      <w:r w:rsidR="007F575F">
        <w:rPr>
          <w:rFonts w:asciiTheme="majorBidi" w:hAnsiTheme="majorBidi" w:cstheme="majorBidi"/>
          <w:sz w:val="24"/>
          <w:szCs w:val="24"/>
        </w:rPr>
        <w:t xml:space="preserve"> aux différents risques</w:t>
      </w:r>
      <w:r w:rsidR="00B93D8B">
        <w:rPr>
          <w:rFonts w:asciiTheme="majorBidi" w:hAnsiTheme="majorBidi" w:cstheme="majorBidi"/>
          <w:sz w:val="24"/>
          <w:szCs w:val="24"/>
        </w:rPr>
        <w:t xml:space="preserve"> </w:t>
      </w:r>
      <w:r w:rsidR="000F4A90">
        <w:rPr>
          <w:rFonts w:asciiTheme="majorBidi" w:hAnsiTheme="majorBidi" w:cstheme="majorBidi"/>
          <w:sz w:val="24"/>
          <w:szCs w:val="24"/>
        </w:rPr>
        <w:t>assurantiels</w:t>
      </w:r>
      <w:r w:rsidR="007F575F">
        <w:rPr>
          <w:rFonts w:asciiTheme="majorBidi" w:hAnsiTheme="majorBidi" w:cstheme="majorBidi"/>
          <w:sz w:val="24"/>
          <w:szCs w:val="24"/>
        </w:rPr>
        <w:t xml:space="preserve"> auxquels l’entreprise est confronté</w:t>
      </w:r>
      <w:r w:rsidR="00E5064C">
        <w:rPr>
          <w:rFonts w:asciiTheme="majorBidi" w:hAnsiTheme="majorBidi" w:cstheme="majorBidi"/>
          <w:sz w:val="24"/>
          <w:szCs w:val="24"/>
        </w:rPr>
        <w:t>e</w:t>
      </w:r>
      <w:r w:rsidR="007F575F">
        <w:rPr>
          <w:rFonts w:asciiTheme="majorBidi" w:hAnsiTheme="majorBidi" w:cstheme="majorBidi"/>
          <w:sz w:val="24"/>
          <w:szCs w:val="24"/>
        </w:rPr>
        <w:t xml:space="preserve">.  </w:t>
      </w:r>
      <w:r w:rsidR="00B31D8F">
        <w:rPr>
          <w:rFonts w:asciiTheme="majorBidi" w:hAnsiTheme="majorBidi" w:cstheme="majorBidi"/>
          <w:sz w:val="24"/>
          <w:szCs w:val="24"/>
        </w:rPr>
        <w:t xml:space="preserve"> </w:t>
      </w:r>
      <w:r w:rsidR="00B31D8F" w:rsidRPr="00B31D8F">
        <w:rPr>
          <w:rFonts w:asciiTheme="majorBidi" w:hAnsiTheme="majorBidi" w:cstheme="majorBidi"/>
          <w:sz w:val="24"/>
          <w:szCs w:val="24"/>
        </w:rPr>
        <w:t xml:space="preserve"> </w:t>
      </w:r>
      <w:r w:rsidR="00B31D8F" w:rsidRPr="00B31D8F">
        <w:rPr>
          <w:rFonts w:asciiTheme="majorBidi" w:hAnsiTheme="majorBidi" w:cstheme="majorBidi"/>
          <w:b/>
          <w:bCs/>
          <w:sz w:val="24"/>
          <w:szCs w:val="24"/>
        </w:rPr>
        <w:t xml:space="preserve"> </w:t>
      </w:r>
    </w:p>
    <w:p w:rsidR="00A0446A" w:rsidRPr="00B31D8F" w:rsidRDefault="00E525DA" w:rsidP="00CC730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1-1- </w:t>
      </w:r>
      <w:r w:rsidR="00B31D8F" w:rsidRPr="00B31D8F">
        <w:rPr>
          <w:rFonts w:asciiTheme="majorBidi" w:hAnsiTheme="majorBidi" w:cstheme="majorBidi"/>
          <w:b/>
          <w:bCs/>
          <w:sz w:val="24"/>
          <w:szCs w:val="24"/>
        </w:rPr>
        <w:t xml:space="preserve">  </w:t>
      </w:r>
      <w:r w:rsidRPr="00E525DA">
        <w:rPr>
          <w:rFonts w:asciiTheme="majorBidi" w:hAnsiTheme="majorBidi" w:cstheme="majorBidi"/>
          <w:b/>
          <w:bCs/>
          <w:sz w:val="28"/>
          <w:szCs w:val="28"/>
        </w:rPr>
        <w:t>UN BREF HISTORIQUE DE LA CAAT</w:t>
      </w:r>
      <w:r>
        <w:rPr>
          <w:rFonts w:asciiTheme="majorBidi" w:hAnsiTheme="majorBidi" w:cstheme="majorBidi"/>
          <w:b/>
          <w:bCs/>
          <w:sz w:val="24"/>
          <w:szCs w:val="24"/>
        </w:rPr>
        <w:t xml:space="preserve"> </w:t>
      </w:r>
    </w:p>
    <w:p w:rsidR="00E525DA" w:rsidRPr="00E525DA" w:rsidRDefault="00E525DA" w:rsidP="00E525DA">
      <w:pPr>
        <w:spacing w:before="240" w:line="360" w:lineRule="auto"/>
        <w:jc w:val="both"/>
        <w:rPr>
          <w:rFonts w:asciiTheme="majorBidi" w:hAnsiTheme="majorBidi" w:cstheme="majorBidi"/>
          <w:bCs/>
          <w:sz w:val="24"/>
          <w:szCs w:val="24"/>
        </w:rPr>
      </w:pPr>
      <w:r>
        <w:rPr>
          <w:rFonts w:asciiTheme="majorBidi" w:hAnsiTheme="majorBidi" w:cstheme="majorBidi"/>
          <w:bCs/>
          <w:sz w:val="24"/>
          <w:szCs w:val="24"/>
        </w:rPr>
        <w:tab/>
      </w:r>
      <w:smartTag w:uri="urn:schemas-microsoft-com:office:smarttags" w:element="PersonName">
        <w:smartTagPr>
          <w:attr w:name="ProductID" w:val="La Compagnie Alg￩rienne"/>
        </w:smartTagPr>
        <w:r w:rsidRPr="00E525DA">
          <w:rPr>
            <w:rFonts w:asciiTheme="majorBidi" w:hAnsiTheme="majorBidi" w:cstheme="majorBidi"/>
            <w:bCs/>
            <w:sz w:val="24"/>
            <w:szCs w:val="24"/>
          </w:rPr>
          <w:t>La Compagnie Algérienne</w:t>
        </w:r>
      </w:smartTag>
      <w:r w:rsidRPr="00E525DA">
        <w:rPr>
          <w:rFonts w:asciiTheme="majorBidi" w:hAnsiTheme="majorBidi" w:cstheme="majorBidi"/>
          <w:bCs/>
          <w:sz w:val="24"/>
          <w:szCs w:val="24"/>
        </w:rPr>
        <w:t xml:space="preserve"> des Assurances – CAAT est une Entreprise publique économique, Société par actions (EPE/SPA) au capital de 11.490.000.000 DA, détenu entièrement par l’</w:t>
      </w:r>
      <w:proofErr w:type="spellStart"/>
      <w:r w:rsidRPr="00E525DA">
        <w:rPr>
          <w:rFonts w:asciiTheme="majorBidi" w:hAnsiTheme="majorBidi" w:cstheme="majorBidi"/>
          <w:bCs/>
          <w:sz w:val="24"/>
          <w:szCs w:val="24"/>
        </w:rPr>
        <w:t>Etat</w:t>
      </w:r>
      <w:proofErr w:type="spellEnd"/>
      <w:r w:rsidRPr="00E525DA">
        <w:rPr>
          <w:rFonts w:asciiTheme="majorBidi" w:hAnsiTheme="majorBidi" w:cstheme="majorBidi"/>
          <w:bCs/>
          <w:sz w:val="24"/>
          <w:szCs w:val="24"/>
        </w:rPr>
        <w:t xml:space="preserve"> Algérien, actionnaire unique.</w:t>
      </w:r>
    </w:p>
    <w:p w:rsidR="00E525DA" w:rsidRPr="00E525DA" w:rsidRDefault="00E525DA" w:rsidP="00E525DA">
      <w:pPr>
        <w:spacing w:line="360" w:lineRule="auto"/>
        <w:jc w:val="both"/>
        <w:rPr>
          <w:rFonts w:asciiTheme="majorBidi" w:hAnsiTheme="majorBidi" w:cstheme="majorBidi"/>
          <w:sz w:val="24"/>
          <w:szCs w:val="24"/>
        </w:rPr>
      </w:pPr>
      <w:r>
        <w:rPr>
          <w:rFonts w:asciiTheme="majorBidi" w:hAnsiTheme="majorBidi" w:cstheme="majorBidi"/>
          <w:sz w:val="24"/>
          <w:szCs w:val="24"/>
        </w:rPr>
        <w:tab/>
      </w:r>
      <w:smartTag w:uri="urn:schemas-microsoft-com:office:smarttags" w:element="PersonName">
        <w:smartTagPr>
          <w:attr w:name="ProductID" w:val="La CAAT"/>
        </w:smartTagPr>
        <w:r w:rsidRPr="00E525DA">
          <w:rPr>
            <w:rFonts w:asciiTheme="majorBidi" w:hAnsiTheme="majorBidi" w:cstheme="majorBidi"/>
            <w:sz w:val="24"/>
            <w:szCs w:val="24"/>
          </w:rPr>
          <w:t xml:space="preserve">La </w:t>
        </w:r>
        <w:r w:rsidRPr="00E525DA">
          <w:rPr>
            <w:rFonts w:asciiTheme="majorBidi" w:hAnsiTheme="majorBidi" w:cstheme="majorBidi"/>
            <w:bCs/>
            <w:sz w:val="24"/>
            <w:szCs w:val="24"/>
          </w:rPr>
          <w:t>CAAT</w:t>
        </w:r>
      </w:smartTag>
      <w:r w:rsidRPr="00E525DA">
        <w:rPr>
          <w:rFonts w:asciiTheme="majorBidi" w:hAnsiTheme="majorBidi" w:cstheme="majorBidi"/>
          <w:sz w:val="24"/>
          <w:szCs w:val="24"/>
        </w:rPr>
        <w:t xml:space="preserve"> a été créée en avril 1985 pour pratiquer les assurances liées aux Transports </w:t>
      </w:r>
      <w:proofErr w:type="gramStart"/>
      <w:r w:rsidRPr="00E525DA">
        <w:rPr>
          <w:rFonts w:asciiTheme="majorBidi" w:hAnsiTheme="majorBidi" w:cstheme="majorBidi"/>
          <w:sz w:val="24"/>
          <w:szCs w:val="24"/>
        </w:rPr>
        <w:t>du</w:t>
      </w:r>
      <w:proofErr w:type="gramEnd"/>
      <w:r w:rsidRPr="00E525DA">
        <w:rPr>
          <w:rFonts w:asciiTheme="majorBidi" w:hAnsiTheme="majorBidi" w:cstheme="majorBidi"/>
          <w:sz w:val="24"/>
          <w:szCs w:val="24"/>
        </w:rPr>
        <w:t xml:space="preserve"> fait de la spécialisation, alors, des compagnies d’assurance et du monopole de l’</w:t>
      </w:r>
      <w:proofErr w:type="spellStart"/>
      <w:r w:rsidRPr="00E525DA">
        <w:rPr>
          <w:rFonts w:asciiTheme="majorBidi" w:hAnsiTheme="majorBidi" w:cstheme="majorBidi"/>
          <w:sz w:val="24"/>
          <w:szCs w:val="24"/>
        </w:rPr>
        <w:t>Etat</w:t>
      </w:r>
      <w:proofErr w:type="spellEnd"/>
      <w:r w:rsidRPr="00E525DA">
        <w:rPr>
          <w:rFonts w:asciiTheme="majorBidi" w:hAnsiTheme="majorBidi" w:cstheme="majorBidi"/>
          <w:sz w:val="24"/>
          <w:szCs w:val="24"/>
        </w:rPr>
        <w:t xml:space="preserve"> sur l’activité d’assurance.</w:t>
      </w:r>
    </w:p>
    <w:p w:rsidR="00E525DA" w:rsidRDefault="00E525DA" w:rsidP="00E525DA">
      <w:pPr>
        <w:pStyle w:val="Corpsdetexte"/>
        <w:spacing w:before="0"/>
        <w:rPr>
          <w:rFonts w:asciiTheme="majorBidi" w:hAnsiTheme="majorBidi" w:cstheme="majorBidi"/>
          <w:shadow w:val="0"/>
        </w:rPr>
      </w:pPr>
      <w:r>
        <w:rPr>
          <w:rFonts w:asciiTheme="majorBidi" w:hAnsiTheme="majorBidi" w:cstheme="majorBidi"/>
          <w:shadow w:val="0"/>
        </w:rPr>
        <w:tab/>
      </w:r>
      <w:r w:rsidRPr="00E525DA">
        <w:rPr>
          <w:rFonts w:asciiTheme="majorBidi" w:hAnsiTheme="majorBidi" w:cstheme="majorBidi"/>
          <w:shadow w:val="0"/>
        </w:rPr>
        <w:t xml:space="preserve">Les réformes économiques engagées vers la fin des années 80 ont permis la levée de la spécialisation et par conséquent la transformation de </w:t>
      </w:r>
      <w:smartTag w:uri="urn:schemas-microsoft-com:office:smarttags" w:element="PersonName">
        <w:smartTagPr>
          <w:attr w:name="ProductID" w:val="La CAAT"/>
        </w:smartTagPr>
        <w:r w:rsidRPr="00E525DA">
          <w:rPr>
            <w:rFonts w:asciiTheme="majorBidi" w:hAnsiTheme="majorBidi" w:cstheme="majorBidi"/>
            <w:shadow w:val="0"/>
          </w:rPr>
          <w:t xml:space="preserve">la </w:t>
        </w:r>
        <w:r w:rsidRPr="00E525DA">
          <w:rPr>
            <w:rFonts w:asciiTheme="majorBidi" w:hAnsiTheme="majorBidi" w:cstheme="majorBidi"/>
            <w:bCs/>
            <w:shadow w:val="0"/>
          </w:rPr>
          <w:t>CAAT</w:t>
        </w:r>
      </w:smartTag>
      <w:r w:rsidRPr="00E525DA">
        <w:rPr>
          <w:rFonts w:asciiTheme="majorBidi" w:hAnsiTheme="majorBidi" w:cstheme="majorBidi"/>
          <w:shadow w:val="0"/>
        </w:rPr>
        <w:t xml:space="preserve"> en Entreprise Publique </w:t>
      </w:r>
      <w:proofErr w:type="spellStart"/>
      <w:r w:rsidRPr="00E525DA">
        <w:rPr>
          <w:rFonts w:asciiTheme="majorBidi" w:hAnsiTheme="majorBidi" w:cstheme="majorBidi"/>
          <w:shadow w:val="0"/>
        </w:rPr>
        <w:t>Economique</w:t>
      </w:r>
      <w:proofErr w:type="spellEnd"/>
      <w:r w:rsidRPr="00E525DA">
        <w:rPr>
          <w:rFonts w:asciiTheme="majorBidi" w:hAnsiTheme="majorBidi" w:cstheme="majorBidi"/>
          <w:shadow w:val="0"/>
        </w:rPr>
        <w:t xml:space="preserve">, Société par Actions, agréée pour pratiquer l’ensemble des branches d’assurance. </w:t>
      </w:r>
    </w:p>
    <w:p w:rsidR="00E525DA" w:rsidRPr="00E525DA" w:rsidRDefault="00E525DA" w:rsidP="00E525DA">
      <w:pPr>
        <w:pStyle w:val="Corpsdetexte"/>
        <w:spacing w:before="0" w:line="240" w:lineRule="auto"/>
        <w:rPr>
          <w:rFonts w:asciiTheme="majorBidi" w:hAnsiTheme="majorBidi" w:cstheme="majorBidi"/>
          <w:shadow w:val="0"/>
        </w:rPr>
      </w:pPr>
    </w:p>
    <w:p w:rsidR="00E525DA" w:rsidRDefault="00E525DA" w:rsidP="00E525DA">
      <w:pPr>
        <w:pStyle w:val="Corpsdetexte"/>
        <w:spacing w:before="0"/>
        <w:rPr>
          <w:rFonts w:asciiTheme="majorBidi" w:hAnsiTheme="majorBidi" w:cstheme="majorBidi"/>
          <w:shadow w:val="0"/>
        </w:rPr>
      </w:pPr>
      <w:r>
        <w:rPr>
          <w:rFonts w:asciiTheme="majorBidi" w:hAnsiTheme="majorBidi" w:cstheme="majorBidi"/>
          <w:shadow w:val="0"/>
        </w:rPr>
        <w:tab/>
      </w:r>
      <w:r w:rsidRPr="00E525DA">
        <w:rPr>
          <w:rFonts w:asciiTheme="majorBidi" w:hAnsiTheme="majorBidi" w:cstheme="majorBidi"/>
          <w:shadow w:val="0"/>
        </w:rPr>
        <w:t>A partir du 1</w:t>
      </w:r>
      <w:r w:rsidRPr="00E525DA">
        <w:rPr>
          <w:rFonts w:asciiTheme="majorBidi" w:hAnsiTheme="majorBidi" w:cstheme="majorBidi"/>
          <w:shadow w:val="0"/>
          <w:vertAlign w:val="superscript"/>
        </w:rPr>
        <w:t>er</w:t>
      </w:r>
      <w:r w:rsidRPr="00E525DA">
        <w:rPr>
          <w:rFonts w:asciiTheme="majorBidi" w:hAnsiTheme="majorBidi" w:cstheme="majorBidi"/>
          <w:shadow w:val="0"/>
        </w:rPr>
        <w:t xml:space="preserve"> juillet 2011, </w:t>
      </w:r>
      <w:smartTag w:uri="urn:schemas-microsoft-com:office:smarttags" w:element="PersonName">
        <w:smartTagPr>
          <w:attr w:name="ProductID" w:val="La CAAT"/>
        </w:smartTagPr>
        <w:r w:rsidRPr="00E525DA">
          <w:rPr>
            <w:rFonts w:asciiTheme="majorBidi" w:hAnsiTheme="majorBidi" w:cstheme="majorBidi"/>
            <w:shadow w:val="0"/>
          </w:rPr>
          <w:t>la CAAT</w:t>
        </w:r>
      </w:smartTag>
      <w:r w:rsidRPr="00E525DA">
        <w:rPr>
          <w:rFonts w:asciiTheme="majorBidi" w:hAnsiTheme="majorBidi" w:cstheme="majorBidi"/>
          <w:shadow w:val="0"/>
        </w:rPr>
        <w:t xml:space="preserve"> est devenue, de par la loi, une compagnie d’assurance "dommages toutes branches" suite à la séparation des assurances de personnes des assurances de dommages. </w:t>
      </w:r>
    </w:p>
    <w:p w:rsidR="00E525DA" w:rsidRDefault="00E525DA" w:rsidP="00E525DA">
      <w:pPr>
        <w:spacing w:before="120" w:line="360" w:lineRule="auto"/>
        <w:jc w:val="both"/>
        <w:rPr>
          <w:rFonts w:asciiTheme="majorBidi" w:hAnsiTheme="majorBidi" w:cstheme="majorBidi"/>
          <w:sz w:val="24"/>
          <w:szCs w:val="24"/>
        </w:rPr>
      </w:pPr>
      <w:r>
        <w:rPr>
          <w:rFonts w:ascii="Arial" w:hAnsi="Arial" w:cs="Arial"/>
        </w:rPr>
        <w:tab/>
      </w:r>
      <w:smartTag w:uri="urn:schemas-microsoft-com:office:smarttags" w:element="PersonName">
        <w:smartTagPr>
          <w:attr w:name="ProductID" w:val="La CAAT"/>
        </w:smartTagPr>
        <w:r w:rsidRPr="00E525DA">
          <w:rPr>
            <w:rFonts w:asciiTheme="majorBidi" w:hAnsiTheme="majorBidi" w:cstheme="majorBidi"/>
            <w:sz w:val="24"/>
            <w:szCs w:val="24"/>
          </w:rPr>
          <w:t>La CAAT</w:t>
        </w:r>
      </w:smartTag>
      <w:r w:rsidRPr="00E525DA">
        <w:rPr>
          <w:rFonts w:asciiTheme="majorBidi" w:hAnsiTheme="majorBidi" w:cstheme="majorBidi"/>
          <w:sz w:val="24"/>
          <w:szCs w:val="24"/>
        </w:rPr>
        <w:t xml:space="preserve"> est un acteur majeur du marché Algérien de l’assurance. Depuis sa création, le niveau de croissance de sa production a toujours été équivalent ou supérieur à celui du marché.  Très vite, </w:t>
      </w:r>
      <w:smartTag w:uri="urn:schemas-microsoft-com:office:smarttags" w:element="PersonName">
        <w:smartTagPr>
          <w:attr w:name="ProductID" w:val="La CAAT"/>
        </w:smartTagPr>
        <w:r w:rsidRPr="00E525DA">
          <w:rPr>
            <w:rFonts w:asciiTheme="majorBidi" w:hAnsiTheme="majorBidi" w:cstheme="majorBidi"/>
            <w:sz w:val="24"/>
            <w:szCs w:val="24"/>
          </w:rPr>
          <w:t>la CAAT</w:t>
        </w:r>
      </w:smartTag>
      <w:r w:rsidRPr="00E525DA">
        <w:rPr>
          <w:rFonts w:asciiTheme="majorBidi" w:hAnsiTheme="majorBidi" w:cstheme="majorBidi"/>
          <w:sz w:val="24"/>
          <w:szCs w:val="24"/>
        </w:rPr>
        <w:t xml:space="preserve"> a pu s’implanter sur tout le territoire national et diversifier, de pair, son portefeuille d’affaires par la souscription de l’ensemble des branches d’assurance. </w:t>
      </w:r>
    </w:p>
    <w:p w:rsidR="004E23DD" w:rsidRDefault="004E23DD" w:rsidP="00E525DA">
      <w:pPr>
        <w:spacing w:before="120" w:line="360" w:lineRule="auto"/>
        <w:jc w:val="both"/>
        <w:rPr>
          <w:rFonts w:asciiTheme="majorBidi" w:hAnsiTheme="majorBidi" w:cstheme="majorBidi"/>
          <w:b/>
          <w:bCs/>
          <w:sz w:val="24"/>
          <w:szCs w:val="24"/>
        </w:rPr>
      </w:pPr>
      <w:r w:rsidRPr="00760545">
        <w:rPr>
          <w:rFonts w:asciiTheme="majorBidi" w:hAnsiTheme="majorBidi" w:cstheme="majorBidi"/>
          <w:b/>
          <w:bCs/>
          <w:sz w:val="28"/>
          <w:szCs w:val="28"/>
        </w:rPr>
        <w:t>1-2-</w:t>
      </w:r>
      <w:r w:rsidRPr="004E23DD">
        <w:rPr>
          <w:rFonts w:asciiTheme="majorBidi" w:hAnsiTheme="majorBidi" w:cstheme="majorBidi"/>
          <w:b/>
          <w:bCs/>
          <w:sz w:val="24"/>
          <w:szCs w:val="24"/>
        </w:rPr>
        <w:t xml:space="preserve"> PRINCIPAUX PARAMETRES</w:t>
      </w:r>
    </w:p>
    <w:p w:rsidR="00E525DA" w:rsidRDefault="004E23DD" w:rsidP="00E525DA">
      <w:pPr>
        <w:spacing w:before="120" w:line="360" w:lineRule="auto"/>
        <w:jc w:val="both"/>
        <w:rPr>
          <w:rFonts w:asciiTheme="majorBidi" w:hAnsiTheme="majorBidi" w:cstheme="majorBidi"/>
          <w:b/>
          <w:bCs/>
          <w:sz w:val="24"/>
          <w:szCs w:val="24"/>
        </w:rPr>
      </w:pPr>
      <w:r>
        <w:rPr>
          <w:rFonts w:asciiTheme="majorBidi" w:hAnsiTheme="majorBidi" w:cstheme="majorBidi"/>
          <w:sz w:val="24"/>
          <w:szCs w:val="24"/>
        </w:rPr>
        <w:tab/>
        <w:t xml:space="preserve">Nous analyserons dans ce qui suit les principaux paramètres techniques et financiers de la </w:t>
      </w:r>
      <w:proofErr w:type="gramStart"/>
      <w:r>
        <w:rPr>
          <w:rFonts w:asciiTheme="majorBidi" w:hAnsiTheme="majorBidi" w:cstheme="majorBidi"/>
          <w:sz w:val="24"/>
          <w:szCs w:val="24"/>
        </w:rPr>
        <w:t>CAAT:</w:t>
      </w:r>
      <w:proofErr w:type="gramEnd"/>
      <w:r>
        <w:rPr>
          <w:rFonts w:asciiTheme="majorBidi" w:hAnsiTheme="majorBidi" w:cstheme="majorBidi"/>
          <w:sz w:val="24"/>
          <w:szCs w:val="24"/>
        </w:rPr>
        <w:t xml:space="preserve">  </w:t>
      </w:r>
      <w:r w:rsidRPr="004E23DD">
        <w:rPr>
          <w:rFonts w:asciiTheme="majorBidi" w:hAnsiTheme="majorBidi" w:cstheme="majorBidi"/>
          <w:b/>
          <w:bCs/>
          <w:sz w:val="24"/>
          <w:szCs w:val="24"/>
        </w:rPr>
        <w:t xml:space="preserve"> </w:t>
      </w:r>
    </w:p>
    <w:p w:rsidR="004E23DD" w:rsidRDefault="004E23DD" w:rsidP="00E525DA">
      <w:pPr>
        <w:spacing w:before="120" w:line="360" w:lineRule="auto"/>
        <w:jc w:val="both"/>
        <w:rPr>
          <w:rFonts w:asciiTheme="majorBidi" w:hAnsiTheme="majorBidi" w:cstheme="majorBidi"/>
          <w:b/>
          <w:bCs/>
          <w:sz w:val="24"/>
          <w:szCs w:val="24"/>
        </w:rPr>
      </w:pPr>
    </w:p>
    <w:p w:rsidR="004E23DD" w:rsidRDefault="004E23DD" w:rsidP="00B10394">
      <w:pPr>
        <w:spacing w:after="0" w:line="240" w:lineRule="auto"/>
        <w:jc w:val="both"/>
        <w:rPr>
          <w:rFonts w:asciiTheme="majorBidi" w:hAnsiTheme="majorBidi" w:cstheme="majorBidi"/>
          <w:b/>
          <w:bCs/>
          <w:sz w:val="28"/>
          <w:szCs w:val="28"/>
        </w:rPr>
      </w:pPr>
      <w:r w:rsidRPr="004E23DD">
        <w:rPr>
          <w:rFonts w:asciiTheme="majorBidi" w:hAnsiTheme="majorBidi" w:cstheme="majorBidi"/>
          <w:b/>
          <w:bCs/>
          <w:sz w:val="28"/>
          <w:szCs w:val="28"/>
        </w:rPr>
        <w:lastRenderedPageBreak/>
        <w:t>1-2-1- Le chiffre d’affaires </w:t>
      </w:r>
    </w:p>
    <w:p w:rsidR="00B10394" w:rsidRPr="004E23DD" w:rsidRDefault="00B10394" w:rsidP="00B10394">
      <w:pPr>
        <w:spacing w:after="0" w:line="240" w:lineRule="auto"/>
        <w:jc w:val="both"/>
        <w:rPr>
          <w:rFonts w:asciiTheme="majorBidi" w:hAnsiTheme="majorBidi" w:cstheme="majorBidi"/>
          <w:b/>
          <w:bCs/>
          <w:sz w:val="28"/>
          <w:szCs w:val="28"/>
        </w:rPr>
      </w:pPr>
    </w:p>
    <w:p w:rsidR="004E23DD" w:rsidRPr="004E23DD" w:rsidRDefault="004E23DD" w:rsidP="004E23DD">
      <w:pPr>
        <w:spacing w:before="120" w:line="360" w:lineRule="auto"/>
        <w:jc w:val="both"/>
        <w:rPr>
          <w:rFonts w:asciiTheme="majorBidi" w:hAnsiTheme="majorBidi" w:cstheme="majorBidi"/>
          <w:sz w:val="24"/>
          <w:szCs w:val="24"/>
        </w:rPr>
      </w:pPr>
      <w:r>
        <w:rPr>
          <w:rFonts w:asciiTheme="majorBidi" w:hAnsiTheme="majorBidi" w:cstheme="majorBidi"/>
          <w:sz w:val="24"/>
          <w:szCs w:val="24"/>
        </w:rPr>
        <w:tab/>
      </w:r>
      <w:r w:rsidRPr="004E23DD">
        <w:rPr>
          <w:rFonts w:asciiTheme="majorBidi" w:hAnsiTheme="majorBidi" w:cstheme="majorBidi"/>
          <w:sz w:val="24"/>
          <w:szCs w:val="24"/>
        </w:rPr>
        <w:t xml:space="preserve">Le chiffre d’affaires réalisé en </w:t>
      </w:r>
      <w:r w:rsidRPr="004E23DD">
        <w:rPr>
          <w:rFonts w:asciiTheme="majorBidi" w:hAnsiTheme="majorBidi" w:cstheme="majorBidi"/>
          <w:b/>
          <w:sz w:val="24"/>
          <w:szCs w:val="24"/>
        </w:rPr>
        <w:t>2012</w:t>
      </w:r>
      <w:r w:rsidRPr="004E23DD">
        <w:rPr>
          <w:rFonts w:asciiTheme="majorBidi" w:hAnsiTheme="majorBidi" w:cstheme="majorBidi"/>
          <w:sz w:val="24"/>
          <w:szCs w:val="24"/>
        </w:rPr>
        <w:t xml:space="preserve"> s’est élevé à </w:t>
      </w:r>
      <w:r w:rsidRPr="004E23DD">
        <w:rPr>
          <w:rFonts w:asciiTheme="majorBidi" w:hAnsiTheme="majorBidi" w:cstheme="majorBidi"/>
          <w:b/>
          <w:bCs/>
          <w:sz w:val="24"/>
          <w:szCs w:val="24"/>
        </w:rPr>
        <w:t xml:space="preserve">15,50 </w:t>
      </w:r>
      <w:r w:rsidRPr="004E23DD">
        <w:rPr>
          <w:rFonts w:asciiTheme="majorBidi" w:hAnsiTheme="majorBidi" w:cstheme="majorBidi"/>
          <w:sz w:val="24"/>
          <w:szCs w:val="24"/>
        </w:rPr>
        <w:t xml:space="preserve">milliards de Dinars, en évolution par rapport à celui de </w:t>
      </w:r>
      <w:r w:rsidRPr="004E23DD">
        <w:rPr>
          <w:rFonts w:asciiTheme="majorBidi" w:hAnsiTheme="majorBidi" w:cstheme="majorBidi"/>
          <w:b/>
          <w:sz w:val="24"/>
          <w:szCs w:val="24"/>
        </w:rPr>
        <w:t>2011</w:t>
      </w:r>
      <w:r w:rsidRPr="004E23DD">
        <w:rPr>
          <w:rFonts w:asciiTheme="majorBidi" w:hAnsiTheme="majorBidi" w:cstheme="majorBidi"/>
          <w:sz w:val="24"/>
          <w:szCs w:val="24"/>
        </w:rPr>
        <w:t xml:space="preserve"> (</w:t>
      </w:r>
      <w:proofErr w:type="gramStart"/>
      <w:r w:rsidRPr="004E23DD">
        <w:rPr>
          <w:rFonts w:asciiTheme="majorBidi" w:hAnsiTheme="majorBidi" w:cstheme="majorBidi"/>
          <w:b/>
          <w:bCs/>
          <w:sz w:val="24"/>
          <w:szCs w:val="24"/>
        </w:rPr>
        <w:t xml:space="preserve">14,636 </w:t>
      </w:r>
      <w:r w:rsidRPr="004E23DD">
        <w:rPr>
          <w:rFonts w:asciiTheme="majorBidi" w:hAnsiTheme="majorBidi" w:cstheme="majorBidi"/>
          <w:sz w:val="24"/>
          <w:szCs w:val="24"/>
        </w:rPr>
        <w:t xml:space="preserve"> milliards</w:t>
      </w:r>
      <w:proofErr w:type="gramEnd"/>
      <w:r w:rsidRPr="004E23DD">
        <w:rPr>
          <w:rFonts w:asciiTheme="majorBidi" w:hAnsiTheme="majorBidi" w:cstheme="majorBidi"/>
          <w:sz w:val="24"/>
          <w:szCs w:val="24"/>
        </w:rPr>
        <w:t xml:space="preserve">) et à celui de </w:t>
      </w:r>
      <w:r w:rsidRPr="004E23DD">
        <w:rPr>
          <w:rFonts w:asciiTheme="majorBidi" w:hAnsiTheme="majorBidi" w:cstheme="majorBidi"/>
          <w:b/>
          <w:sz w:val="24"/>
          <w:szCs w:val="24"/>
        </w:rPr>
        <w:t xml:space="preserve">2010 (14.08 </w:t>
      </w:r>
      <w:r w:rsidRPr="004E23DD">
        <w:rPr>
          <w:rFonts w:asciiTheme="majorBidi" w:hAnsiTheme="majorBidi" w:cstheme="majorBidi"/>
          <w:sz w:val="24"/>
          <w:szCs w:val="24"/>
        </w:rPr>
        <w:t>milliards).</w:t>
      </w:r>
    </w:p>
    <w:p w:rsidR="004E23DD" w:rsidRPr="00B10394" w:rsidRDefault="004E23DD" w:rsidP="004E23DD">
      <w:pPr>
        <w:spacing w:after="0" w:line="240" w:lineRule="auto"/>
        <w:jc w:val="both"/>
        <w:rPr>
          <w:rFonts w:asciiTheme="majorBidi" w:hAnsiTheme="majorBidi" w:cstheme="majorBidi"/>
          <w:b/>
          <w:sz w:val="28"/>
          <w:szCs w:val="28"/>
        </w:rPr>
      </w:pPr>
      <w:r w:rsidRPr="00B10394">
        <w:rPr>
          <w:rFonts w:asciiTheme="majorBidi" w:hAnsiTheme="majorBidi" w:cstheme="majorBidi"/>
          <w:b/>
          <w:sz w:val="28"/>
          <w:szCs w:val="28"/>
        </w:rPr>
        <w:t>1-2-2- La Structure du portefeuille </w:t>
      </w:r>
    </w:p>
    <w:p w:rsidR="004E23DD" w:rsidRPr="004E23DD" w:rsidRDefault="004E23DD" w:rsidP="004E23DD">
      <w:pPr>
        <w:spacing w:after="0" w:line="240" w:lineRule="auto"/>
        <w:jc w:val="both"/>
        <w:rPr>
          <w:rFonts w:asciiTheme="majorBidi" w:hAnsiTheme="majorBidi" w:cstheme="majorBidi"/>
          <w:b/>
          <w:sz w:val="24"/>
          <w:szCs w:val="24"/>
        </w:rPr>
      </w:pPr>
    </w:p>
    <w:p w:rsidR="004E23DD" w:rsidRPr="004E23DD" w:rsidRDefault="004E23DD" w:rsidP="004E23DD">
      <w:pPr>
        <w:pStyle w:val="Corpsdetexte2"/>
        <w:spacing w:line="360" w:lineRule="auto"/>
        <w:rPr>
          <w:rFonts w:asciiTheme="majorBidi" w:hAnsiTheme="majorBidi" w:cstheme="majorBidi"/>
          <w:bCs/>
          <w:sz w:val="24"/>
          <w:szCs w:val="24"/>
        </w:rPr>
      </w:pPr>
      <w:r>
        <w:rPr>
          <w:rFonts w:asciiTheme="majorBidi" w:hAnsiTheme="majorBidi" w:cstheme="majorBidi"/>
          <w:bCs/>
          <w:sz w:val="24"/>
          <w:szCs w:val="24"/>
        </w:rPr>
        <w:tab/>
      </w:r>
      <w:r w:rsidRPr="004E23DD">
        <w:rPr>
          <w:rFonts w:asciiTheme="majorBidi" w:hAnsiTheme="majorBidi" w:cstheme="majorBidi"/>
          <w:bCs/>
          <w:sz w:val="24"/>
          <w:szCs w:val="24"/>
        </w:rPr>
        <w:t xml:space="preserve">Au titre de l’exercice 2012, le portefeuille de </w:t>
      </w:r>
      <w:smartTag w:uri="urn:schemas-microsoft-com:office:smarttags" w:element="PersonName">
        <w:smartTagPr>
          <w:attr w:name="ProductID" w:val="La CAAT"/>
        </w:smartTagPr>
        <w:r w:rsidRPr="004E23DD">
          <w:rPr>
            <w:rFonts w:asciiTheme="majorBidi" w:hAnsiTheme="majorBidi" w:cstheme="majorBidi"/>
            <w:bCs/>
            <w:sz w:val="24"/>
            <w:szCs w:val="24"/>
          </w:rPr>
          <w:t>la CAAT</w:t>
        </w:r>
      </w:smartTag>
      <w:r w:rsidRPr="004E23DD">
        <w:rPr>
          <w:rFonts w:asciiTheme="majorBidi" w:hAnsiTheme="majorBidi" w:cstheme="majorBidi"/>
          <w:bCs/>
          <w:sz w:val="24"/>
          <w:szCs w:val="24"/>
        </w:rPr>
        <w:t>, qui reste dominé par la branc</w:t>
      </w:r>
      <w:r w:rsidR="00B10394">
        <w:rPr>
          <w:rFonts w:asciiTheme="majorBidi" w:hAnsiTheme="majorBidi" w:cstheme="majorBidi"/>
          <w:bCs/>
          <w:sz w:val="24"/>
          <w:szCs w:val="24"/>
        </w:rPr>
        <w:t xml:space="preserve">he IARD, se présente comme </w:t>
      </w:r>
      <w:proofErr w:type="gramStart"/>
      <w:r w:rsidR="00B10394">
        <w:rPr>
          <w:rFonts w:asciiTheme="majorBidi" w:hAnsiTheme="majorBidi" w:cstheme="majorBidi"/>
          <w:bCs/>
          <w:sz w:val="24"/>
          <w:szCs w:val="24"/>
        </w:rPr>
        <w:t>suit</w:t>
      </w:r>
      <w:r w:rsidRPr="004E23DD">
        <w:rPr>
          <w:rFonts w:asciiTheme="majorBidi" w:hAnsiTheme="majorBidi" w:cstheme="majorBidi"/>
          <w:bCs/>
          <w:sz w:val="24"/>
          <w:szCs w:val="24"/>
        </w:rPr>
        <w:t>:</w:t>
      </w:r>
      <w:proofErr w:type="gramEnd"/>
    </w:p>
    <w:p w:rsidR="004E23DD" w:rsidRPr="004E23DD" w:rsidRDefault="004E23DD" w:rsidP="004E23DD">
      <w:pPr>
        <w:pStyle w:val="Corpsdetexte2"/>
        <w:numPr>
          <w:ilvl w:val="0"/>
          <w:numId w:val="17"/>
        </w:numPr>
        <w:spacing w:after="0" w:line="240" w:lineRule="auto"/>
        <w:ind w:left="714" w:hanging="357"/>
        <w:jc w:val="both"/>
        <w:rPr>
          <w:rFonts w:asciiTheme="majorBidi" w:hAnsiTheme="majorBidi" w:cstheme="majorBidi"/>
          <w:bCs/>
          <w:sz w:val="24"/>
          <w:szCs w:val="24"/>
        </w:rPr>
      </w:pPr>
      <w:r w:rsidRPr="004E23DD">
        <w:rPr>
          <w:rFonts w:asciiTheme="majorBidi" w:hAnsiTheme="majorBidi" w:cstheme="majorBidi"/>
          <w:bCs/>
          <w:sz w:val="24"/>
          <w:szCs w:val="24"/>
        </w:rPr>
        <w:t>L’IARD totalise 54% du chiffre d’affaires ;</w:t>
      </w:r>
    </w:p>
    <w:p w:rsidR="004E23DD" w:rsidRPr="004E23DD" w:rsidRDefault="004E23DD" w:rsidP="004E23DD">
      <w:pPr>
        <w:pStyle w:val="Corpsdetexte2"/>
        <w:numPr>
          <w:ilvl w:val="0"/>
          <w:numId w:val="17"/>
        </w:numPr>
        <w:spacing w:after="0" w:line="240" w:lineRule="auto"/>
        <w:ind w:left="714" w:hanging="357"/>
        <w:jc w:val="both"/>
        <w:rPr>
          <w:rFonts w:asciiTheme="majorBidi" w:hAnsiTheme="majorBidi" w:cstheme="majorBidi"/>
          <w:bCs/>
          <w:sz w:val="24"/>
          <w:szCs w:val="24"/>
        </w:rPr>
      </w:pPr>
      <w:r w:rsidRPr="004E23DD">
        <w:rPr>
          <w:rFonts w:asciiTheme="majorBidi" w:hAnsiTheme="majorBidi" w:cstheme="majorBidi"/>
          <w:bCs/>
          <w:sz w:val="24"/>
          <w:szCs w:val="24"/>
        </w:rPr>
        <w:t>L’assurance automobile se situe en deuxième position avec 38</w:t>
      </w:r>
      <w:r w:rsidR="00B10394">
        <w:rPr>
          <w:rFonts w:asciiTheme="majorBidi" w:hAnsiTheme="majorBidi" w:cstheme="majorBidi"/>
          <w:bCs/>
          <w:sz w:val="24"/>
          <w:szCs w:val="24"/>
        </w:rPr>
        <w:t>%</w:t>
      </w:r>
      <w:r w:rsidRPr="004E23DD">
        <w:rPr>
          <w:rFonts w:asciiTheme="majorBidi" w:hAnsiTheme="majorBidi" w:cstheme="majorBidi"/>
          <w:bCs/>
          <w:sz w:val="24"/>
          <w:szCs w:val="24"/>
        </w:rPr>
        <w:t xml:space="preserve">; </w:t>
      </w:r>
    </w:p>
    <w:p w:rsidR="004E23DD" w:rsidRPr="004E23DD" w:rsidRDefault="004E23DD" w:rsidP="004E23DD">
      <w:pPr>
        <w:numPr>
          <w:ilvl w:val="0"/>
          <w:numId w:val="17"/>
        </w:numPr>
        <w:spacing w:after="0" w:line="240" w:lineRule="auto"/>
        <w:ind w:left="714" w:hanging="357"/>
        <w:jc w:val="both"/>
        <w:rPr>
          <w:rFonts w:asciiTheme="majorBidi" w:hAnsiTheme="majorBidi" w:cstheme="majorBidi"/>
          <w:bCs/>
          <w:sz w:val="24"/>
          <w:szCs w:val="24"/>
        </w:rPr>
      </w:pPr>
      <w:r w:rsidRPr="004E23DD">
        <w:rPr>
          <w:rFonts w:asciiTheme="majorBidi" w:hAnsiTheme="majorBidi" w:cstheme="majorBidi"/>
          <w:bCs/>
          <w:sz w:val="24"/>
          <w:szCs w:val="24"/>
        </w:rPr>
        <w:t>La part de la branche transports s’élève à 9%;</w:t>
      </w:r>
    </w:p>
    <w:p w:rsidR="004E23DD" w:rsidRPr="004E23DD" w:rsidRDefault="004E23DD" w:rsidP="004E23DD">
      <w:pPr>
        <w:jc w:val="both"/>
        <w:rPr>
          <w:rFonts w:asciiTheme="majorBidi" w:hAnsiTheme="majorBidi" w:cstheme="majorBidi"/>
          <w:sz w:val="24"/>
          <w:szCs w:val="24"/>
        </w:rPr>
      </w:pPr>
    </w:p>
    <w:p w:rsidR="004E23DD" w:rsidRPr="00B10394" w:rsidRDefault="00B10394" w:rsidP="00B10394">
      <w:pPr>
        <w:spacing w:before="120" w:after="0" w:line="240" w:lineRule="auto"/>
        <w:jc w:val="both"/>
        <w:rPr>
          <w:rFonts w:asciiTheme="majorBidi" w:hAnsiTheme="majorBidi" w:cstheme="majorBidi"/>
          <w:b/>
          <w:bCs/>
          <w:sz w:val="28"/>
          <w:szCs w:val="28"/>
        </w:rPr>
      </w:pPr>
      <w:r w:rsidRPr="00B10394">
        <w:rPr>
          <w:rFonts w:asciiTheme="majorBidi" w:hAnsiTheme="majorBidi" w:cstheme="majorBidi"/>
          <w:b/>
          <w:bCs/>
          <w:sz w:val="28"/>
          <w:szCs w:val="28"/>
        </w:rPr>
        <w:t xml:space="preserve">1-2-3- </w:t>
      </w:r>
      <w:r w:rsidR="004E23DD" w:rsidRPr="00B10394">
        <w:rPr>
          <w:rFonts w:asciiTheme="majorBidi" w:hAnsiTheme="majorBidi" w:cstheme="majorBidi"/>
          <w:b/>
          <w:bCs/>
          <w:sz w:val="28"/>
          <w:szCs w:val="28"/>
        </w:rPr>
        <w:t xml:space="preserve">Le </w:t>
      </w:r>
      <w:r w:rsidRPr="00B10394">
        <w:rPr>
          <w:rFonts w:asciiTheme="majorBidi" w:hAnsiTheme="majorBidi" w:cstheme="majorBidi"/>
          <w:b/>
          <w:bCs/>
          <w:sz w:val="28"/>
          <w:szCs w:val="28"/>
        </w:rPr>
        <w:t>Résultat Financier </w:t>
      </w:r>
    </w:p>
    <w:p w:rsidR="004E23DD" w:rsidRDefault="00B10394" w:rsidP="00B10394">
      <w:pPr>
        <w:tabs>
          <w:tab w:val="left" w:pos="240"/>
        </w:tabs>
        <w:spacing w:before="180"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4E23DD" w:rsidRPr="004E23DD">
        <w:rPr>
          <w:rFonts w:asciiTheme="majorBidi" w:hAnsiTheme="majorBidi" w:cstheme="majorBidi"/>
          <w:sz w:val="24"/>
          <w:szCs w:val="24"/>
        </w:rPr>
        <w:t>La marge d’assurance (Résultat technique) de l’exercice 2012 s’est élevée</w:t>
      </w:r>
      <w:r>
        <w:rPr>
          <w:rFonts w:asciiTheme="majorBidi" w:hAnsiTheme="majorBidi" w:cstheme="majorBidi"/>
          <w:sz w:val="24"/>
          <w:szCs w:val="24"/>
        </w:rPr>
        <w:t xml:space="preserve"> </w:t>
      </w:r>
      <w:r w:rsidR="004E23DD" w:rsidRPr="004E23DD">
        <w:rPr>
          <w:rFonts w:asciiTheme="majorBidi" w:hAnsiTheme="majorBidi" w:cstheme="majorBidi"/>
          <w:sz w:val="24"/>
          <w:szCs w:val="24"/>
        </w:rPr>
        <w:t xml:space="preserve">à </w:t>
      </w:r>
      <w:r w:rsidR="004E23DD" w:rsidRPr="004E23DD">
        <w:rPr>
          <w:rFonts w:asciiTheme="majorBidi" w:hAnsiTheme="majorBidi" w:cstheme="majorBidi"/>
          <w:b/>
          <w:sz w:val="24"/>
          <w:szCs w:val="24"/>
        </w:rPr>
        <w:t>4.300</w:t>
      </w:r>
      <w:r w:rsidR="004E23DD" w:rsidRPr="004E23DD">
        <w:rPr>
          <w:rFonts w:asciiTheme="majorBidi" w:hAnsiTheme="majorBidi" w:cstheme="majorBidi"/>
          <w:sz w:val="24"/>
          <w:szCs w:val="24"/>
        </w:rPr>
        <w:t xml:space="preserve"> millions de DA. </w:t>
      </w:r>
      <w:r w:rsidR="004E23DD" w:rsidRPr="00B10394">
        <w:rPr>
          <w:rFonts w:asciiTheme="majorBidi" w:hAnsiTheme="majorBidi" w:cstheme="majorBidi"/>
          <w:sz w:val="24"/>
          <w:szCs w:val="24"/>
        </w:rPr>
        <w:t xml:space="preserve">L’activité de l’exercice 2012 s’est soldée par un résultat </w:t>
      </w:r>
      <w:r>
        <w:rPr>
          <w:rFonts w:asciiTheme="majorBidi" w:hAnsiTheme="majorBidi" w:cstheme="majorBidi"/>
          <w:sz w:val="24"/>
          <w:szCs w:val="24"/>
        </w:rPr>
        <w:t xml:space="preserve">bénéficiaire </w:t>
      </w:r>
      <w:r w:rsidR="004E23DD" w:rsidRPr="00B10394">
        <w:rPr>
          <w:rFonts w:asciiTheme="majorBidi" w:hAnsiTheme="majorBidi" w:cstheme="majorBidi"/>
          <w:sz w:val="24"/>
          <w:szCs w:val="24"/>
        </w:rPr>
        <w:t>net de 833 millions</w:t>
      </w:r>
      <w:r>
        <w:rPr>
          <w:rFonts w:asciiTheme="majorBidi" w:hAnsiTheme="majorBidi" w:cstheme="majorBidi"/>
          <w:sz w:val="24"/>
          <w:szCs w:val="24"/>
        </w:rPr>
        <w:t xml:space="preserve"> de DA.</w:t>
      </w:r>
    </w:p>
    <w:p w:rsidR="00B10394" w:rsidRDefault="00B10394" w:rsidP="00760545">
      <w:pPr>
        <w:spacing w:before="120" w:after="0" w:line="240" w:lineRule="auto"/>
        <w:jc w:val="both"/>
        <w:rPr>
          <w:rFonts w:asciiTheme="majorBidi" w:hAnsiTheme="majorBidi" w:cstheme="majorBidi"/>
          <w:b/>
          <w:bCs/>
          <w:sz w:val="28"/>
          <w:szCs w:val="28"/>
        </w:rPr>
      </w:pPr>
      <w:r w:rsidRPr="00B10394">
        <w:rPr>
          <w:rFonts w:asciiTheme="majorBidi" w:hAnsiTheme="majorBidi" w:cstheme="majorBidi"/>
          <w:b/>
          <w:bCs/>
          <w:sz w:val="28"/>
          <w:szCs w:val="28"/>
        </w:rPr>
        <w:t>1-2-4- Le capital social </w:t>
      </w:r>
    </w:p>
    <w:p w:rsidR="00760545" w:rsidRPr="00B10394" w:rsidRDefault="00760545" w:rsidP="00760545">
      <w:pPr>
        <w:spacing w:before="120" w:after="0" w:line="240" w:lineRule="auto"/>
        <w:jc w:val="both"/>
        <w:rPr>
          <w:rFonts w:asciiTheme="majorBidi" w:hAnsiTheme="majorBidi" w:cstheme="majorBidi"/>
          <w:b/>
          <w:bCs/>
          <w:sz w:val="28"/>
          <w:szCs w:val="28"/>
        </w:rPr>
      </w:pPr>
    </w:p>
    <w:p w:rsidR="00B10394" w:rsidRPr="00B10394" w:rsidRDefault="00B10394" w:rsidP="00B97B5B">
      <w:pPr>
        <w:spacing w:before="120"/>
        <w:jc w:val="both"/>
        <w:rPr>
          <w:rFonts w:asciiTheme="majorBidi" w:hAnsiTheme="majorBidi" w:cstheme="majorBidi"/>
          <w:sz w:val="24"/>
          <w:szCs w:val="24"/>
        </w:rPr>
      </w:pPr>
      <w:r>
        <w:rPr>
          <w:rFonts w:ascii="Arial" w:hAnsi="Arial" w:cs="Arial"/>
        </w:rPr>
        <w:tab/>
      </w:r>
      <w:r w:rsidRPr="00B10394">
        <w:rPr>
          <w:rFonts w:asciiTheme="majorBidi" w:hAnsiTheme="majorBidi" w:cstheme="majorBidi"/>
          <w:sz w:val="24"/>
          <w:szCs w:val="24"/>
        </w:rPr>
        <w:t xml:space="preserve">Afin de soutenir l’évolution de ses affaires et sa puissance financière, le capital social de </w:t>
      </w:r>
      <w:smartTag w:uri="urn:schemas-microsoft-com:office:smarttags" w:element="PersonName">
        <w:smartTagPr>
          <w:attr w:name="ProductID" w:val="La CAAT"/>
        </w:smartTagPr>
        <w:r w:rsidRPr="00B10394">
          <w:rPr>
            <w:rFonts w:asciiTheme="majorBidi" w:hAnsiTheme="majorBidi" w:cstheme="majorBidi"/>
            <w:sz w:val="24"/>
            <w:szCs w:val="24"/>
          </w:rPr>
          <w:t>la CAAT</w:t>
        </w:r>
      </w:smartTag>
      <w:r w:rsidRPr="00B10394">
        <w:rPr>
          <w:rFonts w:asciiTheme="majorBidi" w:hAnsiTheme="majorBidi" w:cstheme="majorBidi"/>
          <w:sz w:val="24"/>
          <w:szCs w:val="24"/>
        </w:rPr>
        <w:t xml:space="preserve"> qui s’élevait à 7.490.000.000 DA a été por</w:t>
      </w:r>
      <w:r w:rsidR="00B97B5B">
        <w:rPr>
          <w:rFonts w:asciiTheme="majorBidi" w:hAnsiTheme="majorBidi" w:cstheme="majorBidi"/>
          <w:sz w:val="24"/>
          <w:szCs w:val="24"/>
        </w:rPr>
        <w:t>té en 2009, à 11.490.000.000 DA.</w:t>
      </w:r>
    </w:p>
    <w:tbl>
      <w:tblPr>
        <w:tblW w:w="9367" w:type="dxa"/>
        <w:tblCellMar>
          <w:left w:w="70" w:type="dxa"/>
          <w:right w:w="70" w:type="dxa"/>
        </w:tblCellMar>
        <w:tblLook w:val="0000"/>
      </w:tblPr>
      <w:tblGrid>
        <w:gridCol w:w="1429"/>
        <w:gridCol w:w="1418"/>
        <w:gridCol w:w="1417"/>
        <w:gridCol w:w="1418"/>
        <w:gridCol w:w="1134"/>
        <w:gridCol w:w="1417"/>
        <w:gridCol w:w="1134"/>
      </w:tblGrid>
      <w:tr w:rsidR="00B97B5B" w:rsidRPr="00B10394" w:rsidTr="00507DB7">
        <w:trPr>
          <w:trHeight w:val="845"/>
        </w:trPr>
        <w:tc>
          <w:tcPr>
            <w:tcW w:w="1429" w:type="dxa"/>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tcPr>
          <w:p w:rsidR="00B97B5B" w:rsidRPr="00B10394" w:rsidRDefault="00B97B5B" w:rsidP="00341914">
            <w:pPr>
              <w:jc w:val="center"/>
              <w:rPr>
                <w:rFonts w:asciiTheme="majorBidi" w:hAnsiTheme="majorBidi" w:cstheme="majorBidi"/>
                <w:b/>
                <w:bCs/>
                <w:color w:val="000000"/>
              </w:rPr>
            </w:pPr>
            <w:r w:rsidRPr="00B10394">
              <w:rPr>
                <w:rFonts w:asciiTheme="majorBidi" w:hAnsiTheme="majorBidi" w:cstheme="majorBidi"/>
                <w:b/>
                <w:bCs/>
                <w:color w:val="000000"/>
              </w:rPr>
              <w:t>Rubriques</w:t>
            </w:r>
          </w:p>
        </w:tc>
        <w:tc>
          <w:tcPr>
            <w:tcW w:w="1418" w:type="dxa"/>
            <w:tcBorders>
              <w:top w:val="single" w:sz="8" w:space="0" w:color="auto"/>
              <w:left w:val="nil"/>
              <w:bottom w:val="single" w:sz="8" w:space="0" w:color="auto"/>
              <w:right w:val="single" w:sz="8" w:space="0" w:color="auto"/>
            </w:tcBorders>
            <w:shd w:val="clear" w:color="auto" w:fill="CCC0D9" w:themeFill="accent4" w:themeFillTint="66"/>
            <w:noWrap/>
            <w:vAlign w:val="center"/>
          </w:tcPr>
          <w:p w:rsidR="00B97B5B" w:rsidRPr="00B10394" w:rsidRDefault="00B97B5B" w:rsidP="00341914">
            <w:pPr>
              <w:jc w:val="center"/>
              <w:rPr>
                <w:rFonts w:asciiTheme="majorBidi" w:hAnsiTheme="majorBidi" w:cstheme="majorBidi"/>
                <w:b/>
                <w:bCs/>
                <w:color w:val="000000"/>
              </w:rPr>
            </w:pPr>
            <w:r w:rsidRPr="00B10394">
              <w:rPr>
                <w:rFonts w:asciiTheme="majorBidi" w:hAnsiTheme="majorBidi" w:cstheme="majorBidi"/>
                <w:b/>
                <w:bCs/>
                <w:color w:val="000000"/>
              </w:rPr>
              <w:t>2008</w:t>
            </w:r>
          </w:p>
        </w:tc>
        <w:tc>
          <w:tcPr>
            <w:tcW w:w="1417" w:type="dxa"/>
            <w:tcBorders>
              <w:top w:val="single" w:sz="8" w:space="0" w:color="auto"/>
              <w:left w:val="nil"/>
              <w:bottom w:val="single" w:sz="8" w:space="0" w:color="auto"/>
              <w:right w:val="single" w:sz="8" w:space="0" w:color="auto"/>
            </w:tcBorders>
            <w:shd w:val="clear" w:color="auto" w:fill="CCC0D9" w:themeFill="accent4" w:themeFillTint="66"/>
            <w:noWrap/>
            <w:vAlign w:val="center"/>
          </w:tcPr>
          <w:p w:rsidR="00B97B5B" w:rsidRPr="00B10394" w:rsidRDefault="00B97B5B" w:rsidP="00341914">
            <w:pPr>
              <w:jc w:val="center"/>
              <w:rPr>
                <w:rFonts w:asciiTheme="majorBidi" w:hAnsiTheme="majorBidi" w:cstheme="majorBidi"/>
                <w:b/>
                <w:bCs/>
                <w:color w:val="000000"/>
              </w:rPr>
            </w:pPr>
            <w:r w:rsidRPr="00B10394">
              <w:rPr>
                <w:rFonts w:asciiTheme="majorBidi" w:hAnsiTheme="majorBidi" w:cstheme="majorBidi"/>
                <w:b/>
                <w:bCs/>
                <w:color w:val="000000"/>
              </w:rPr>
              <w:t>2009</w:t>
            </w:r>
          </w:p>
        </w:tc>
        <w:tc>
          <w:tcPr>
            <w:tcW w:w="1418" w:type="dxa"/>
            <w:tcBorders>
              <w:top w:val="single" w:sz="8" w:space="0" w:color="auto"/>
              <w:left w:val="nil"/>
              <w:bottom w:val="single" w:sz="8" w:space="0" w:color="auto"/>
              <w:right w:val="single" w:sz="8" w:space="0" w:color="auto"/>
            </w:tcBorders>
            <w:shd w:val="clear" w:color="auto" w:fill="CCC0D9" w:themeFill="accent4" w:themeFillTint="66"/>
            <w:noWrap/>
            <w:vAlign w:val="center"/>
          </w:tcPr>
          <w:p w:rsidR="00B97B5B" w:rsidRPr="00B10394" w:rsidRDefault="00B97B5B" w:rsidP="00341914">
            <w:pPr>
              <w:jc w:val="center"/>
              <w:rPr>
                <w:rFonts w:asciiTheme="majorBidi" w:hAnsiTheme="majorBidi" w:cstheme="majorBidi"/>
                <w:b/>
                <w:bCs/>
                <w:color w:val="000000"/>
              </w:rPr>
            </w:pPr>
            <w:r w:rsidRPr="00B10394">
              <w:rPr>
                <w:rFonts w:asciiTheme="majorBidi" w:hAnsiTheme="majorBidi" w:cstheme="majorBidi"/>
                <w:b/>
                <w:bCs/>
                <w:color w:val="000000"/>
              </w:rPr>
              <w:t>2010</w:t>
            </w:r>
          </w:p>
        </w:tc>
        <w:tc>
          <w:tcPr>
            <w:tcW w:w="1134" w:type="dxa"/>
            <w:tcBorders>
              <w:top w:val="single" w:sz="8" w:space="0" w:color="auto"/>
              <w:left w:val="nil"/>
              <w:bottom w:val="single" w:sz="8" w:space="0" w:color="auto"/>
              <w:right w:val="single" w:sz="4" w:space="0" w:color="auto"/>
            </w:tcBorders>
            <w:shd w:val="clear" w:color="auto" w:fill="CCC0D9" w:themeFill="accent4" w:themeFillTint="66"/>
            <w:noWrap/>
            <w:vAlign w:val="center"/>
          </w:tcPr>
          <w:p w:rsidR="00B97B5B" w:rsidRPr="00B10394" w:rsidRDefault="00B97B5B" w:rsidP="00341914">
            <w:pPr>
              <w:jc w:val="center"/>
              <w:rPr>
                <w:rFonts w:asciiTheme="majorBidi" w:hAnsiTheme="majorBidi" w:cstheme="majorBidi"/>
                <w:b/>
                <w:bCs/>
                <w:color w:val="000000"/>
              </w:rPr>
            </w:pPr>
            <w:r w:rsidRPr="00B10394">
              <w:rPr>
                <w:rFonts w:asciiTheme="majorBidi" w:hAnsiTheme="majorBidi" w:cstheme="majorBidi"/>
                <w:b/>
                <w:bCs/>
                <w:color w:val="000000"/>
              </w:rPr>
              <w:t>2011</w:t>
            </w:r>
          </w:p>
        </w:tc>
        <w:tc>
          <w:tcPr>
            <w:tcW w:w="1417" w:type="dxa"/>
            <w:tcBorders>
              <w:top w:val="single" w:sz="4" w:space="0" w:color="auto"/>
              <w:left w:val="single" w:sz="4" w:space="0" w:color="auto"/>
              <w:bottom w:val="single" w:sz="8" w:space="0" w:color="auto"/>
              <w:right w:val="single" w:sz="4" w:space="0" w:color="auto"/>
            </w:tcBorders>
            <w:shd w:val="clear" w:color="auto" w:fill="CCC0D9" w:themeFill="accent4" w:themeFillTint="66"/>
            <w:vAlign w:val="center"/>
          </w:tcPr>
          <w:p w:rsidR="00B97B5B" w:rsidRPr="00B10394" w:rsidRDefault="00B97B5B" w:rsidP="00341914">
            <w:pPr>
              <w:tabs>
                <w:tab w:val="left" w:pos="2481"/>
              </w:tabs>
              <w:jc w:val="center"/>
              <w:rPr>
                <w:rFonts w:asciiTheme="majorBidi" w:hAnsiTheme="majorBidi" w:cstheme="majorBidi"/>
                <w:b/>
                <w:bCs/>
                <w:color w:val="000000"/>
              </w:rPr>
            </w:pPr>
            <w:r w:rsidRPr="00B10394">
              <w:rPr>
                <w:rFonts w:asciiTheme="majorBidi" w:hAnsiTheme="majorBidi" w:cstheme="majorBidi"/>
                <w:b/>
                <w:bCs/>
                <w:color w:val="000000"/>
              </w:rPr>
              <w:t>2012</w:t>
            </w:r>
          </w:p>
        </w:tc>
        <w:tc>
          <w:tcPr>
            <w:tcW w:w="1134"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B97B5B" w:rsidRPr="00B10394" w:rsidRDefault="009465DC" w:rsidP="00341914">
            <w:pPr>
              <w:jc w:val="center"/>
              <w:rPr>
                <w:rFonts w:asciiTheme="majorBidi" w:hAnsiTheme="majorBidi" w:cstheme="majorBidi"/>
                <w:b/>
                <w:bCs/>
              </w:rPr>
            </w:pPr>
            <w:r>
              <w:rPr>
                <w:rFonts w:asciiTheme="majorBidi" w:hAnsiTheme="majorBidi" w:cstheme="majorBidi"/>
                <w:b/>
                <w:bCs/>
              </w:rPr>
              <w:t>Évolution</w:t>
            </w:r>
            <w:r w:rsidR="00B97B5B">
              <w:rPr>
                <w:rFonts w:asciiTheme="majorBidi" w:hAnsiTheme="majorBidi" w:cstheme="majorBidi"/>
                <w:b/>
                <w:bCs/>
              </w:rPr>
              <w:t xml:space="preserve"> 2008</w:t>
            </w:r>
            <w:r w:rsidR="00B97B5B" w:rsidRPr="00B10394">
              <w:rPr>
                <w:rFonts w:asciiTheme="majorBidi" w:hAnsiTheme="majorBidi" w:cstheme="majorBidi"/>
                <w:b/>
                <w:bCs/>
              </w:rPr>
              <w:t>/2012</w:t>
            </w:r>
          </w:p>
        </w:tc>
      </w:tr>
      <w:tr w:rsidR="00B97B5B" w:rsidRPr="00B10394" w:rsidTr="00B97B5B">
        <w:trPr>
          <w:trHeight w:val="646"/>
        </w:trPr>
        <w:tc>
          <w:tcPr>
            <w:tcW w:w="1429" w:type="dxa"/>
            <w:tcBorders>
              <w:top w:val="nil"/>
              <w:left w:val="single" w:sz="8" w:space="0" w:color="auto"/>
              <w:bottom w:val="single" w:sz="8" w:space="0" w:color="auto"/>
              <w:right w:val="single" w:sz="8" w:space="0" w:color="auto"/>
            </w:tcBorders>
            <w:shd w:val="clear" w:color="auto" w:fill="FFFFFF"/>
            <w:noWrap/>
            <w:vAlign w:val="center"/>
          </w:tcPr>
          <w:p w:rsidR="00B97B5B" w:rsidRPr="00B10394" w:rsidRDefault="00B97B5B" w:rsidP="00341914">
            <w:pPr>
              <w:rPr>
                <w:rFonts w:asciiTheme="majorBidi" w:hAnsiTheme="majorBidi" w:cstheme="majorBidi"/>
                <w:b/>
                <w:bCs/>
                <w:color w:val="000000"/>
              </w:rPr>
            </w:pPr>
            <w:r w:rsidRPr="00B10394">
              <w:rPr>
                <w:rFonts w:asciiTheme="majorBidi" w:hAnsiTheme="majorBidi" w:cstheme="majorBidi"/>
                <w:b/>
                <w:bCs/>
                <w:color w:val="000000"/>
              </w:rPr>
              <w:t>Capital Social</w:t>
            </w:r>
          </w:p>
        </w:tc>
        <w:tc>
          <w:tcPr>
            <w:tcW w:w="1418" w:type="dxa"/>
            <w:tcBorders>
              <w:top w:val="nil"/>
              <w:left w:val="nil"/>
              <w:bottom w:val="single" w:sz="8" w:space="0" w:color="auto"/>
              <w:right w:val="single" w:sz="8" w:space="0" w:color="auto"/>
            </w:tcBorders>
            <w:shd w:val="clear" w:color="auto" w:fill="FFFFFF"/>
            <w:noWrap/>
            <w:vAlign w:val="center"/>
          </w:tcPr>
          <w:p w:rsidR="00B97B5B" w:rsidRPr="00B10394" w:rsidRDefault="00B97B5B" w:rsidP="00B10394">
            <w:pPr>
              <w:ind w:firstLineChars="100" w:firstLine="220"/>
              <w:jc w:val="right"/>
              <w:rPr>
                <w:rFonts w:asciiTheme="majorBidi" w:hAnsiTheme="majorBidi" w:cstheme="majorBidi"/>
                <w:color w:val="000000"/>
              </w:rPr>
            </w:pPr>
            <w:r w:rsidRPr="00B10394">
              <w:rPr>
                <w:rFonts w:asciiTheme="majorBidi" w:hAnsiTheme="majorBidi" w:cstheme="majorBidi"/>
                <w:color w:val="000000"/>
              </w:rPr>
              <w:t>7 490 000</w:t>
            </w:r>
          </w:p>
        </w:tc>
        <w:tc>
          <w:tcPr>
            <w:tcW w:w="1417" w:type="dxa"/>
            <w:tcBorders>
              <w:top w:val="nil"/>
              <w:left w:val="nil"/>
              <w:bottom w:val="single" w:sz="8" w:space="0" w:color="auto"/>
              <w:right w:val="single" w:sz="8" w:space="0" w:color="auto"/>
            </w:tcBorders>
            <w:shd w:val="clear" w:color="auto" w:fill="FFFFFF"/>
            <w:noWrap/>
            <w:vAlign w:val="center"/>
          </w:tcPr>
          <w:p w:rsidR="00B97B5B" w:rsidRPr="00B10394" w:rsidRDefault="00B97B5B" w:rsidP="00B10394">
            <w:pPr>
              <w:ind w:firstLineChars="100" w:firstLine="220"/>
              <w:jc w:val="right"/>
              <w:rPr>
                <w:rFonts w:asciiTheme="majorBidi" w:hAnsiTheme="majorBidi" w:cstheme="majorBidi"/>
                <w:color w:val="000000"/>
              </w:rPr>
            </w:pPr>
            <w:r w:rsidRPr="00B10394">
              <w:rPr>
                <w:rFonts w:asciiTheme="majorBidi" w:hAnsiTheme="majorBidi" w:cstheme="majorBidi"/>
                <w:color w:val="000000"/>
              </w:rPr>
              <w:t>11 490 000</w:t>
            </w:r>
          </w:p>
        </w:tc>
        <w:tc>
          <w:tcPr>
            <w:tcW w:w="1418" w:type="dxa"/>
            <w:tcBorders>
              <w:top w:val="nil"/>
              <w:left w:val="nil"/>
              <w:bottom w:val="single" w:sz="8" w:space="0" w:color="auto"/>
              <w:right w:val="single" w:sz="8" w:space="0" w:color="auto"/>
            </w:tcBorders>
            <w:shd w:val="clear" w:color="auto" w:fill="FFFFFF"/>
            <w:noWrap/>
            <w:vAlign w:val="center"/>
          </w:tcPr>
          <w:p w:rsidR="00B97B5B" w:rsidRPr="00B10394" w:rsidRDefault="00B97B5B" w:rsidP="00B10394">
            <w:pPr>
              <w:ind w:firstLineChars="100" w:firstLine="220"/>
              <w:jc w:val="right"/>
              <w:rPr>
                <w:rFonts w:asciiTheme="majorBidi" w:hAnsiTheme="majorBidi" w:cstheme="majorBidi"/>
                <w:color w:val="000000"/>
              </w:rPr>
            </w:pPr>
            <w:r w:rsidRPr="00B10394">
              <w:rPr>
                <w:rFonts w:asciiTheme="majorBidi" w:hAnsiTheme="majorBidi" w:cstheme="majorBidi"/>
                <w:color w:val="000000"/>
              </w:rPr>
              <w:t>11 490 000</w:t>
            </w:r>
          </w:p>
        </w:tc>
        <w:tc>
          <w:tcPr>
            <w:tcW w:w="1134" w:type="dxa"/>
            <w:tcBorders>
              <w:top w:val="nil"/>
              <w:left w:val="nil"/>
              <w:bottom w:val="single" w:sz="8" w:space="0" w:color="auto"/>
              <w:right w:val="single" w:sz="4" w:space="0" w:color="auto"/>
            </w:tcBorders>
            <w:shd w:val="clear" w:color="auto" w:fill="FFFFFF"/>
            <w:noWrap/>
            <w:vAlign w:val="center"/>
          </w:tcPr>
          <w:p w:rsidR="00B97B5B" w:rsidRPr="00B10394" w:rsidRDefault="00B97B5B" w:rsidP="00341914">
            <w:pPr>
              <w:rPr>
                <w:rFonts w:asciiTheme="majorBidi" w:hAnsiTheme="majorBidi" w:cstheme="majorBidi"/>
                <w:color w:val="000000"/>
              </w:rPr>
            </w:pPr>
            <w:r w:rsidRPr="00B10394">
              <w:rPr>
                <w:rFonts w:asciiTheme="majorBidi" w:hAnsiTheme="majorBidi" w:cstheme="majorBidi"/>
                <w:color w:val="000000"/>
              </w:rPr>
              <w:t>11 490 000</w:t>
            </w:r>
          </w:p>
        </w:tc>
        <w:tc>
          <w:tcPr>
            <w:tcW w:w="1417" w:type="dxa"/>
            <w:tcBorders>
              <w:top w:val="nil"/>
              <w:left w:val="single" w:sz="4" w:space="0" w:color="auto"/>
              <w:bottom w:val="single" w:sz="8" w:space="0" w:color="auto"/>
              <w:right w:val="single" w:sz="4" w:space="0" w:color="auto"/>
            </w:tcBorders>
            <w:shd w:val="clear" w:color="auto" w:fill="FFFFFF"/>
            <w:vAlign w:val="center"/>
          </w:tcPr>
          <w:p w:rsidR="00B97B5B" w:rsidRPr="00B10394" w:rsidRDefault="00B97B5B" w:rsidP="00341914">
            <w:pPr>
              <w:jc w:val="center"/>
              <w:rPr>
                <w:rFonts w:asciiTheme="majorBidi" w:hAnsiTheme="majorBidi" w:cstheme="majorBidi"/>
                <w:color w:val="000000"/>
              </w:rPr>
            </w:pPr>
            <w:r w:rsidRPr="00B10394">
              <w:rPr>
                <w:rFonts w:asciiTheme="majorBidi" w:hAnsiTheme="majorBidi" w:cstheme="majorBidi"/>
                <w:color w:val="000000"/>
              </w:rPr>
              <w:t>11 490 000</w:t>
            </w:r>
          </w:p>
        </w:tc>
        <w:tc>
          <w:tcPr>
            <w:tcW w:w="1134" w:type="dxa"/>
            <w:tcBorders>
              <w:top w:val="nil"/>
              <w:left w:val="single" w:sz="4" w:space="0" w:color="auto"/>
              <w:bottom w:val="single" w:sz="8" w:space="0" w:color="auto"/>
              <w:right w:val="single" w:sz="8" w:space="0" w:color="auto"/>
            </w:tcBorders>
            <w:shd w:val="clear" w:color="auto" w:fill="FFFFFF"/>
            <w:vAlign w:val="center"/>
          </w:tcPr>
          <w:p w:rsidR="00B97B5B" w:rsidRPr="00B10394" w:rsidRDefault="00B97B5B" w:rsidP="00B10394">
            <w:pPr>
              <w:ind w:firstLineChars="100" w:firstLine="220"/>
              <w:jc w:val="center"/>
              <w:rPr>
                <w:rFonts w:asciiTheme="majorBidi" w:hAnsiTheme="majorBidi" w:cstheme="majorBidi"/>
                <w:color w:val="000000"/>
              </w:rPr>
            </w:pPr>
            <w:r>
              <w:rPr>
                <w:rFonts w:asciiTheme="majorBidi" w:hAnsiTheme="majorBidi" w:cstheme="majorBidi"/>
                <w:color w:val="000000"/>
              </w:rPr>
              <w:t>53,40%</w:t>
            </w:r>
          </w:p>
        </w:tc>
      </w:tr>
      <w:tr w:rsidR="00B97B5B" w:rsidRPr="00B10394" w:rsidTr="00B97B5B">
        <w:trPr>
          <w:trHeight w:val="646"/>
        </w:trPr>
        <w:tc>
          <w:tcPr>
            <w:tcW w:w="1429" w:type="dxa"/>
            <w:tcBorders>
              <w:top w:val="nil"/>
              <w:left w:val="single" w:sz="8" w:space="0" w:color="auto"/>
              <w:bottom w:val="single" w:sz="8" w:space="0" w:color="auto"/>
              <w:right w:val="single" w:sz="8" w:space="0" w:color="auto"/>
            </w:tcBorders>
            <w:shd w:val="clear" w:color="auto" w:fill="FFFFFF"/>
            <w:noWrap/>
            <w:vAlign w:val="center"/>
          </w:tcPr>
          <w:p w:rsidR="00B97B5B" w:rsidRPr="00B10394" w:rsidRDefault="00B97B5B" w:rsidP="00341914">
            <w:pPr>
              <w:rPr>
                <w:rFonts w:asciiTheme="majorBidi" w:hAnsiTheme="majorBidi" w:cstheme="majorBidi"/>
                <w:b/>
                <w:bCs/>
                <w:color w:val="000000"/>
              </w:rPr>
            </w:pPr>
            <w:r w:rsidRPr="00B10394">
              <w:rPr>
                <w:rFonts w:asciiTheme="majorBidi" w:hAnsiTheme="majorBidi" w:cstheme="majorBidi"/>
                <w:b/>
                <w:bCs/>
                <w:color w:val="000000"/>
              </w:rPr>
              <w:t>Fonds Propres</w:t>
            </w:r>
          </w:p>
        </w:tc>
        <w:tc>
          <w:tcPr>
            <w:tcW w:w="1418" w:type="dxa"/>
            <w:tcBorders>
              <w:top w:val="nil"/>
              <w:left w:val="nil"/>
              <w:bottom w:val="single" w:sz="8" w:space="0" w:color="auto"/>
              <w:right w:val="single" w:sz="8" w:space="0" w:color="auto"/>
            </w:tcBorders>
            <w:shd w:val="clear" w:color="auto" w:fill="FFFFFF"/>
            <w:noWrap/>
            <w:vAlign w:val="center"/>
          </w:tcPr>
          <w:p w:rsidR="00B97B5B" w:rsidRPr="00B10394" w:rsidRDefault="00B97B5B" w:rsidP="00B10394">
            <w:pPr>
              <w:ind w:firstLineChars="100" w:firstLine="220"/>
              <w:jc w:val="right"/>
              <w:rPr>
                <w:rFonts w:asciiTheme="majorBidi" w:hAnsiTheme="majorBidi" w:cstheme="majorBidi"/>
                <w:color w:val="000000"/>
              </w:rPr>
            </w:pPr>
            <w:r w:rsidRPr="00B10394">
              <w:rPr>
                <w:rFonts w:asciiTheme="majorBidi" w:hAnsiTheme="majorBidi" w:cstheme="majorBidi"/>
                <w:color w:val="000000"/>
              </w:rPr>
              <w:t>9 573 177</w:t>
            </w:r>
          </w:p>
        </w:tc>
        <w:tc>
          <w:tcPr>
            <w:tcW w:w="1417" w:type="dxa"/>
            <w:tcBorders>
              <w:top w:val="nil"/>
              <w:left w:val="nil"/>
              <w:bottom w:val="single" w:sz="8" w:space="0" w:color="auto"/>
              <w:right w:val="single" w:sz="8" w:space="0" w:color="auto"/>
            </w:tcBorders>
            <w:shd w:val="clear" w:color="auto" w:fill="FFFFFF"/>
            <w:noWrap/>
            <w:vAlign w:val="center"/>
          </w:tcPr>
          <w:p w:rsidR="00B97B5B" w:rsidRPr="00B10394" w:rsidRDefault="00B97B5B" w:rsidP="00B10394">
            <w:pPr>
              <w:ind w:firstLineChars="100" w:firstLine="220"/>
              <w:jc w:val="right"/>
              <w:rPr>
                <w:rFonts w:asciiTheme="majorBidi" w:hAnsiTheme="majorBidi" w:cstheme="majorBidi"/>
                <w:color w:val="000000"/>
              </w:rPr>
            </w:pPr>
            <w:r w:rsidRPr="00B10394">
              <w:rPr>
                <w:rFonts w:asciiTheme="majorBidi" w:hAnsiTheme="majorBidi" w:cstheme="majorBidi"/>
                <w:color w:val="000000"/>
              </w:rPr>
              <w:t>14 915 537</w:t>
            </w:r>
          </w:p>
        </w:tc>
        <w:tc>
          <w:tcPr>
            <w:tcW w:w="1418" w:type="dxa"/>
            <w:tcBorders>
              <w:top w:val="nil"/>
              <w:left w:val="nil"/>
              <w:bottom w:val="single" w:sz="8" w:space="0" w:color="auto"/>
              <w:right w:val="single" w:sz="8" w:space="0" w:color="auto"/>
            </w:tcBorders>
            <w:shd w:val="clear" w:color="auto" w:fill="FFFFFF"/>
            <w:noWrap/>
            <w:vAlign w:val="center"/>
          </w:tcPr>
          <w:p w:rsidR="00B97B5B" w:rsidRPr="00B10394" w:rsidRDefault="00B97B5B" w:rsidP="00B10394">
            <w:pPr>
              <w:ind w:firstLineChars="100" w:firstLine="220"/>
              <w:jc w:val="right"/>
              <w:rPr>
                <w:rFonts w:asciiTheme="majorBidi" w:hAnsiTheme="majorBidi" w:cstheme="majorBidi"/>
                <w:color w:val="000000"/>
              </w:rPr>
            </w:pPr>
            <w:r w:rsidRPr="00B10394">
              <w:rPr>
                <w:rFonts w:asciiTheme="majorBidi" w:hAnsiTheme="majorBidi" w:cstheme="majorBidi"/>
                <w:color w:val="000000"/>
              </w:rPr>
              <w:t>15 018 077</w:t>
            </w:r>
          </w:p>
        </w:tc>
        <w:tc>
          <w:tcPr>
            <w:tcW w:w="1134" w:type="dxa"/>
            <w:tcBorders>
              <w:top w:val="nil"/>
              <w:left w:val="nil"/>
              <w:bottom w:val="single" w:sz="8" w:space="0" w:color="auto"/>
              <w:right w:val="single" w:sz="4" w:space="0" w:color="auto"/>
            </w:tcBorders>
            <w:shd w:val="clear" w:color="auto" w:fill="FFFFFF"/>
            <w:noWrap/>
            <w:vAlign w:val="center"/>
          </w:tcPr>
          <w:p w:rsidR="00B97B5B" w:rsidRPr="00B10394" w:rsidRDefault="00B97B5B" w:rsidP="00341914">
            <w:pPr>
              <w:rPr>
                <w:rFonts w:asciiTheme="majorBidi" w:hAnsiTheme="majorBidi" w:cstheme="majorBidi"/>
                <w:color w:val="000000"/>
              </w:rPr>
            </w:pPr>
            <w:r w:rsidRPr="00B10394">
              <w:rPr>
                <w:rFonts w:asciiTheme="majorBidi" w:hAnsiTheme="majorBidi" w:cstheme="majorBidi"/>
                <w:color w:val="000000"/>
              </w:rPr>
              <w:t>16 238 713</w:t>
            </w:r>
          </w:p>
        </w:tc>
        <w:tc>
          <w:tcPr>
            <w:tcW w:w="1417" w:type="dxa"/>
            <w:tcBorders>
              <w:top w:val="nil"/>
              <w:left w:val="single" w:sz="4" w:space="0" w:color="auto"/>
              <w:bottom w:val="single" w:sz="8" w:space="0" w:color="auto"/>
              <w:right w:val="single" w:sz="4" w:space="0" w:color="auto"/>
            </w:tcBorders>
            <w:shd w:val="clear" w:color="auto" w:fill="FFFFFF"/>
            <w:vAlign w:val="center"/>
          </w:tcPr>
          <w:p w:rsidR="00B97B5B" w:rsidRPr="00B10394" w:rsidRDefault="00B97B5B" w:rsidP="00341914">
            <w:pPr>
              <w:jc w:val="center"/>
              <w:rPr>
                <w:rFonts w:asciiTheme="majorBidi" w:hAnsiTheme="majorBidi" w:cstheme="majorBidi"/>
                <w:color w:val="000000"/>
              </w:rPr>
            </w:pPr>
            <w:r w:rsidRPr="00B10394">
              <w:rPr>
                <w:rFonts w:asciiTheme="majorBidi" w:hAnsiTheme="majorBidi" w:cstheme="majorBidi"/>
              </w:rPr>
              <w:t>16 693 935</w:t>
            </w:r>
          </w:p>
        </w:tc>
        <w:tc>
          <w:tcPr>
            <w:tcW w:w="1134" w:type="dxa"/>
            <w:tcBorders>
              <w:top w:val="nil"/>
              <w:left w:val="single" w:sz="4" w:space="0" w:color="auto"/>
              <w:bottom w:val="single" w:sz="8" w:space="0" w:color="auto"/>
              <w:right w:val="single" w:sz="8" w:space="0" w:color="auto"/>
            </w:tcBorders>
            <w:shd w:val="clear" w:color="auto" w:fill="FFFFFF"/>
            <w:vAlign w:val="center"/>
          </w:tcPr>
          <w:p w:rsidR="00B97B5B" w:rsidRPr="00B10394" w:rsidRDefault="00507DB7" w:rsidP="00B10394">
            <w:pPr>
              <w:ind w:firstLineChars="100" w:firstLine="220"/>
              <w:jc w:val="center"/>
              <w:rPr>
                <w:rFonts w:asciiTheme="majorBidi" w:hAnsiTheme="majorBidi" w:cstheme="majorBidi"/>
                <w:color w:val="000000"/>
              </w:rPr>
            </w:pPr>
            <w:r>
              <w:rPr>
                <w:rFonts w:asciiTheme="majorBidi" w:hAnsiTheme="majorBidi" w:cstheme="majorBidi"/>
                <w:color w:val="000000"/>
              </w:rPr>
              <w:t>74,38%</w:t>
            </w:r>
          </w:p>
        </w:tc>
      </w:tr>
    </w:tbl>
    <w:p w:rsidR="00B97B5B" w:rsidRDefault="00B97B5B" w:rsidP="00B97B5B">
      <w:pPr>
        <w:spacing w:line="360" w:lineRule="auto"/>
        <w:jc w:val="both"/>
        <w:rPr>
          <w:rFonts w:asciiTheme="majorBidi" w:hAnsiTheme="majorBidi" w:cstheme="majorBidi"/>
          <w:b/>
          <w:bCs/>
          <w:sz w:val="24"/>
          <w:szCs w:val="24"/>
        </w:rPr>
      </w:pPr>
      <w:r w:rsidRPr="00B73BA9">
        <w:rPr>
          <w:rFonts w:asciiTheme="majorBidi" w:hAnsiTheme="majorBidi" w:cstheme="majorBidi"/>
          <w:b/>
          <w:bCs/>
          <w:sz w:val="24"/>
          <w:szCs w:val="24"/>
        </w:rPr>
        <w:t>Tableau N°</w:t>
      </w:r>
      <w:r w:rsidR="00B73BA9" w:rsidRPr="00B73BA9">
        <w:rPr>
          <w:rFonts w:asciiTheme="majorBidi" w:hAnsiTheme="majorBidi" w:cstheme="majorBidi"/>
          <w:b/>
          <w:bCs/>
          <w:sz w:val="24"/>
          <w:szCs w:val="24"/>
        </w:rPr>
        <w:t>8</w:t>
      </w:r>
      <w:r w:rsidRPr="00B97B5B">
        <w:rPr>
          <w:rFonts w:asciiTheme="majorBidi" w:hAnsiTheme="majorBidi" w:cstheme="majorBidi"/>
          <w:b/>
          <w:bCs/>
          <w:sz w:val="24"/>
          <w:szCs w:val="24"/>
        </w:rPr>
        <w:t xml:space="preserve"> : L'évolution du capital social de la CAAT</w:t>
      </w:r>
    </w:p>
    <w:p w:rsidR="00507DB7" w:rsidRPr="00507DB7" w:rsidRDefault="000F1804" w:rsidP="00B97B5B">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507DB7">
        <w:rPr>
          <w:rFonts w:asciiTheme="majorBidi" w:hAnsiTheme="majorBidi" w:cstheme="majorBidi"/>
          <w:sz w:val="24"/>
          <w:szCs w:val="24"/>
        </w:rPr>
        <w:t>L</w:t>
      </w:r>
      <w:r w:rsidR="00507DB7" w:rsidRPr="00507DB7">
        <w:rPr>
          <w:rFonts w:asciiTheme="majorBidi" w:hAnsiTheme="majorBidi" w:cstheme="majorBidi"/>
          <w:sz w:val="24"/>
          <w:szCs w:val="24"/>
        </w:rPr>
        <w:t>e tableau montre l'évolution du capital social et des fonds propres</w:t>
      </w:r>
      <w:r>
        <w:rPr>
          <w:rFonts w:asciiTheme="majorBidi" w:hAnsiTheme="majorBidi" w:cstheme="majorBidi"/>
          <w:sz w:val="24"/>
          <w:szCs w:val="24"/>
        </w:rPr>
        <w:t xml:space="preserve"> de la compagnie algérienne des assurances. Le taux d'évolution du capital social de la période 2008-2012 est à l'ordre de 53,40%, ce qui s'explique notamment par la volonté de la CAAT à entretenir son volume d'affaire qui ne cesse d'augmenter. </w:t>
      </w:r>
      <w:r w:rsidR="00507DB7" w:rsidRPr="00507DB7">
        <w:rPr>
          <w:rFonts w:asciiTheme="majorBidi" w:hAnsiTheme="majorBidi" w:cstheme="majorBidi"/>
          <w:sz w:val="24"/>
          <w:szCs w:val="24"/>
        </w:rPr>
        <w:t xml:space="preserve">   </w:t>
      </w:r>
    </w:p>
    <w:p w:rsidR="00B97B5B" w:rsidRDefault="00B97B5B" w:rsidP="00CC7304">
      <w:pPr>
        <w:spacing w:line="360" w:lineRule="auto"/>
        <w:jc w:val="both"/>
        <w:rPr>
          <w:rFonts w:asciiTheme="majorBidi" w:hAnsiTheme="majorBidi" w:cstheme="majorBidi"/>
          <w:sz w:val="24"/>
          <w:szCs w:val="24"/>
        </w:rPr>
      </w:pPr>
    </w:p>
    <w:p w:rsidR="00F636E6" w:rsidRDefault="005A62A5" w:rsidP="00CC7304">
      <w:pPr>
        <w:spacing w:line="360" w:lineRule="auto"/>
        <w:jc w:val="both"/>
        <w:rPr>
          <w:rFonts w:asciiTheme="majorBidi" w:hAnsiTheme="majorBidi" w:cstheme="majorBidi"/>
          <w:b/>
          <w:bCs/>
          <w:sz w:val="32"/>
          <w:szCs w:val="32"/>
        </w:rPr>
      </w:pPr>
      <w:r w:rsidRPr="005A62A5">
        <w:rPr>
          <w:rFonts w:asciiTheme="majorBidi" w:hAnsiTheme="majorBidi" w:cstheme="majorBidi"/>
          <w:b/>
          <w:bCs/>
          <w:sz w:val="32"/>
          <w:szCs w:val="32"/>
        </w:rPr>
        <w:lastRenderedPageBreak/>
        <w:t xml:space="preserve">SECTION </w:t>
      </w:r>
      <w:proofErr w:type="gramStart"/>
      <w:r w:rsidRPr="005A62A5">
        <w:rPr>
          <w:rFonts w:asciiTheme="majorBidi" w:hAnsiTheme="majorBidi" w:cstheme="majorBidi"/>
          <w:b/>
          <w:bCs/>
          <w:sz w:val="32"/>
          <w:szCs w:val="32"/>
        </w:rPr>
        <w:t>02:</w:t>
      </w:r>
      <w:proofErr w:type="gramEnd"/>
      <w:r w:rsidRPr="005A62A5">
        <w:rPr>
          <w:rFonts w:asciiTheme="majorBidi" w:hAnsiTheme="majorBidi" w:cstheme="majorBidi"/>
          <w:b/>
          <w:bCs/>
          <w:sz w:val="32"/>
          <w:szCs w:val="32"/>
        </w:rPr>
        <w:t xml:space="preserve"> LE CALCUL DE LA MARGE DE SOLVABILITE</w:t>
      </w:r>
      <w:r w:rsidR="0058303B">
        <w:rPr>
          <w:rFonts w:asciiTheme="majorBidi" w:hAnsiTheme="majorBidi" w:cstheme="majorBidi"/>
          <w:b/>
          <w:bCs/>
          <w:sz w:val="32"/>
          <w:szCs w:val="32"/>
        </w:rPr>
        <w:t xml:space="preserve"> </w:t>
      </w:r>
      <w:r w:rsidR="0058303B" w:rsidRPr="005A62A5">
        <w:rPr>
          <w:rFonts w:asciiTheme="majorBidi" w:hAnsiTheme="majorBidi" w:cstheme="majorBidi"/>
          <w:b/>
          <w:bCs/>
          <w:sz w:val="32"/>
          <w:szCs w:val="32"/>
        </w:rPr>
        <w:t>SELON LE CONTEXTE ACTUEL</w:t>
      </w:r>
      <w:r w:rsidRPr="005A62A5">
        <w:rPr>
          <w:rFonts w:asciiTheme="majorBidi" w:hAnsiTheme="majorBidi" w:cstheme="majorBidi"/>
          <w:b/>
          <w:bCs/>
          <w:sz w:val="32"/>
          <w:szCs w:val="32"/>
        </w:rPr>
        <w:t xml:space="preserve"> </w:t>
      </w:r>
    </w:p>
    <w:p w:rsidR="00EB0BBA" w:rsidRDefault="0058303B" w:rsidP="00354F08">
      <w:pPr>
        <w:autoSpaceDE w:val="0"/>
        <w:autoSpaceDN w:val="0"/>
        <w:adjustRightInd w:val="0"/>
        <w:spacing w:after="0" w:line="360" w:lineRule="auto"/>
        <w:jc w:val="both"/>
        <w:rPr>
          <w:rFonts w:asciiTheme="majorBidi" w:hAnsiTheme="majorBidi" w:cstheme="majorBidi"/>
          <w:b/>
          <w:bCs/>
          <w:sz w:val="32"/>
          <w:szCs w:val="32"/>
        </w:rPr>
      </w:pPr>
      <w:r>
        <w:rPr>
          <w:rFonts w:asciiTheme="majorBidi" w:hAnsiTheme="majorBidi" w:cstheme="majorBidi"/>
          <w:sz w:val="24"/>
          <w:szCs w:val="24"/>
        </w:rPr>
        <w:tab/>
      </w:r>
      <w:r w:rsidR="00F636E6" w:rsidRPr="0058303B">
        <w:rPr>
          <w:rFonts w:asciiTheme="majorBidi" w:hAnsiTheme="majorBidi" w:cstheme="majorBidi"/>
          <w:sz w:val="24"/>
          <w:szCs w:val="24"/>
        </w:rPr>
        <w:t xml:space="preserve">Chaque année, les entreprises d’assurance doivent fournir à </w:t>
      </w:r>
      <w:r w:rsidRPr="0058303B">
        <w:rPr>
          <w:rFonts w:asciiTheme="majorBidi" w:hAnsiTheme="majorBidi" w:cstheme="majorBidi"/>
          <w:sz w:val="24"/>
          <w:szCs w:val="24"/>
        </w:rPr>
        <w:t>l’autorité</w:t>
      </w:r>
      <w:r w:rsidR="00F636E6" w:rsidRPr="0058303B">
        <w:rPr>
          <w:rFonts w:asciiTheme="majorBidi" w:hAnsiTheme="majorBidi" w:cstheme="majorBidi"/>
          <w:sz w:val="24"/>
          <w:szCs w:val="24"/>
        </w:rPr>
        <w:t xml:space="preserve"> de Contrôle des</w:t>
      </w:r>
      <w:r w:rsidRPr="0058303B">
        <w:rPr>
          <w:rFonts w:asciiTheme="majorBidi" w:hAnsiTheme="majorBidi" w:cstheme="majorBidi"/>
          <w:sz w:val="24"/>
          <w:szCs w:val="24"/>
        </w:rPr>
        <w:t xml:space="preserve"> </w:t>
      </w:r>
      <w:r w:rsidR="00F636E6" w:rsidRPr="0058303B">
        <w:rPr>
          <w:rFonts w:asciiTheme="majorBidi" w:hAnsiTheme="majorBidi" w:cstheme="majorBidi"/>
          <w:sz w:val="24"/>
          <w:szCs w:val="24"/>
        </w:rPr>
        <w:t>A</w:t>
      </w:r>
      <w:r w:rsidRPr="0058303B">
        <w:rPr>
          <w:rFonts w:asciiTheme="majorBidi" w:hAnsiTheme="majorBidi" w:cstheme="majorBidi"/>
          <w:sz w:val="24"/>
          <w:szCs w:val="24"/>
        </w:rPr>
        <w:t>ssurance (représentée par le ministère des finances)</w:t>
      </w:r>
      <w:r w:rsidR="00F636E6" w:rsidRPr="0058303B">
        <w:rPr>
          <w:rFonts w:asciiTheme="majorBidi" w:hAnsiTheme="majorBidi" w:cstheme="majorBidi"/>
          <w:sz w:val="24"/>
          <w:szCs w:val="24"/>
        </w:rPr>
        <w:t xml:space="preserve"> plusieurs états rég</w:t>
      </w:r>
      <w:r w:rsidRPr="0058303B">
        <w:rPr>
          <w:rFonts w:asciiTheme="majorBidi" w:hAnsiTheme="majorBidi" w:cstheme="majorBidi"/>
          <w:sz w:val="24"/>
          <w:szCs w:val="24"/>
        </w:rPr>
        <w:t>lementaires. L</w:t>
      </w:r>
      <w:r w:rsidR="00F636E6" w:rsidRPr="0058303B">
        <w:rPr>
          <w:rFonts w:asciiTheme="majorBidi" w:hAnsiTheme="majorBidi" w:cstheme="majorBidi"/>
          <w:sz w:val="24"/>
          <w:szCs w:val="24"/>
        </w:rPr>
        <w:t>e besoin en capital</w:t>
      </w:r>
      <w:r w:rsidRPr="0058303B">
        <w:rPr>
          <w:rFonts w:asciiTheme="majorBidi" w:hAnsiTheme="majorBidi" w:cstheme="majorBidi"/>
          <w:sz w:val="24"/>
          <w:szCs w:val="24"/>
        </w:rPr>
        <w:t xml:space="preserve"> </w:t>
      </w:r>
      <w:r w:rsidR="00F636E6" w:rsidRPr="0058303B">
        <w:rPr>
          <w:rFonts w:asciiTheme="majorBidi" w:hAnsiTheme="majorBidi" w:cstheme="majorBidi"/>
          <w:sz w:val="24"/>
          <w:szCs w:val="24"/>
        </w:rPr>
        <w:t>est défini à partir de l’</w:t>
      </w:r>
      <w:r w:rsidRPr="0058303B">
        <w:rPr>
          <w:rFonts w:asciiTheme="majorBidi" w:hAnsiTheme="majorBidi" w:cstheme="majorBidi"/>
          <w:sz w:val="24"/>
          <w:szCs w:val="24"/>
        </w:rPr>
        <w:t xml:space="preserve">état réglementaire B6. </w:t>
      </w:r>
      <w:r w:rsidR="00F636E6" w:rsidRPr="0058303B">
        <w:rPr>
          <w:rFonts w:asciiTheme="majorBidi" w:hAnsiTheme="majorBidi" w:cstheme="majorBidi"/>
          <w:sz w:val="24"/>
          <w:szCs w:val="24"/>
        </w:rPr>
        <w:t>Cela permet à l’autorité de contrôle de vérifier la</w:t>
      </w:r>
      <w:r w:rsidRPr="0058303B">
        <w:rPr>
          <w:rFonts w:asciiTheme="majorBidi" w:hAnsiTheme="majorBidi" w:cstheme="majorBidi"/>
          <w:sz w:val="24"/>
          <w:szCs w:val="24"/>
        </w:rPr>
        <w:t xml:space="preserve"> </w:t>
      </w:r>
      <w:r w:rsidR="00F636E6" w:rsidRPr="0058303B">
        <w:rPr>
          <w:rFonts w:asciiTheme="majorBidi" w:hAnsiTheme="majorBidi" w:cstheme="majorBidi"/>
          <w:sz w:val="24"/>
          <w:szCs w:val="24"/>
        </w:rPr>
        <w:t>s</w:t>
      </w:r>
      <w:r w:rsidRPr="0058303B">
        <w:rPr>
          <w:rFonts w:asciiTheme="majorBidi" w:hAnsiTheme="majorBidi" w:cstheme="majorBidi"/>
          <w:sz w:val="24"/>
          <w:szCs w:val="24"/>
        </w:rPr>
        <w:t xml:space="preserve">olvabilité de ces entreprises à </w:t>
      </w:r>
      <w:r w:rsidR="00F636E6" w:rsidRPr="0058303B">
        <w:rPr>
          <w:rFonts w:asciiTheme="majorBidi" w:hAnsiTheme="majorBidi" w:cstheme="majorBidi"/>
          <w:sz w:val="24"/>
          <w:szCs w:val="24"/>
        </w:rPr>
        <w:t>travers des critères simplifiés et déterministes définis par les états</w:t>
      </w:r>
      <w:r w:rsidRPr="0058303B">
        <w:rPr>
          <w:rFonts w:asciiTheme="majorBidi" w:hAnsiTheme="majorBidi" w:cstheme="majorBidi"/>
          <w:sz w:val="24"/>
          <w:szCs w:val="24"/>
        </w:rPr>
        <w:t xml:space="preserve"> </w:t>
      </w:r>
      <w:r w:rsidR="00F636E6" w:rsidRPr="0058303B">
        <w:rPr>
          <w:rFonts w:asciiTheme="majorBidi" w:hAnsiTheme="majorBidi" w:cstheme="majorBidi"/>
          <w:sz w:val="24"/>
          <w:szCs w:val="24"/>
        </w:rPr>
        <w:t>réglementaires.</w:t>
      </w:r>
      <w:r w:rsidRPr="0058303B">
        <w:rPr>
          <w:rFonts w:asciiTheme="majorBidi" w:hAnsiTheme="majorBidi" w:cstheme="majorBidi"/>
          <w:sz w:val="24"/>
          <w:szCs w:val="24"/>
        </w:rPr>
        <w:t xml:space="preserve"> </w:t>
      </w:r>
      <w:r w:rsidR="00F636E6" w:rsidRPr="0058303B">
        <w:rPr>
          <w:rFonts w:asciiTheme="majorBidi" w:hAnsiTheme="majorBidi" w:cstheme="majorBidi"/>
          <w:sz w:val="24"/>
          <w:szCs w:val="24"/>
        </w:rPr>
        <w:t>Le calcul du besoin en capital s’</w:t>
      </w:r>
      <w:r w:rsidRPr="0058303B">
        <w:rPr>
          <w:rFonts w:asciiTheme="majorBidi" w:hAnsiTheme="majorBidi" w:cstheme="majorBidi"/>
          <w:sz w:val="24"/>
          <w:szCs w:val="24"/>
        </w:rPr>
        <w:t xml:space="preserve">appuie sur les </w:t>
      </w:r>
      <w:proofErr w:type="gramStart"/>
      <w:r w:rsidRPr="0058303B">
        <w:rPr>
          <w:rFonts w:asciiTheme="majorBidi" w:hAnsiTheme="majorBidi" w:cstheme="majorBidi"/>
          <w:sz w:val="24"/>
          <w:szCs w:val="24"/>
        </w:rPr>
        <w:t>dettes  techniques</w:t>
      </w:r>
      <w:proofErr w:type="gramEnd"/>
      <w:r w:rsidR="00047279">
        <w:rPr>
          <w:rFonts w:asciiTheme="majorBidi" w:hAnsiTheme="majorBidi" w:cstheme="majorBidi"/>
          <w:sz w:val="24"/>
          <w:szCs w:val="24"/>
        </w:rPr>
        <w:t xml:space="preserve"> et le chiffre d’affaire</w:t>
      </w:r>
      <w:r w:rsidR="00F636E6" w:rsidRPr="0058303B">
        <w:rPr>
          <w:rFonts w:asciiTheme="majorBidi" w:hAnsiTheme="majorBidi" w:cstheme="majorBidi"/>
          <w:sz w:val="24"/>
          <w:szCs w:val="24"/>
        </w:rPr>
        <w:t>.</w:t>
      </w:r>
      <w:r w:rsidR="005A62A5" w:rsidRPr="005A62A5">
        <w:rPr>
          <w:rFonts w:asciiTheme="majorBidi" w:hAnsiTheme="majorBidi" w:cstheme="majorBidi"/>
          <w:b/>
          <w:bCs/>
          <w:sz w:val="32"/>
          <w:szCs w:val="32"/>
        </w:rPr>
        <w:t xml:space="preserve"> </w:t>
      </w:r>
    </w:p>
    <w:p w:rsidR="00F4770D" w:rsidRPr="0058303B" w:rsidRDefault="005A62A5" w:rsidP="00354F08">
      <w:pPr>
        <w:autoSpaceDE w:val="0"/>
        <w:autoSpaceDN w:val="0"/>
        <w:adjustRightInd w:val="0"/>
        <w:spacing w:after="0" w:line="360" w:lineRule="auto"/>
        <w:jc w:val="both"/>
        <w:rPr>
          <w:rFonts w:asciiTheme="majorBidi" w:hAnsiTheme="majorBidi" w:cstheme="majorBidi"/>
          <w:sz w:val="24"/>
          <w:szCs w:val="24"/>
        </w:rPr>
      </w:pPr>
      <w:r w:rsidRPr="005A62A5">
        <w:rPr>
          <w:rFonts w:asciiTheme="majorBidi" w:hAnsiTheme="majorBidi" w:cstheme="majorBidi"/>
          <w:b/>
          <w:bCs/>
          <w:sz w:val="32"/>
          <w:szCs w:val="32"/>
        </w:rPr>
        <w:t xml:space="preserve"> </w:t>
      </w:r>
    </w:p>
    <w:p w:rsidR="008A60CB" w:rsidRPr="00EF6D70" w:rsidRDefault="00EF6D70" w:rsidP="00CC7304">
      <w:pPr>
        <w:spacing w:line="360" w:lineRule="auto"/>
        <w:jc w:val="both"/>
        <w:rPr>
          <w:rFonts w:asciiTheme="majorBidi" w:hAnsiTheme="majorBidi" w:cstheme="majorBidi"/>
          <w:b/>
          <w:bCs/>
          <w:sz w:val="28"/>
          <w:szCs w:val="28"/>
        </w:rPr>
      </w:pPr>
      <w:r w:rsidRPr="00EF6D70">
        <w:rPr>
          <w:rFonts w:asciiTheme="majorBidi" w:hAnsiTheme="majorBidi" w:cstheme="majorBidi"/>
          <w:b/>
          <w:bCs/>
          <w:sz w:val="28"/>
          <w:szCs w:val="28"/>
        </w:rPr>
        <w:t xml:space="preserve">2-1- LE CALCUL DU MSR SELON LA REGLEMENTATION ALGERIENNE </w:t>
      </w:r>
    </w:p>
    <w:p w:rsidR="00F4770D" w:rsidRDefault="00781DCB" w:rsidP="00CC7304">
      <w:pPr>
        <w:spacing w:after="0" w:line="360" w:lineRule="auto"/>
        <w:ind w:firstLine="708"/>
        <w:jc w:val="both"/>
        <w:rPr>
          <w:rFonts w:asciiTheme="majorBidi" w:hAnsiTheme="majorBidi" w:cstheme="majorBidi"/>
          <w:sz w:val="24"/>
          <w:szCs w:val="24"/>
        </w:rPr>
      </w:pPr>
      <w:r w:rsidRPr="00F4770D">
        <w:rPr>
          <w:rFonts w:asciiTheme="majorBidi" w:hAnsiTheme="majorBidi" w:cstheme="majorBidi"/>
          <w:b/>
          <w:bCs/>
          <w:sz w:val="24"/>
          <w:szCs w:val="24"/>
        </w:rPr>
        <w:t xml:space="preserve"> </w:t>
      </w:r>
      <w:r w:rsidR="00F4770D">
        <w:rPr>
          <w:rFonts w:asciiTheme="majorBidi" w:hAnsiTheme="majorBidi" w:cstheme="majorBidi"/>
          <w:sz w:val="24"/>
          <w:szCs w:val="24"/>
        </w:rPr>
        <w:t xml:space="preserve">La solvabilité des sociétés d’assurance et/ou de réassurance doit être matérialisée par la justification de l’existence d’un supplément aux dettes techniques ou marge de solvabilité. </w:t>
      </w:r>
    </w:p>
    <w:p w:rsidR="00D55CD3" w:rsidRDefault="00F4770D" w:rsidP="00CC7304">
      <w:pPr>
        <w:spacing w:after="0"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Ce </w:t>
      </w:r>
      <w:proofErr w:type="gramStart"/>
      <w:r>
        <w:rPr>
          <w:rFonts w:asciiTheme="majorBidi" w:hAnsiTheme="majorBidi" w:cstheme="majorBidi"/>
          <w:sz w:val="24"/>
          <w:szCs w:val="24"/>
        </w:rPr>
        <w:t>supplément  ou</w:t>
      </w:r>
      <w:proofErr w:type="gramEnd"/>
      <w:r>
        <w:rPr>
          <w:rFonts w:asciiTheme="majorBidi" w:hAnsiTheme="majorBidi" w:cstheme="majorBidi"/>
          <w:sz w:val="24"/>
          <w:szCs w:val="24"/>
        </w:rPr>
        <w:t xml:space="preserve"> marge de solvabilité est constitué par:</w:t>
      </w:r>
    </w:p>
    <w:p w:rsidR="00D55CD3" w:rsidRDefault="00B85085" w:rsidP="00CC7304">
      <w:pPr>
        <w:spacing w:after="0" w:line="360" w:lineRule="auto"/>
        <w:ind w:firstLine="708"/>
        <w:jc w:val="both"/>
        <w:rPr>
          <w:rFonts w:asciiTheme="majorBidi" w:hAnsiTheme="majorBidi" w:cstheme="majorBidi"/>
          <w:sz w:val="24"/>
          <w:szCs w:val="24"/>
        </w:rPr>
      </w:pPr>
      <w:r>
        <w:rPr>
          <w:rFonts w:asciiTheme="majorBidi" w:hAnsiTheme="majorBidi" w:cstheme="majorBidi"/>
          <w:noProof/>
          <w:sz w:val="24"/>
          <w:szCs w:val="24"/>
        </w:rPr>
        <w:pict>
          <v:roundrect id="_x0000_s1028" style="position:absolute;left:0;text-align:left;margin-left:-2.6pt;margin-top:10.4pt;width:456pt;height:48pt;z-index:251662336" arcsize="10923f" fillcolor="#b2a1c7 [1943]" strokecolor="#b2a1c7 [1943]" strokeweight="1pt">
            <v:fill color2="#e5dfec [663]" angle="-45" focus="-50%" type="gradient"/>
            <v:shadow on="t" type="perspective" color="#3f3151 [1607]" opacity=".5" offset="1pt" offset2="-3pt"/>
            <v:textbox>
              <w:txbxContent>
                <w:p w:rsidR="00341914" w:rsidRDefault="00341914" w:rsidP="009465DC">
                  <w:pPr>
                    <w:spacing w:after="0" w:line="360" w:lineRule="auto"/>
                    <w:ind w:firstLine="708"/>
                    <w:jc w:val="both"/>
                    <w:rPr>
                      <w:rFonts w:asciiTheme="majorBidi" w:hAnsiTheme="majorBidi" w:cstheme="majorBidi"/>
                      <w:sz w:val="24"/>
                      <w:szCs w:val="24"/>
                    </w:rPr>
                  </w:pPr>
                  <w:r w:rsidRPr="00E964EA">
                    <w:rPr>
                      <w:rFonts w:asciiTheme="majorBidi" w:hAnsiTheme="majorBidi" w:cstheme="majorBidi"/>
                      <w:b/>
                      <w:bCs/>
                      <w:sz w:val="24"/>
                      <w:szCs w:val="24"/>
                    </w:rPr>
                    <w:t>Marge de solvabilité</w:t>
                  </w:r>
                  <w:r>
                    <w:rPr>
                      <w:rFonts w:asciiTheme="majorBidi" w:hAnsiTheme="majorBidi" w:cstheme="majorBidi"/>
                      <w:b/>
                      <w:bCs/>
                      <w:sz w:val="24"/>
                      <w:szCs w:val="24"/>
                    </w:rPr>
                    <w:t xml:space="preserve"> disponible </w:t>
                  </w:r>
                  <w:r>
                    <w:rPr>
                      <w:rFonts w:asciiTheme="majorBidi" w:hAnsiTheme="majorBidi" w:cstheme="majorBidi"/>
                      <w:sz w:val="24"/>
                      <w:szCs w:val="24"/>
                    </w:rPr>
                    <w:t xml:space="preserve">= capital social ou fonds d’établissement libéré + les réserves + les provisions </w:t>
                  </w:r>
                </w:p>
                <w:p w:rsidR="00341914" w:rsidRDefault="00341914"/>
              </w:txbxContent>
            </v:textbox>
          </v:roundrect>
        </w:pict>
      </w:r>
    </w:p>
    <w:p w:rsidR="00D55CD3" w:rsidRDefault="00D55CD3" w:rsidP="00CC7304">
      <w:pPr>
        <w:spacing w:after="0" w:line="360" w:lineRule="auto"/>
        <w:ind w:firstLine="708"/>
        <w:jc w:val="both"/>
        <w:rPr>
          <w:rFonts w:asciiTheme="majorBidi" w:hAnsiTheme="majorBidi" w:cstheme="majorBidi"/>
          <w:sz w:val="24"/>
          <w:szCs w:val="24"/>
        </w:rPr>
      </w:pPr>
    </w:p>
    <w:p w:rsidR="00D55CD3" w:rsidRDefault="00D55CD3" w:rsidP="00CC7304">
      <w:pPr>
        <w:spacing w:after="0" w:line="360" w:lineRule="auto"/>
        <w:ind w:firstLine="708"/>
        <w:jc w:val="both"/>
        <w:rPr>
          <w:rFonts w:asciiTheme="majorBidi" w:hAnsiTheme="majorBidi" w:cstheme="majorBidi"/>
          <w:sz w:val="24"/>
          <w:szCs w:val="24"/>
        </w:rPr>
      </w:pPr>
    </w:p>
    <w:p w:rsidR="00D55CD3" w:rsidRDefault="00B85085" w:rsidP="00CC7304">
      <w:pPr>
        <w:spacing w:after="0" w:line="360" w:lineRule="auto"/>
        <w:ind w:firstLine="708"/>
        <w:jc w:val="both"/>
        <w:rPr>
          <w:rFonts w:asciiTheme="majorBidi" w:hAnsiTheme="majorBidi" w:cstheme="majorBidi"/>
          <w:sz w:val="24"/>
          <w:szCs w:val="24"/>
        </w:rPr>
      </w:pPr>
      <w:r>
        <w:rPr>
          <w:rFonts w:asciiTheme="majorBidi" w:hAnsiTheme="majorBidi" w:cstheme="majorBidi"/>
          <w:noProof/>
          <w:sz w:val="24"/>
          <w:szCs w:val="24"/>
        </w:rPr>
        <w:pict>
          <v:roundrect id="_x0000_s1029" style="position:absolute;left:0;text-align:left;margin-left:-7.1pt;margin-top:15.55pt;width:460.5pt;height:103.8pt;z-index:251663360" arcsize="10923f" fillcolor="#b2a1c7 [1943]" strokecolor="#b2a1c7 [1943]" strokeweight="1pt">
            <v:fill color2="#e5dfec [663]" angle="-45" focus="-50%" type="gradient"/>
            <v:shadow on="t" type="perspective" color="#3f3151 [1607]" opacity=".5" offset="1pt" offset2="-3pt"/>
            <v:textbox>
              <w:txbxContent>
                <w:p w:rsidR="00341914" w:rsidRPr="00F4770D" w:rsidRDefault="00341914" w:rsidP="005A62A5">
                  <w:pPr>
                    <w:spacing w:after="0" w:line="360" w:lineRule="auto"/>
                    <w:ind w:firstLine="708"/>
                    <w:jc w:val="both"/>
                    <w:rPr>
                      <w:rFonts w:asciiTheme="majorBidi" w:hAnsiTheme="majorBidi" w:cstheme="majorBidi"/>
                      <w:sz w:val="24"/>
                      <w:szCs w:val="24"/>
                    </w:rPr>
                  </w:pPr>
                </w:p>
                <w:p w:rsidR="00341914" w:rsidRDefault="00341914" w:rsidP="00342227">
                  <w:pPr>
                    <w:spacing w:line="240" w:lineRule="auto"/>
                    <w:ind w:left="6096" w:hanging="6096"/>
                    <w:rPr>
                      <w:rFonts w:ascii="Times New Roman" w:hAnsi="Times New Roman" w:cs="Times New Roman"/>
                      <w:sz w:val="24"/>
                    </w:rPr>
                  </w:pPr>
                  <w:r w:rsidRPr="009E5394">
                    <w:rPr>
                      <w:rFonts w:ascii="Times New Roman" w:hAnsi="Times New Roman" w:cs="Times New Roman"/>
                      <w:b/>
                      <w:bCs/>
                      <w:sz w:val="24"/>
                    </w:rPr>
                    <w:t>La marge de solvabilité</w:t>
                  </w:r>
                  <w:r>
                    <w:rPr>
                      <w:rFonts w:ascii="Times New Roman" w:hAnsi="Times New Roman" w:cs="Times New Roman"/>
                      <w:b/>
                      <w:bCs/>
                      <w:sz w:val="24"/>
                    </w:rPr>
                    <w:t xml:space="preserve"> réglementaire= </w:t>
                  </w:r>
                  <w:r w:rsidRPr="00A8739D">
                    <w:rPr>
                      <w:rFonts w:ascii="Times New Roman" w:hAnsi="Times New Roman" w:cs="Times New Roman"/>
                      <w:b/>
                      <w:bCs/>
                    </w:rPr>
                    <w:t>MAX</w:t>
                  </w:r>
                  <w:r>
                    <w:rPr>
                      <w:rFonts w:ascii="Times New Roman" w:hAnsi="Times New Roman" w:cs="Times New Roman"/>
                      <w:sz w:val="24"/>
                    </w:rPr>
                    <w:t xml:space="preserve">    - 15 % des dettes techniques  </w:t>
                  </w:r>
                </w:p>
                <w:p w:rsidR="00341914" w:rsidRPr="005A62A5" w:rsidRDefault="00341914" w:rsidP="00342227">
                  <w:pPr>
                    <w:spacing w:line="360" w:lineRule="auto"/>
                    <w:ind w:left="6096" w:hanging="6096"/>
                    <w:rPr>
                      <w:rFonts w:ascii="Times New Roman" w:hAnsi="Times New Roman" w:cs="Times New Roman"/>
                      <w:sz w:val="24"/>
                    </w:rPr>
                  </w:pPr>
                  <w:r>
                    <w:rPr>
                      <w:rFonts w:ascii="Times New Roman" w:hAnsi="Times New Roman" w:cs="Times New Roman"/>
                      <w:b/>
                      <w:bCs/>
                      <w:sz w:val="24"/>
                    </w:rPr>
                    <w:t xml:space="preserve">                                                                                </w:t>
                  </w:r>
                  <w:r>
                    <w:rPr>
                      <w:rFonts w:ascii="Times New Roman" w:hAnsi="Times New Roman" w:cs="Times New Roman"/>
                      <w:sz w:val="24"/>
                    </w:rPr>
                    <w:t xml:space="preserve"> -</w:t>
                  </w:r>
                  <w:r w:rsidRPr="00D55CD3">
                    <w:rPr>
                      <w:rFonts w:ascii="Times New Roman" w:hAnsi="Times New Roman" w:cs="Times New Roman"/>
                      <w:sz w:val="24"/>
                    </w:rPr>
                    <w:t xml:space="preserve"> 20 % du CA (TTC)</w:t>
                  </w:r>
                  <w:r>
                    <w:rPr>
                      <w:rFonts w:ascii="Times New Roman" w:hAnsi="Times New Roman" w:cs="Times New Roman"/>
                      <w:sz w:val="24"/>
                    </w:rPr>
                    <w:t xml:space="preserve"> nettes     </w:t>
                  </w:r>
                  <w:r w:rsidRPr="005A62A5">
                    <w:rPr>
                      <w:rFonts w:ascii="Times New Roman" w:hAnsi="Times New Roman" w:cs="Times New Roman"/>
                      <w:sz w:val="24"/>
                    </w:rPr>
                    <w:t>d’annulation et de réassurance</w:t>
                  </w:r>
                </w:p>
                <w:p w:rsidR="00341914" w:rsidRDefault="00341914"/>
              </w:txbxContent>
            </v:textbox>
          </v:roundrect>
        </w:pict>
      </w:r>
    </w:p>
    <w:p w:rsidR="00D55CD3" w:rsidRDefault="00B85085" w:rsidP="00CC7304">
      <w:pPr>
        <w:spacing w:after="0" w:line="360" w:lineRule="auto"/>
        <w:ind w:firstLine="708"/>
        <w:jc w:val="both"/>
        <w:rPr>
          <w:rFonts w:asciiTheme="majorBidi" w:hAnsiTheme="majorBidi" w:cstheme="majorBidi"/>
          <w:sz w:val="24"/>
          <w:szCs w:val="24"/>
        </w:rPr>
      </w:pPr>
      <w:r w:rsidRPr="00B85085">
        <w:rPr>
          <w:rFonts w:ascii="Times New Roman" w:hAnsi="Times New Roman" w:cs="Times New Roman"/>
          <w:b/>
          <w:bCs/>
          <w:noProof/>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236.25pt;margin-top:3.9pt;width:7.15pt;height:89.05pt;z-index:251664384"/>
        </w:pict>
      </w:r>
    </w:p>
    <w:p w:rsidR="00D55CD3" w:rsidRDefault="00D55CD3" w:rsidP="00CC7304">
      <w:pPr>
        <w:spacing w:after="0" w:line="360" w:lineRule="auto"/>
        <w:ind w:firstLine="708"/>
        <w:jc w:val="both"/>
        <w:rPr>
          <w:rFonts w:asciiTheme="majorBidi" w:hAnsiTheme="majorBidi" w:cstheme="majorBidi"/>
          <w:sz w:val="24"/>
          <w:szCs w:val="24"/>
        </w:rPr>
      </w:pPr>
    </w:p>
    <w:p w:rsidR="00D55CD3" w:rsidRDefault="00D55CD3" w:rsidP="00CC7304">
      <w:pPr>
        <w:spacing w:after="0" w:line="360" w:lineRule="auto"/>
        <w:ind w:firstLine="708"/>
        <w:jc w:val="both"/>
        <w:rPr>
          <w:rFonts w:asciiTheme="majorBidi" w:hAnsiTheme="majorBidi" w:cstheme="majorBidi"/>
          <w:sz w:val="24"/>
          <w:szCs w:val="24"/>
        </w:rPr>
      </w:pPr>
    </w:p>
    <w:p w:rsidR="00D55CD3" w:rsidRDefault="00D55CD3" w:rsidP="00CC7304">
      <w:pPr>
        <w:spacing w:after="0" w:line="360" w:lineRule="auto"/>
        <w:ind w:firstLine="708"/>
        <w:jc w:val="both"/>
        <w:rPr>
          <w:rFonts w:asciiTheme="majorBidi" w:hAnsiTheme="majorBidi" w:cstheme="majorBidi"/>
          <w:sz w:val="24"/>
          <w:szCs w:val="24"/>
        </w:rPr>
      </w:pPr>
    </w:p>
    <w:p w:rsidR="00D55CD3" w:rsidRDefault="00D55CD3" w:rsidP="00CC7304">
      <w:pPr>
        <w:spacing w:after="0" w:line="360" w:lineRule="auto"/>
        <w:ind w:firstLine="708"/>
        <w:jc w:val="both"/>
        <w:rPr>
          <w:rFonts w:asciiTheme="majorBidi" w:hAnsiTheme="majorBidi" w:cstheme="majorBidi"/>
          <w:sz w:val="24"/>
          <w:szCs w:val="24"/>
        </w:rPr>
      </w:pPr>
    </w:p>
    <w:p w:rsidR="00763639" w:rsidRDefault="00763639" w:rsidP="00CC7304">
      <w:pPr>
        <w:spacing w:after="0" w:line="360" w:lineRule="auto"/>
        <w:ind w:firstLine="708"/>
        <w:jc w:val="both"/>
        <w:rPr>
          <w:rFonts w:ascii="Times New Roman" w:hAnsi="Times New Roman" w:cs="Times New Roman"/>
          <w:sz w:val="24"/>
        </w:rPr>
      </w:pPr>
    </w:p>
    <w:p w:rsidR="00F4770D" w:rsidRDefault="00F64E1F" w:rsidP="00CC7304">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F4770D">
        <w:rPr>
          <w:rFonts w:ascii="Times New Roman" w:hAnsi="Times New Roman" w:cs="Times New Roman"/>
          <w:sz w:val="24"/>
        </w:rPr>
        <w:t xml:space="preserve">Le tableau suivant illustre le calcul de cette marge pour la </w:t>
      </w:r>
      <w:proofErr w:type="gramStart"/>
      <w:r w:rsidR="00F4770D">
        <w:rPr>
          <w:rFonts w:ascii="Times New Roman" w:hAnsi="Times New Roman" w:cs="Times New Roman"/>
          <w:sz w:val="24"/>
        </w:rPr>
        <w:t>CAAT:</w:t>
      </w:r>
      <w:proofErr w:type="gramEnd"/>
    </w:p>
    <w:p w:rsidR="005A62A5" w:rsidRDefault="005A62A5" w:rsidP="00CC7304">
      <w:pPr>
        <w:spacing w:line="360" w:lineRule="auto"/>
        <w:jc w:val="both"/>
        <w:rPr>
          <w:rFonts w:ascii="Times New Roman" w:hAnsi="Times New Roman" w:cs="Times New Roman"/>
          <w:sz w:val="24"/>
        </w:rPr>
      </w:pPr>
    </w:p>
    <w:p w:rsidR="005A62A5" w:rsidRDefault="005A62A5" w:rsidP="00CC7304">
      <w:pPr>
        <w:spacing w:line="360" w:lineRule="auto"/>
        <w:jc w:val="both"/>
        <w:rPr>
          <w:rFonts w:ascii="Times New Roman" w:hAnsi="Times New Roman" w:cs="Times New Roman"/>
          <w:sz w:val="24"/>
        </w:rPr>
      </w:pPr>
    </w:p>
    <w:p w:rsidR="005A62A5" w:rsidRDefault="005A62A5" w:rsidP="00CC7304">
      <w:pPr>
        <w:spacing w:line="360" w:lineRule="auto"/>
        <w:jc w:val="both"/>
        <w:rPr>
          <w:rFonts w:ascii="Times New Roman" w:hAnsi="Times New Roman" w:cs="Times New Roman"/>
          <w:sz w:val="24"/>
        </w:rPr>
      </w:pPr>
    </w:p>
    <w:p w:rsidR="005A62A5" w:rsidRDefault="005A62A5" w:rsidP="00CC7304">
      <w:pPr>
        <w:spacing w:line="360" w:lineRule="auto"/>
        <w:jc w:val="both"/>
        <w:rPr>
          <w:rFonts w:ascii="Times New Roman" w:hAnsi="Times New Roman" w:cs="Times New Roman"/>
          <w:sz w:val="24"/>
        </w:rPr>
      </w:pPr>
    </w:p>
    <w:tbl>
      <w:tblPr>
        <w:tblStyle w:val="Grillemoyenne3-Accent4"/>
        <w:tblW w:w="0" w:type="auto"/>
        <w:tblLook w:val="04A0"/>
      </w:tblPr>
      <w:tblGrid>
        <w:gridCol w:w="6771"/>
        <w:gridCol w:w="2440"/>
      </w:tblGrid>
      <w:tr w:rsidR="00F4770D" w:rsidTr="00F64E1F">
        <w:trPr>
          <w:cnfStyle w:val="100000000000"/>
          <w:trHeight w:val="470"/>
        </w:trPr>
        <w:tc>
          <w:tcPr>
            <w:cnfStyle w:val="001000000000"/>
            <w:tcW w:w="6771" w:type="dxa"/>
          </w:tcPr>
          <w:p w:rsidR="00F4770D" w:rsidRPr="00CB7A89" w:rsidRDefault="00F4770D" w:rsidP="00E07F3F">
            <w:pPr>
              <w:spacing w:line="360" w:lineRule="auto"/>
              <w:jc w:val="center"/>
              <w:rPr>
                <w:rFonts w:ascii="Times New Roman" w:hAnsi="Times New Roman" w:cs="Times New Roman"/>
                <w:bCs w:val="0"/>
                <w:color w:val="000000" w:themeColor="text1"/>
                <w:sz w:val="24"/>
              </w:rPr>
            </w:pPr>
            <w:r w:rsidRPr="00CB7A89">
              <w:rPr>
                <w:rFonts w:ascii="Times New Roman" w:hAnsi="Times New Roman" w:cs="Times New Roman"/>
                <w:bCs w:val="0"/>
                <w:color w:val="000000" w:themeColor="text1"/>
                <w:sz w:val="24"/>
              </w:rPr>
              <w:lastRenderedPageBreak/>
              <w:t xml:space="preserve">A/ </w:t>
            </w:r>
            <w:proofErr w:type="spellStart"/>
            <w:r w:rsidRPr="00CB7A89">
              <w:rPr>
                <w:rFonts w:ascii="Times New Roman" w:hAnsi="Times New Roman" w:cs="Times New Roman"/>
                <w:bCs w:val="0"/>
                <w:color w:val="000000" w:themeColor="text1"/>
                <w:sz w:val="24"/>
              </w:rPr>
              <w:t>Eléments</w:t>
            </w:r>
            <w:proofErr w:type="spellEnd"/>
            <w:r w:rsidRPr="00CB7A89">
              <w:rPr>
                <w:rFonts w:ascii="Times New Roman" w:hAnsi="Times New Roman" w:cs="Times New Roman"/>
                <w:bCs w:val="0"/>
                <w:color w:val="000000" w:themeColor="text1"/>
                <w:sz w:val="24"/>
              </w:rPr>
              <w:t xml:space="preserve"> constitutifs de la marge de solvabilité</w:t>
            </w:r>
          </w:p>
        </w:tc>
        <w:tc>
          <w:tcPr>
            <w:tcW w:w="2440" w:type="dxa"/>
          </w:tcPr>
          <w:p w:rsidR="00F4770D" w:rsidRPr="00CB7A89" w:rsidRDefault="00F4770D" w:rsidP="00E07F3F">
            <w:pPr>
              <w:spacing w:line="360" w:lineRule="auto"/>
              <w:jc w:val="center"/>
              <w:cnfStyle w:val="100000000000"/>
              <w:rPr>
                <w:rFonts w:ascii="Times New Roman" w:hAnsi="Times New Roman" w:cs="Times New Roman"/>
                <w:bCs w:val="0"/>
                <w:color w:val="000000" w:themeColor="text1"/>
                <w:sz w:val="24"/>
              </w:rPr>
            </w:pPr>
            <w:r w:rsidRPr="00CB7A89">
              <w:rPr>
                <w:rFonts w:ascii="Times New Roman" w:hAnsi="Times New Roman" w:cs="Times New Roman"/>
                <w:bCs w:val="0"/>
                <w:color w:val="000000" w:themeColor="text1"/>
                <w:sz w:val="24"/>
              </w:rPr>
              <w:t>Trimestre</w:t>
            </w:r>
          </w:p>
        </w:tc>
      </w:tr>
      <w:tr w:rsidR="00F4770D" w:rsidTr="00F64E1F">
        <w:trPr>
          <w:cnfStyle w:val="000000100000"/>
        </w:trPr>
        <w:tc>
          <w:tcPr>
            <w:cnfStyle w:val="001000000000"/>
            <w:tcW w:w="6771" w:type="dxa"/>
          </w:tcPr>
          <w:p w:rsidR="00F4770D" w:rsidRPr="00CB7A89" w:rsidRDefault="00F4770D" w:rsidP="00E07F3F">
            <w:pPr>
              <w:spacing w:line="360" w:lineRule="auto"/>
              <w:jc w:val="center"/>
              <w:rPr>
                <w:rFonts w:ascii="Times New Roman" w:hAnsi="Times New Roman" w:cs="Times New Roman"/>
                <w:b w:val="0"/>
                <w:bCs w:val="0"/>
                <w:color w:val="000000" w:themeColor="text1"/>
                <w:sz w:val="24"/>
              </w:rPr>
            </w:pPr>
            <w:r w:rsidRPr="00CB7A89">
              <w:rPr>
                <w:rFonts w:ascii="Times New Roman" w:hAnsi="Times New Roman" w:cs="Times New Roman"/>
                <w:b w:val="0"/>
                <w:bCs w:val="0"/>
                <w:color w:val="000000" w:themeColor="text1"/>
                <w:sz w:val="24"/>
              </w:rPr>
              <w:t>1/ Portion du capital social ou du fonds d’établissement libéré.</w:t>
            </w:r>
          </w:p>
          <w:p w:rsidR="00F4770D" w:rsidRPr="00CB7A89" w:rsidRDefault="00F4770D" w:rsidP="00E07F3F">
            <w:pPr>
              <w:spacing w:line="360" w:lineRule="auto"/>
              <w:jc w:val="center"/>
              <w:rPr>
                <w:rFonts w:ascii="Times New Roman" w:hAnsi="Times New Roman" w:cs="Times New Roman"/>
                <w:b w:val="0"/>
                <w:bCs w:val="0"/>
                <w:color w:val="000000" w:themeColor="text1"/>
                <w:sz w:val="24"/>
              </w:rPr>
            </w:pPr>
            <w:r w:rsidRPr="00CB7A89">
              <w:rPr>
                <w:rFonts w:ascii="Times New Roman" w:hAnsi="Times New Roman" w:cs="Times New Roman"/>
                <w:b w:val="0"/>
                <w:bCs w:val="0"/>
                <w:color w:val="000000" w:themeColor="text1"/>
                <w:sz w:val="24"/>
              </w:rPr>
              <w:t>2/ Les réserves</w:t>
            </w:r>
          </w:p>
          <w:p w:rsidR="00F4770D" w:rsidRPr="00CB7A89" w:rsidRDefault="00F4770D" w:rsidP="00E07F3F">
            <w:pPr>
              <w:spacing w:line="360" w:lineRule="auto"/>
              <w:jc w:val="center"/>
              <w:rPr>
                <w:rFonts w:ascii="Times New Roman" w:hAnsi="Times New Roman" w:cs="Times New Roman"/>
                <w:b w:val="0"/>
                <w:bCs w:val="0"/>
                <w:color w:val="000000" w:themeColor="text1"/>
                <w:sz w:val="24"/>
              </w:rPr>
            </w:pPr>
            <w:r w:rsidRPr="00CB7A89">
              <w:rPr>
                <w:rFonts w:ascii="Times New Roman" w:hAnsi="Times New Roman" w:cs="Times New Roman"/>
                <w:b w:val="0"/>
                <w:bCs w:val="0"/>
                <w:color w:val="000000" w:themeColor="text1"/>
                <w:sz w:val="24"/>
              </w:rPr>
              <w:t>3/ La provision de garantie</w:t>
            </w:r>
          </w:p>
          <w:p w:rsidR="00F4770D" w:rsidRPr="00CB7A89" w:rsidRDefault="00F4770D" w:rsidP="00E07F3F">
            <w:pPr>
              <w:spacing w:line="360" w:lineRule="auto"/>
              <w:jc w:val="center"/>
              <w:rPr>
                <w:rFonts w:ascii="Times New Roman" w:hAnsi="Times New Roman" w:cs="Times New Roman"/>
                <w:b w:val="0"/>
                <w:bCs w:val="0"/>
                <w:color w:val="000000" w:themeColor="text1"/>
                <w:sz w:val="24"/>
              </w:rPr>
            </w:pPr>
            <w:r w:rsidRPr="00CB7A89">
              <w:rPr>
                <w:rFonts w:ascii="Times New Roman" w:hAnsi="Times New Roman" w:cs="Times New Roman"/>
                <w:b w:val="0"/>
                <w:bCs w:val="0"/>
                <w:color w:val="000000" w:themeColor="text1"/>
                <w:sz w:val="24"/>
              </w:rPr>
              <w:t>4/ La provision pour complément obligatoire aux dettes techniques.</w:t>
            </w:r>
          </w:p>
          <w:p w:rsidR="00F4770D" w:rsidRPr="003008FA" w:rsidRDefault="00F4770D" w:rsidP="00E07F3F">
            <w:pPr>
              <w:spacing w:line="360" w:lineRule="auto"/>
              <w:jc w:val="center"/>
              <w:rPr>
                <w:rFonts w:ascii="Times New Roman" w:hAnsi="Times New Roman" w:cs="Times New Roman"/>
                <w:color w:val="000000" w:themeColor="text1"/>
                <w:sz w:val="24"/>
              </w:rPr>
            </w:pPr>
            <w:r w:rsidRPr="00CB7A89">
              <w:rPr>
                <w:rFonts w:ascii="Times New Roman" w:hAnsi="Times New Roman" w:cs="Times New Roman"/>
                <w:b w:val="0"/>
                <w:bCs w:val="0"/>
                <w:color w:val="000000" w:themeColor="text1"/>
                <w:sz w:val="24"/>
              </w:rPr>
              <w:t>5/ Autres provisions ne correspondant pas à des engagements.</w:t>
            </w:r>
          </w:p>
        </w:tc>
        <w:tc>
          <w:tcPr>
            <w:tcW w:w="2440" w:type="dxa"/>
          </w:tcPr>
          <w:p w:rsidR="00F4770D" w:rsidRDefault="00F4770D" w:rsidP="00E07F3F">
            <w:pPr>
              <w:spacing w:line="360" w:lineRule="auto"/>
              <w:jc w:val="center"/>
              <w:cnfStyle w:val="000000100000"/>
              <w:rPr>
                <w:rFonts w:ascii="Times New Roman" w:hAnsi="Times New Roman" w:cs="Times New Roman"/>
                <w:sz w:val="24"/>
              </w:rPr>
            </w:pPr>
            <w:r>
              <w:rPr>
                <w:rFonts w:ascii="Times New Roman" w:hAnsi="Times New Roman" w:cs="Times New Roman"/>
                <w:sz w:val="24"/>
              </w:rPr>
              <w:t>11 490 000 000</w:t>
            </w:r>
          </w:p>
          <w:p w:rsidR="00F4770D" w:rsidRDefault="00F64E1F" w:rsidP="00E07F3F">
            <w:pPr>
              <w:spacing w:line="360" w:lineRule="auto"/>
              <w:jc w:val="center"/>
              <w:cnfStyle w:val="000000100000"/>
              <w:rPr>
                <w:rFonts w:ascii="Times New Roman" w:hAnsi="Times New Roman" w:cs="Times New Roman"/>
                <w:sz w:val="24"/>
              </w:rPr>
            </w:pPr>
            <w:r>
              <w:rPr>
                <w:rFonts w:ascii="Times New Roman" w:hAnsi="Times New Roman" w:cs="Times New Roman"/>
                <w:sz w:val="24"/>
              </w:rPr>
              <w:t>3 360 737 090</w:t>
            </w:r>
          </w:p>
          <w:p w:rsidR="00F4770D" w:rsidRDefault="00F64E1F" w:rsidP="00E07F3F">
            <w:pPr>
              <w:spacing w:line="360" w:lineRule="auto"/>
              <w:jc w:val="center"/>
              <w:cnfStyle w:val="000000100000"/>
              <w:rPr>
                <w:rFonts w:ascii="Times New Roman" w:hAnsi="Times New Roman" w:cs="Times New Roman"/>
                <w:sz w:val="24"/>
              </w:rPr>
            </w:pPr>
            <w:r>
              <w:rPr>
                <w:rFonts w:ascii="Times New Roman" w:hAnsi="Times New Roman" w:cs="Times New Roman"/>
                <w:sz w:val="24"/>
              </w:rPr>
              <w:t>39 331 651</w:t>
            </w:r>
          </w:p>
          <w:p w:rsidR="00F4770D" w:rsidRDefault="00F64E1F" w:rsidP="00E07F3F">
            <w:pPr>
              <w:spacing w:line="360" w:lineRule="auto"/>
              <w:jc w:val="center"/>
              <w:cnfStyle w:val="000000100000"/>
              <w:rPr>
                <w:rFonts w:ascii="Times New Roman" w:hAnsi="Times New Roman" w:cs="Times New Roman"/>
                <w:sz w:val="24"/>
              </w:rPr>
            </w:pPr>
            <w:r>
              <w:rPr>
                <w:rFonts w:ascii="Times New Roman" w:hAnsi="Times New Roman" w:cs="Times New Roman"/>
                <w:sz w:val="24"/>
              </w:rPr>
              <w:t>608 659 919</w:t>
            </w:r>
          </w:p>
          <w:p w:rsidR="00F4770D" w:rsidRPr="00DF0AB6" w:rsidRDefault="00F64E1F" w:rsidP="00E07F3F">
            <w:pPr>
              <w:spacing w:line="360" w:lineRule="auto"/>
              <w:jc w:val="center"/>
              <w:cnfStyle w:val="000000100000"/>
              <w:rPr>
                <w:rFonts w:ascii="Times New Roman" w:hAnsi="Times New Roman" w:cs="Times New Roman"/>
                <w:sz w:val="24"/>
              </w:rPr>
            </w:pPr>
            <w:r>
              <w:rPr>
                <w:rFonts w:ascii="Times New Roman" w:hAnsi="Times New Roman" w:cs="Times New Roman"/>
                <w:sz w:val="24"/>
              </w:rPr>
              <w:t>1 260 159 355</w:t>
            </w:r>
          </w:p>
        </w:tc>
      </w:tr>
      <w:tr w:rsidR="00F4770D" w:rsidTr="00F64E1F">
        <w:trPr>
          <w:trHeight w:val="554"/>
        </w:trPr>
        <w:tc>
          <w:tcPr>
            <w:cnfStyle w:val="001000000000"/>
            <w:tcW w:w="6771" w:type="dxa"/>
          </w:tcPr>
          <w:p w:rsidR="00F4770D" w:rsidRPr="00CB7A89" w:rsidRDefault="00F4770D" w:rsidP="00E07F3F">
            <w:pPr>
              <w:spacing w:line="360" w:lineRule="auto"/>
              <w:jc w:val="center"/>
              <w:rPr>
                <w:rFonts w:ascii="Times New Roman" w:hAnsi="Times New Roman" w:cs="Times New Roman"/>
                <w:bCs w:val="0"/>
                <w:color w:val="000000" w:themeColor="text1"/>
                <w:sz w:val="24"/>
              </w:rPr>
            </w:pPr>
            <w:r w:rsidRPr="00CB7A89">
              <w:rPr>
                <w:rFonts w:ascii="Times New Roman" w:hAnsi="Times New Roman" w:cs="Times New Roman"/>
                <w:bCs w:val="0"/>
                <w:color w:val="000000" w:themeColor="text1"/>
                <w:sz w:val="24"/>
              </w:rPr>
              <w:t>Marge de solvabilité</w:t>
            </w:r>
            <w:r w:rsidR="00D55CD3">
              <w:rPr>
                <w:rFonts w:ascii="Times New Roman" w:hAnsi="Times New Roman" w:cs="Times New Roman"/>
                <w:bCs w:val="0"/>
                <w:color w:val="000000" w:themeColor="text1"/>
                <w:sz w:val="24"/>
              </w:rPr>
              <w:t xml:space="preserve"> disponible</w:t>
            </w:r>
          </w:p>
        </w:tc>
        <w:tc>
          <w:tcPr>
            <w:tcW w:w="2440" w:type="dxa"/>
          </w:tcPr>
          <w:p w:rsidR="00F4770D" w:rsidRPr="007268A7" w:rsidRDefault="00F64E1F" w:rsidP="00E07F3F">
            <w:pPr>
              <w:spacing w:line="360" w:lineRule="auto"/>
              <w:jc w:val="center"/>
              <w:cnfStyle w:val="000000000000"/>
              <w:rPr>
                <w:rFonts w:asciiTheme="majorBidi" w:hAnsiTheme="majorBidi" w:cstheme="majorBidi"/>
                <w:b/>
                <w:bCs/>
                <w:color w:val="000000"/>
                <w:sz w:val="24"/>
                <w:szCs w:val="24"/>
              </w:rPr>
            </w:pPr>
            <w:r>
              <w:rPr>
                <w:rFonts w:asciiTheme="majorBidi" w:hAnsiTheme="majorBidi" w:cstheme="majorBidi"/>
                <w:b/>
                <w:bCs/>
                <w:color w:val="000000"/>
                <w:sz w:val="24"/>
                <w:szCs w:val="24"/>
              </w:rPr>
              <w:t>16 758</w:t>
            </w:r>
            <w:r w:rsidR="006D2896">
              <w:rPr>
                <w:rFonts w:asciiTheme="majorBidi" w:hAnsiTheme="majorBidi" w:cstheme="majorBidi"/>
                <w:b/>
                <w:bCs/>
                <w:color w:val="000000"/>
                <w:sz w:val="24"/>
                <w:szCs w:val="24"/>
              </w:rPr>
              <w:t> 888 015</w:t>
            </w:r>
          </w:p>
        </w:tc>
      </w:tr>
      <w:tr w:rsidR="00F4770D" w:rsidTr="00F64E1F">
        <w:trPr>
          <w:cnfStyle w:val="000000100000"/>
        </w:trPr>
        <w:tc>
          <w:tcPr>
            <w:cnfStyle w:val="001000000000"/>
            <w:tcW w:w="6771" w:type="dxa"/>
          </w:tcPr>
          <w:p w:rsidR="00F4770D" w:rsidRPr="00CB7A89" w:rsidRDefault="00F4770D" w:rsidP="00E07F3F">
            <w:pPr>
              <w:spacing w:line="360" w:lineRule="auto"/>
              <w:jc w:val="center"/>
              <w:rPr>
                <w:rFonts w:ascii="Times New Roman" w:hAnsi="Times New Roman" w:cs="Times New Roman"/>
                <w:bCs w:val="0"/>
                <w:color w:val="000000" w:themeColor="text1"/>
                <w:sz w:val="24"/>
              </w:rPr>
            </w:pPr>
            <w:r w:rsidRPr="00CB7A89">
              <w:rPr>
                <w:rFonts w:ascii="Times New Roman" w:hAnsi="Times New Roman" w:cs="Times New Roman"/>
                <w:bCs w:val="0"/>
                <w:color w:val="000000" w:themeColor="text1"/>
                <w:sz w:val="24"/>
              </w:rPr>
              <w:t>B/ La marge à constituer</w:t>
            </w:r>
          </w:p>
        </w:tc>
        <w:tc>
          <w:tcPr>
            <w:tcW w:w="2440" w:type="dxa"/>
          </w:tcPr>
          <w:p w:rsidR="00F4770D" w:rsidRPr="006D2896" w:rsidRDefault="006D2896" w:rsidP="00E07F3F">
            <w:pPr>
              <w:spacing w:line="360" w:lineRule="auto"/>
              <w:jc w:val="center"/>
              <w:cnfStyle w:val="000000100000"/>
              <w:rPr>
                <w:rFonts w:ascii="Times New Roman" w:hAnsi="Times New Roman" w:cs="Times New Roman"/>
                <w:sz w:val="24"/>
              </w:rPr>
            </w:pPr>
            <w:r>
              <w:rPr>
                <w:rFonts w:ascii="Times New Roman" w:hAnsi="Times New Roman" w:cs="Times New Roman"/>
                <w:sz w:val="24"/>
              </w:rPr>
              <w:t>A fin 2011</w:t>
            </w:r>
          </w:p>
        </w:tc>
      </w:tr>
      <w:tr w:rsidR="00F4770D" w:rsidTr="00F64E1F">
        <w:tc>
          <w:tcPr>
            <w:cnfStyle w:val="001000000000"/>
            <w:tcW w:w="6771" w:type="dxa"/>
          </w:tcPr>
          <w:p w:rsidR="00F4770D" w:rsidRPr="00CB7A89" w:rsidRDefault="00F4770D" w:rsidP="00E07F3F">
            <w:pPr>
              <w:spacing w:line="360" w:lineRule="auto"/>
              <w:jc w:val="center"/>
              <w:rPr>
                <w:rFonts w:ascii="Times New Roman" w:hAnsi="Times New Roman" w:cs="Times New Roman"/>
                <w:bCs w:val="0"/>
                <w:color w:val="000000" w:themeColor="text1"/>
                <w:sz w:val="24"/>
              </w:rPr>
            </w:pPr>
            <w:r w:rsidRPr="00CB7A89">
              <w:rPr>
                <w:rFonts w:ascii="Times New Roman" w:hAnsi="Times New Roman" w:cs="Times New Roman"/>
                <w:bCs w:val="0"/>
                <w:color w:val="000000" w:themeColor="text1"/>
                <w:sz w:val="24"/>
              </w:rPr>
              <w:t>Sur la base des primes :</w:t>
            </w:r>
          </w:p>
          <w:p w:rsidR="00F4770D" w:rsidRPr="00CB7A89" w:rsidRDefault="00F4770D" w:rsidP="00E07F3F">
            <w:pPr>
              <w:spacing w:line="360" w:lineRule="auto"/>
              <w:jc w:val="center"/>
              <w:rPr>
                <w:rFonts w:ascii="Times New Roman" w:hAnsi="Times New Roman" w:cs="Times New Roman"/>
                <w:b w:val="0"/>
                <w:bCs w:val="0"/>
                <w:color w:val="000000" w:themeColor="text1"/>
                <w:sz w:val="24"/>
              </w:rPr>
            </w:pPr>
            <w:r w:rsidRPr="00CB7A89">
              <w:rPr>
                <w:rFonts w:ascii="Times New Roman" w:hAnsi="Times New Roman" w:cs="Times New Roman"/>
                <w:b w:val="0"/>
                <w:bCs w:val="0"/>
                <w:color w:val="000000" w:themeColor="text1"/>
                <w:sz w:val="24"/>
              </w:rPr>
              <w:t>Primes émises nettes d’annulation</w:t>
            </w:r>
          </w:p>
          <w:p w:rsidR="00F4770D" w:rsidRPr="003008FA" w:rsidRDefault="00F4770D" w:rsidP="00E07F3F">
            <w:pPr>
              <w:spacing w:line="360" w:lineRule="auto"/>
              <w:jc w:val="center"/>
              <w:rPr>
                <w:rFonts w:ascii="Times New Roman" w:hAnsi="Times New Roman" w:cs="Times New Roman"/>
                <w:color w:val="000000" w:themeColor="text1"/>
                <w:sz w:val="24"/>
              </w:rPr>
            </w:pPr>
            <w:r w:rsidRPr="00CB7A89">
              <w:rPr>
                <w:rFonts w:ascii="Times New Roman" w:hAnsi="Times New Roman" w:cs="Times New Roman"/>
                <w:b w:val="0"/>
                <w:bCs w:val="0"/>
                <w:color w:val="000000" w:themeColor="text1"/>
                <w:sz w:val="24"/>
              </w:rPr>
              <w:t>Primes acceptées nettes d’annulation</w:t>
            </w:r>
          </w:p>
        </w:tc>
        <w:tc>
          <w:tcPr>
            <w:tcW w:w="2440" w:type="dxa"/>
          </w:tcPr>
          <w:p w:rsidR="00F4770D" w:rsidRDefault="00F4770D" w:rsidP="00E07F3F">
            <w:pPr>
              <w:spacing w:line="360" w:lineRule="auto"/>
              <w:jc w:val="center"/>
              <w:cnfStyle w:val="000000000000"/>
              <w:rPr>
                <w:rFonts w:ascii="Times New Roman" w:hAnsi="Times New Roman" w:cs="Times New Roman"/>
                <w:sz w:val="24"/>
              </w:rPr>
            </w:pPr>
          </w:p>
          <w:p w:rsidR="00F4770D" w:rsidRDefault="00014DCA" w:rsidP="00E07F3F">
            <w:pPr>
              <w:spacing w:line="360" w:lineRule="auto"/>
              <w:jc w:val="center"/>
              <w:cnfStyle w:val="000000000000"/>
              <w:rPr>
                <w:rFonts w:ascii="Times New Roman" w:hAnsi="Times New Roman" w:cs="Times New Roman"/>
                <w:sz w:val="24"/>
              </w:rPr>
            </w:pPr>
            <w:r>
              <w:rPr>
                <w:rFonts w:ascii="Times New Roman" w:hAnsi="Times New Roman" w:cs="Times New Roman"/>
                <w:sz w:val="24"/>
              </w:rPr>
              <w:t>14 636 532 420</w:t>
            </w:r>
          </w:p>
          <w:p w:rsidR="00F4770D" w:rsidRPr="00AA70DC" w:rsidRDefault="00F4770D" w:rsidP="00E07F3F">
            <w:pPr>
              <w:spacing w:line="360" w:lineRule="auto"/>
              <w:ind w:firstLine="708"/>
              <w:jc w:val="center"/>
              <w:cnfStyle w:val="000000000000"/>
              <w:rPr>
                <w:rFonts w:ascii="Times New Roman" w:hAnsi="Times New Roman" w:cs="Times New Roman"/>
                <w:sz w:val="24"/>
              </w:rPr>
            </w:pPr>
            <w:r>
              <w:rPr>
                <w:rFonts w:ascii="Times New Roman" w:hAnsi="Times New Roman" w:cs="Times New Roman"/>
                <w:sz w:val="24"/>
              </w:rPr>
              <w:t>0</w:t>
            </w:r>
          </w:p>
        </w:tc>
      </w:tr>
      <w:tr w:rsidR="00F4770D" w:rsidTr="00F64E1F">
        <w:trPr>
          <w:cnfStyle w:val="000000100000"/>
        </w:trPr>
        <w:tc>
          <w:tcPr>
            <w:cnfStyle w:val="001000000000"/>
            <w:tcW w:w="6771" w:type="dxa"/>
          </w:tcPr>
          <w:p w:rsidR="00F4770D" w:rsidRPr="00CB7A89" w:rsidRDefault="00F4770D" w:rsidP="00E07F3F">
            <w:pPr>
              <w:spacing w:line="360" w:lineRule="auto"/>
              <w:jc w:val="center"/>
              <w:rPr>
                <w:rFonts w:ascii="Times New Roman" w:hAnsi="Times New Roman" w:cs="Times New Roman"/>
                <w:bCs w:val="0"/>
                <w:color w:val="000000" w:themeColor="text1"/>
                <w:sz w:val="24"/>
              </w:rPr>
            </w:pPr>
            <w:r w:rsidRPr="00CB7A89">
              <w:rPr>
                <w:rFonts w:ascii="Times New Roman" w:hAnsi="Times New Roman" w:cs="Times New Roman"/>
                <w:bCs w:val="0"/>
                <w:color w:val="000000" w:themeColor="text1"/>
                <w:sz w:val="24"/>
              </w:rPr>
              <w:t>Production</w:t>
            </w:r>
          </w:p>
        </w:tc>
        <w:tc>
          <w:tcPr>
            <w:tcW w:w="2440" w:type="dxa"/>
          </w:tcPr>
          <w:p w:rsidR="00F4770D" w:rsidRDefault="00014DCA" w:rsidP="00E07F3F">
            <w:pPr>
              <w:spacing w:line="360" w:lineRule="auto"/>
              <w:jc w:val="center"/>
              <w:cnfStyle w:val="000000100000"/>
              <w:rPr>
                <w:rFonts w:ascii="Times New Roman" w:hAnsi="Times New Roman" w:cs="Times New Roman"/>
                <w:sz w:val="24"/>
              </w:rPr>
            </w:pPr>
            <w:r>
              <w:rPr>
                <w:rFonts w:ascii="Times New Roman" w:hAnsi="Times New Roman" w:cs="Times New Roman"/>
                <w:sz w:val="24"/>
              </w:rPr>
              <w:t>14 636 532 420</w:t>
            </w:r>
          </w:p>
        </w:tc>
      </w:tr>
      <w:tr w:rsidR="00F4770D" w:rsidTr="00F64E1F">
        <w:tc>
          <w:tcPr>
            <w:cnfStyle w:val="001000000000"/>
            <w:tcW w:w="6771" w:type="dxa"/>
          </w:tcPr>
          <w:p w:rsidR="00F4770D" w:rsidRPr="00CB7A89" w:rsidRDefault="00F4770D" w:rsidP="00E07F3F">
            <w:pPr>
              <w:spacing w:line="360" w:lineRule="auto"/>
              <w:jc w:val="center"/>
              <w:rPr>
                <w:rFonts w:ascii="Times New Roman" w:hAnsi="Times New Roman" w:cs="Times New Roman"/>
                <w:b w:val="0"/>
                <w:bCs w:val="0"/>
                <w:color w:val="000000" w:themeColor="text1"/>
                <w:sz w:val="24"/>
              </w:rPr>
            </w:pPr>
            <w:r w:rsidRPr="00CB7A89">
              <w:rPr>
                <w:rFonts w:ascii="Times New Roman" w:hAnsi="Times New Roman" w:cs="Times New Roman"/>
                <w:b w:val="0"/>
                <w:bCs w:val="0"/>
                <w:color w:val="000000" w:themeColor="text1"/>
                <w:sz w:val="24"/>
              </w:rPr>
              <w:t>Primes cédées</w:t>
            </w:r>
          </w:p>
        </w:tc>
        <w:tc>
          <w:tcPr>
            <w:tcW w:w="2440" w:type="dxa"/>
          </w:tcPr>
          <w:p w:rsidR="00F4770D" w:rsidRDefault="00014DCA" w:rsidP="00E07F3F">
            <w:pPr>
              <w:spacing w:line="360" w:lineRule="auto"/>
              <w:jc w:val="center"/>
              <w:cnfStyle w:val="000000000000"/>
              <w:rPr>
                <w:rFonts w:ascii="Times New Roman" w:hAnsi="Times New Roman" w:cs="Times New Roman"/>
                <w:sz w:val="24"/>
              </w:rPr>
            </w:pPr>
            <w:r>
              <w:rPr>
                <w:rFonts w:ascii="Times New Roman" w:hAnsi="Times New Roman" w:cs="Times New Roman"/>
                <w:sz w:val="24"/>
              </w:rPr>
              <w:t>5 987 386 011</w:t>
            </w:r>
          </w:p>
        </w:tc>
      </w:tr>
      <w:tr w:rsidR="00F4770D" w:rsidTr="00F64E1F">
        <w:trPr>
          <w:cnfStyle w:val="000000100000"/>
        </w:trPr>
        <w:tc>
          <w:tcPr>
            <w:cnfStyle w:val="001000000000"/>
            <w:tcW w:w="6771" w:type="dxa"/>
          </w:tcPr>
          <w:p w:rsidR="00F4770D" w:rsidRPr="00CB7A89" w:rsidRDefault="00F4770D" w:rsidP="00E07F3F">
            <w:pPr>
              <w:spacing w:line="360" w:lineRule="auto"/>
              <w:jc w:val="center"/>
              <w:rPr>
                <w:rFonts w:ascii="Times New Roman" w:hAnsi="Times New Roman" w:cs="Times New Roman"/>
                <w:bCs w:val="0"/>
                <w:color w:val="000000" w:themeColor="text1"/>
                <w:sz w:val="24"/>
              </w:rPr>
            </w:pPr>
            <w:r w:rsidRPr="00CB7A89">
              <w:rPr>
                <w:rFonts w:ascii="Times New Roman" w:hAnsi="Times New Roman" w:cs="Times New Roman"/>
                <w:bCs w:val="0"/>
                <w:color w:val="000000" w:themeColor="text1"/>
                <w:sz w:val="24"/>
              </w:rPr>
              <w:t>Production Nette de réassurance (2)</w:t>
            </w:r>
          </w:p>
        </w:tc>
        <w:tc>
          <w:tcPr>
            <w:tcW w:w="2440" w:type="dxa"/>
          </w:tcPr>
          <w:p w:rsidR="00F4770D" w:rsidRDefault="00014DCA" w:rsidP="00E07F3F">
            <w:pPr>
              <w:spacing w:line="360" w:lineRule="auto"/>
              <w:jc w:val="center"/>
              <w:cnfStyle w:val="000000100000"/>
              <w:rPr>
                <w:rFonts w:ascii="Times New Roman" w:hAnsi="Times New Roman" w:cs="Times New Roman"/>
                <w:sz w:val="24"/>
              </w:rPr>
            </w:pPr>
            <w:r>
              <w:rPr>
                <w:rFonts w:ascii="Times New Roman" w:hAnsi="Times New Roman" w:cs="Times New Roman"/>
                <w:sz w:val="24"/>
              </w:rPr>
              <w:t>8 649 146 409</w:t>
            </w:r>
          </w:p>
        </w:tc>
      </w:tr>
      <w:tr w:rsidR="00F4770D" w:rsidTr="00F64E1F">
        <w:trPr>
          <w:trHeight w:val="446"/>
        </w:trPr>
        <w:tc>
          <w:tcPr>
            <w:cnfStyle w:val="001000000000"/>
            <w:tcW w:w="6771" w:type="dxa"/>
          </w:tcPr>
          <w:p w:rsidR="00F4770D" w:rsidRPr="00CB7A89" w:rsidRDefault="00F4770D" w:rsidP="00E07F3F">
            <w:pPr>
              <w:spacing w:line="360" w:lineRule="auto"/>
              <w:jc w:val="center"/>
              <w:rPr>
                <w:rFonts w:ascii="Times New Roman" w:hAnsi="Times New Roman" w:cs="Times New Roman"/>
                <w:bCs w:val="0"/>
                <w:color w:val="000000" w:themeColor="text1"/>
                <w:sz w:val="24"/>
              </w:rPr>
            </w:pPr>
            <w:r w:rsidRPr="00CB7A89">
              <w:rPr>
                <w:rFonts w:ascii="Times New Roman" w:hAnsi="Times New Roman" w:cs="Times New Roman"/>
                <w:bCs w:val="0"/>
                <w:color w:val="000000" w:themeColor="text1"/>
                <w:sz w:val="24"/>
              </w:rPr>
              <w:t>(2) * 20%</w:t>
            </w:r>
          </w:p>
        </w:tc>
        <w:tc>
          <w:tcPr>
            <w:tcW w:w="2440" w:type="dxa"/>
          </w:tcPr>
          <w:p w:rsidR="00F4770D" w:rsidRPr="00851B56" w:rsidRDefault="00014DCA" w:rsidP="00E07F3F">
            <w:pPr>
              <w:spacing w:line="360" w:lineRule="auto"/>
              <w:jc w:val="center"/>
              <w:cnfStyle w:val="000000000000"/>
              <w:rPr>
                <w:rFonts w:ascii="Times New Roman" w:hAnsi="Times New Roman" w:cs="Times New Roman"/>
                <w:b/>
                <w:sz w:val="24"/>
              </w:rPr>
            </w:pPr>
            <w:r>
              <w:rPr>
                <w:rFonts w:ascii="Times New Roman" w:hAnsi="Times New Roman" w:cs="Times New Roman"/>
                <w:b/>
                <w:sz w:val="24"/>
              </w:rPr>
              <w:t>1 729 829 282</w:t>
            </w:r>
          </w:p>
        </w:tc>
      </w:tr>
      <w:tr w:rsidR="00F4770D" w:rsidTr="00F64E1F">
        <w:trPr>
          <w:cnfStyle w:val="000000100000"/>
        </w:trPr>
        <w:tc>
          <w:tcPr>
            <w:cnfStyle w:val="001000000000"/>
            <w:tcW w:w="6771" w:type="dxa"/>
          </w:tcPr>
          <w:p w:rsidR="00F4770D" w:rsidRPr="00CB7A89" w:rsidRDefault="00F4770D" w:rsidP="00E07F3F">
            <w:pPr>
              <w:spacing w:line="360" w:lineRule="auto"/>
              <w:jc w:val="center"/>
              <w:rPr>
                <w:rFonts w:ascii="Times New Roman" w:hAnsi="Times New Roman" w:cs="Times New Roman"/>
                <w:bCs w:val="0"/>
                <w:color w:val="000000" w:themeColor="text1"/>
                <w:sz w:val="24"/>
              </w:rPr>
            </w:pPr>
            <w:r w:rsidRPr="00CB7A89">
              <w:rPr>
                <w:rFonts w:ascii="Times New Roman" w:hAnsi="Times New Roman" w:cs="Times New Roman"/>
                <w:bCs w:val="0"/>
                <w:color w:val="000000" w:themeColor="text1"/>
                <w:sz w:val="24"/>
              </w:rPr>
              <w:t>Sur la base des dettes techniques :</w:t>
            </w:r>
          </w:p>
          <w:p w:rsidR="00F4770D" w:rsidRPr="00CB7A89" w:rsidRDefault="00F4770D" w:rsidP="00E07F3F">
            <w:pPr>
              <w:spacing w:line="360" w:lineRule="auto"/>
              <w:jc w:val="center"/>
              <w:rPr>
                <w:rFonts w:ascii="Times New Roman" w:hAnsi="Times New Roman" w:cs="Times New Roman"/>
                <w:b w:val="0"/>
                <w:bCs w:val="0"/>
                <w:color w:val="000000" w:themeColor="text1"/>
                <w:sz w:val="24"/>
              </w:rPr>
            </w:pPr>
            <w:r w:rsidRPr="00CB7A89">
              <w:rPr>
                <w:rFonts w:ascii="Times New Roman" w:hAnsi="Times New Roman" w:cs="Times New Roman"/>
                <w:b w:val="0"/>
                <w:bCs w:val="0"/>
                <w:color w:val="000000" w:themeColor="text1"/>
                <w:sz w:val="24"/>
              </w:rPr>
              <w:t>Sinistres et frais à payer</w:t>
            </w:r>
          </w:p>
          <w:p w:rsidR="00F4770D" w:rsidRPr="00CB7A89" w:rsidRDefault="00F4770D" w:rsidP="00E07F3F">
            <w:pPr>
              <w:spacing w:line="360" w:lineRule="auto"/>
              <w:jc w:val="center"/>
              <w:rPr>
                <w:rFonts w:ascii="Times New Roman" w:hAnsi="Times New Roman" w:cs="Times New Roman"/>
                <w:b w:val="0"/>
                <w:bCs w:val="0"/>
                <w:color w:val="000000" w:themeColor="text1"/>
                <w:sz w:val="24"/>
              </w:rPr>
            </w:pPr>
            <w:r w:rsidRPr="00CB7A89">
              <w:rPr>
                <w:rFonts w:ascii="Times New Roman" w:hAnsi="Times New Roman" w:cs="Times New Roman"/>
                <w:b w:val="0"/>
                <w:bCs w:val="0"/>
                <w:color w:val="000000" w:themeColor="text1"/>
                <w:sz w:val="24"/>
              </w:rPr>
              <w:t>Provisions mathématiques</w:t>
            </w:r>
          </w:p>
          <w:p w:rsidR="00F4770D" w:rsidRPr="003008FA" w:rsidRDefault="00F4770D" w:rsidP="00E07F3F">
            <w:pPr>
              <w:spacing w:line="360" w:lineRule="auto"/>
              <w:jc w:val="center"/>
              <w:rPr>
                <w:rFonts w:ascii="Times New Roman" w:hAnsi="Times New Roman" w:cs="Times New Roman"/>
                <w:color w:val="000000" w:themeColor="text1"/>
                <w:sz w:val="24"/>
              </w:rPr>
            </w:pPr>
            <w:r w:rsidRPr="00CB7A89">
              <w:rPr>
                <w:rFonts w:ascii="Times New Roman" w:hAnsi="Times New Roman" w:cs="Times New Roman"/>
                <w:b w:val="0"/>
                <w:bCs w:val="0"/>
                <w:color w:val="000000" w:themeColor="text1"/>
                <w:sz w:val="24"/>
              </w:rPr>
              <w:t>Primes émises reportées</w:t>
            </w:r>
          </w:p>
        </w:tc>
        <w:tc>
          <w:tcPr>
            <w:tcW w:w="2440" w:type="dxa"/>
          </w:tcPr>
          <w:p w:rsidR="00F4770D" w:rsidRDefault="00F4770D" w:rsidP="00E07F3F">
            <w:pPr>
              <w:spacing w:line="360" w:lineRule="auto"/>
              <w:jc w:val="center"/>
              <w:cnfStyle w:val="000000100000"/>
              <w:rPr>
                <w:rFonts w:ascii="Times New Roman" w:hAnsi="Times New Roman" w:cs="Times New Roman"/>
                <w:b/>
                <w:sz w:val="24"/>
              </w:rPr>
            </w:pPr>
          </w:p>
          <w:p w:rsidR="00F4770D" w:rsidRDefault="00014DCA" w:rsidP="00E07F3F">
            <w:pPr>
              <w:spacing w:line="360" w:lineRule="auto"/>
              <w:jc w:val="center"/>
              <w:cnfStyle w:val="000000100000"/>
              <w:rPr>
                <w:rFonts w:ascii="Times New Roman" w:hAnsi="Times New Roman" w:cs="Times New Roman"/>
                <w:sz w:val="24"/>
              </w:rPr>
            </w:pPr>
            <w:r>
              <w:rPr>
                <w:rFonts w:ascii="Times New Roman" w:hAnsi="Times New Roman" w:cs="Times New Roman"/>
                <w:sz w:val="24"/>
              </w:rPr>
              <w:t>12 173 198 384</w:t>
            </w:r>
          </w:p>
          <w:p w:rsidR="00F4770D" w:rsidRDefault="00F4770D" w:rsidP="00E07F3F">
            <w:pPr>
              <w:spacing w:line="360" w:lineRule="auto"/>
              <w:jc w:val="center"/>
              <w:cnfStyle w:val="000000100000"/>
              <w:rPr>
                <w:rFonts w:ascii="Times New Roman" w:hAnsi="Times New Roman" w:cs="Times New Roman"/>
                <w:sz w:val="24"/>
              </w:rPr>
            </w:pPr>
            <w:r>
              <w:rPr>
                <w:rFonts w:ascii="Times New Roman" w:hAnsi="Times New Roman" w:cs="Times New Roman"/>
                <w:sz w:val="24"/>
              </w:rPr>
              <w:t>-</w:t>
            </w:r>
          </w:p>
          <w:p w:rsidR="00F4770D" w:rsidRPr="00E02382" w:rsidRDefault="00014DCA" w:rsidP="00E07F3F">
            <w:pPr>
              <w:spacing w:line="360" w:lineRule="auto"/>
              <w:jc w:val="center"/>
              <w:cnfStyle w:val="000000100000"/>
              <w:rPr>
                <w:rFonts w:ascii="Times New Roman" w:hAnsi="Times New Roman" w:cs="Times New Roman"/>
                <w:sz w:val="24"/>
              </w:rPr>
            </w:pPr>
            <w:r>
              <w:rPr>
                <w:rFonts w:ascii="Times New Roman" w:hAnsi="Times New Roman" w:cs="Times New Roman"/>
                <w:sz w:val="24"/>
              </w:rPr>
              <w:t>4 361 739 266</w:t>
            </w:r>
          </w:p>
        </w:tc>
      </w:tr>
      <w:tr w:rsidR="00F4770D" w:rsidTr="00F64E1F">
        <w:tc>
          <w:tcPr>
            <w:cnfStyle w:val="001000000000"/>
            <w:tcW w:w="6771" w:type="dxa"/>
          </w:tcPr>
          <w:p w:rsidR="00F4770D" w:rsidRPr="00CB7A89" w:rsidRDefault="00F4770D" w:rsidP="00E07F3F">
            <w:pPr>
              <w:spacing w:line="360" w:lineRule="auto"/>
              <w:jc w:val="center"/>
              <w:rPr>
                <w:rFonts w:ascii="Times New Roman" w:hAnsi="Times New Roman" w:cs="Times New Roman"/>
                <w:bCs w:val="0"/>
                <w:color w:val="000000" w:themeColor="text1"/>
                <w:sz w:val="24"/>
              </w:rPr>
            </w:pPr>
            <w:r w:rsidRPr="00CB7A89">
              <w:rPr>
                <w:rFonts w:ascii="Times New Roman" w:hAnsi="Times New Roman" w:cs="Times New Roman"/>
                <w:bCs w:val="0"/>
                <w:color w:val="000000" w:themeColor="text1"/>
                <w:sz w:val="24"/>
              </w:rPr>
              <w:t>Dettes techniques (1)</w:t>
            </w:r>
          </w:p>
        </w:tc>
        <w:tc>
          <w:tcPr>
            <w:tcW w:w="2440" w:type="dxa"/>
          </w:tcPr>
          <w:p w:rsidR="00F4770D" w:rsidRPr="00E02382" w:rsidRDefault="00014DCA" w:rsidP="00E07F3F">
            <w:pPr>
              <w:spacing w:line="360" w:lineRule="auto"/>
              <w:jc w:val="center"/>
              <w:cnfStyle w:val="000000000000"/>
              <w:rPr>
                <w:rFonts w:asciiTheme="majorBidi" w:hAnsiTheme="majorBidi" w:cstheme="majorBidi"/>
                <w:color w:val="000000"/>
                <w:sz w:val="24"/>
                <w:szCs w:val="24"/>
              </w:rPr>
            </w:pPr>
            <w:r>
              <w:rPr>
                <w:rFonts w:asciiTheme="majorBidi" w:hAnsiTheme="majorBidi" w:cstheme="majorBidi"/>
                <w:color w:val="000000"/>
                <w:sz w:val="24"/>
                <w:szCs w:val="24"/>
              </w:rPr>
              <w:t>16 534 937 650</w:t>
            </w:r>
          </w:p>
        </w:tc>
      </w:tr>
      <w:tr w:rsidR="00F4770D" w:rsidTr="00F64E1F">
        <w:trPr>
          <w:cnfStyle w:val="000000100000"/>
        </w:trPr>
        <w:tc>
          <w:tcPr>
            <w:cnfStyle w:val="001000000000"/>
            <w:tcW w:w="6771" w:type="dxa"/>
          </w:tcPr>
          <w:p w:rsidR="00F4770D" w:rsidRPr="00CB7A89" w:rsidRDefault="00F4770D" w:rsidP="00E07F3F">
            <w:pPr>
              <w:spacing w:line="360" w:lineRule="auto"/>
              <w:jc w:val="center"/>
              <w:rPr>
                <w:rFonts w:ascii="Times New Roman" w:hAnsi="Times New Roman" w:cs="Times New Roman"/>
                <w:bCs w:val="0"/>
                <w:color w:val="000000" w:themeColor="text1"/>
                <w:sz w:val="24"/>
              </w:rPr>
            </w:pPr>
            <w:r w:rsidRPr="00CB7A89">
              <w:rPr>
                <w:rFonts w:ascii="Times New Roman" w:hAnsi="Times New Roman" w:cs="Times New Roman"/>
                <w:bCs w:val="0"/>
                <w:color w:val="000000" w:themeColor="text1"/>
                <w:sz w:val="24"/>
              </w:rPr>
              <w:t>(1) * 15%</w:t>
            </w:r>
          </w:p>
        </w:tc>
        <w:tc>
          <w:tcPr>
            <w:tcW w:w="2440" w:type="dxa"/>
          </w:tcPr>
          <w:p w:rsidR="00F4770D" w:rsidRPr="007268A7" w:rsidRDefault="00014DCA" w:rsidP="00E07F3F">
            <w:pPr>
              <w:spacing w:line="360" w:lineRule="auto"/>
              <w:jc w:val="center"/>
              <w:cnfStyle w:val="000000100000"/>
              <w:rPr>
                <w:rFonts w:asciiTheme="majorBidi" w:hAnsiTheme="majorBidi" w:cstheme="majorBidi"/>
                <w:b/>
                <w:bCs/>
                <w:color w:val="000000"/>
                <w:sz w:val="24"/>
                <w:szCs w:val="24"/>
              </w:rPr>
            </w:pPr>
            <w:r>
              <w:rPr>
                <w:rFonts w:asciiTheme="majorBidi" w:hAnsiTheme="majorBidi" w:cstheme="majorBidi"/>
                <w:b/>
                <w:bCs/>
                <w:color w:val="000000"/>
                <w:sz w:val="24"/>
                <w:szCs w:val="24"/>
              </w:rPr>
              <w:t>2 480 240 648</w:t>
            </w:r>
          </w:p>
        </w:tc>
      </w:tr>
    </w:tbl>
    <w:p w:rsidR="00763639" w:rsidRPr="00354F08" w:rsidRDefault="00AD128F" w:rsidP="00763639">
      <w:pPr>
        <w:spacing w:line="360" w:lineRule="auto"/>
        <w:jc w:val="both"/>
        <w:rPr>
          <w:rFonts w:ascii="Times New Roman" w:hAnsi="Times New Roman" w:cs="Times New Roman"/>
          <w:b/>
          <w:bCs/>
          <w:sz w:val="24"/>
        </w:rPr>
      </w:pPr>
      <w:r w:rsidRPr="00354F08">
        <w:rPr>
          <w:rFonts w:ascii="Times New Roman" w:hAnsi="Times New Roman" w:cs="Times New Roman"/>
          <w:b/>
          <w:bCs/>
          <w:sz w:val="24"/>
        </w:rPr>
        <w:t>Tableau N°</w:t>
      </w:r>
      <w:proofErr w:type="gramStart"/>
      <w:r w:rsidR="00B73BA9">
        <w:rPr>
          <w:rFonts w:ascii="Times New Roman" w:hAnsi="Times New Roman" w:cs="Times New Roman"/>
          <w:b/>
          <w:bCs/>
          <w:sz w:val="24"/>
        </w:rPr>
        <w:t>9</w:t>
      </w:r>
      <w:r w:rsidRPr="00354F08">
        <w:rPr>
          <w:rFonts w:ascii="Times New Roman" w:hAnsi="Times New Roman" w:cs="Times New Roman"/>
          <w:b/>
          <w:bCs/>
          <w:sz w:val="24"/>
        </w:rPr>
        <w:t>:</w:t>
      </w:r>
      <w:proofErr w:type="gramEnd"/>
      <w:r w:rsidRPr="00354F08">
        <w:rPr>
          <w:rFonts w:ascii="Times New Roman" w:hAnsi="Times New Roman" w:cs="Times New Roman"/>
          <w:b/>
          <w:bCs/>
          <w:sz w:val="24"/>
        </w:rPr>
        <w:t xml:space="preserve"> </w:t>
      </w:r>
      <w:r w:rsidR="00243785">
        <w:rPr>
          <w:rFonts w:ascii="Times New Roman" w:hAnsi="Times New Roman" w:cs="Times New Roman"/>
          <w:b/>
          <w:bCs/>
          <w:sz w:val="24"/>
        </w:rPr>
        <w:t>C</w:t>
      </w:r>
      <w:r w:rsidR="002A5BDB">
        <w:rPr>
          <w:rFonts w:ascii="Times New Roman" w:hAnsi="Times New Roman" w:cs="Times New Roman"/>
          <w:b/>
          <w:bCs/>
          <w:sz w:val="24"/>
        </w:rPr>
        <w:t>alcul de la marge de solvabilité da la CAAT (2011)</w:t>
      </w:r>
    </w:p>
    <w:p w:rsidR="00EB2617" w:rsidRPr="00D04C96" w:rsidRDefault="00D04C96" w:rsidP="009465DC">
      <w:pPr>
        <w:spacing w:line="360" w:lineRule="auto"/>
        <w:jc w:val="both"/>
        <w:rPr>
          <w:rFonts w:asciiTheme="majorBidi" w:hAnsiTheme="majorBidi" w:cstheme="majorBidi"/>
          <w:sz w:val="24"/>
          <w:szCs w:val="24"/>
        </w:rPr>
      </w:pPr>
      <w:r>
        <w:rPr>
          <w:rFonts w:ascii="Times New Roman" w:hAnsi="Times New Roman" w:cs="Times New Roman"/>
          <w:sz w:val="24"/>
        </w:rPr>
        <w:tab/>
      </w:r>
      <w:r w:rsidR="00763639">
        <w:rPr>
          <w:rFonts w:ascii="Times New Roman" w:hAnsi="Times New Roman" w:cs="Times New Roman"/>
          <w:sz w:val="24"/>
        </w:rPr>
        <w:t xml:space="preserve">La marge de solvabilité disponible est de </w:t>
      </w:r>
      <w:r w:rsidR="00763639">
        <w:rPr>
          <w:rFonts w:asciiTheme="majorBidi" w:hAnsiTheme="majorBidi" w:cstheme="majorBidi"/>
          <w:b/>
          <w:bCs/>
          <w:color w:val="000000"/>
          <w:sz w:val="24"/>
          <w:szCs w:val="24"/>
        </w:rPr>
        <w:t>16 758 888</w:t>
      </w:r>
      <w:r w:rsidR="00856E5B">
        <w:rPr>
          <w:rFonts w:asciiTheme="majorBidi" w:hAnsiTheme="majorBidi" w:cstheme="majorBidi"/>
          <w:b/>
          <w:bCs/>
          <w:color w:val="000000"/>
          <w:sz w:val="24"/>
          <w:szCs w:val="24"/>
        </w:rPr>
        <w:t> </w:t>
      </w:r>
      <w:r w:rsidR="00763639">
        <w:rPr>
          <w:rFonts w:asciiTheme="majorBidi" w:hAnsiTheme="majorBidi" w:cstheme="majorBidi"/>
          <w:b/>
          <w:bCs/>
          <w:color w:val="000000"/>
          <w:sz w:val="24"/>
          <w:szCs w:val="24"/>
        </w:rPr>
        <w:t>015</w:t>
      </w:r>
      <w:r w:rsidR="00856E5B">
        <w:rPr>
          <w:rFonts w:asciiTheme="majorBidi" w:hAnsiTheme="majorBidi" w:cstheme="majorBidi"/>
          <w:b/>
          <w:bCs/>
          <w:color w:val="000000"/>
          <w:sz w:val="24"/>
          <w:szCs w:val="24"/>
        </w:rPr>
        <w:t xml:space="preserve"> DA</w:t>
      </w:r>
      <w:r w:rsidR="00763639">
        <w:rPr>
          <w:rFonts w:asciiTheme="majorBidi" w:hAnsiTheme="majorBidi" w:cstheme="majorBidi"/>
          <w:b/>
          <w:bCs/>
          <w:color w:val="000000"/>
          <w:sz w:val="24"/>
          <w:szCs w:val="24"/>
        </w:rPr>
        <w:t xml:space="preserve">. </w:t>
      </w:r>
      <w:r w:rsidR="00763639" w:rsidRPr="00763639">
        <w:rPr>
          <w:rFonts w:asciiTheme="majorBidi" w:hAnsiTheme="majorBidi" w:cstheme="majorBidi"/>
          <w:color w:val="000000"/>
          <w:sz w:val="24"/>
          <w:szCs w:val="24"/>
        </w:rPr>
        <w:t>Tandis que</w:t>
      </w:r>
      <w:r w:rsidR="00763639">
        <w:rPr>
          <w:rFonts w:ascii="Times New Roman" w:hAnsi="Times New Roman" w:cs="Times New Roman"/>
          <w:sz w:val="24"/>
        </w:rPr>
        <w:t xml:space="preserve"> l</w:t>
      </w:r>
      <w:r w:rsidR="00794D5B">
        <w:rPr>
          <w:rFonts w:ascii="Times New Roman" w:hAnsi="Times New Roman" w:cs="Times New Roman"/>
          <w:sz w:val="24"/>
        </w:rPr>
        <w:t>e minimum réglementaire</w:t>
      </w:r>
      <w:r w:rsidR="00763639">
        <w:rPr>
          <w:rFonts w:ascii="Times New Roman" w:hAnsi="Times New Roman" w:cs="Times New Roman"/>
          <w:sz w:val="24"/>
        </w:rPr>
        <w:t xml:space="preserve"> tel que défini par </w:t>
      </w:r>
      <w:r w:rsidR="00763639" w:rsidRPr="00EB2617">
        <w:rPr>
          <w:rFonts w:ascii="Times New Roman" w:hAnsi="Times New Roman" w:cs="Times New Roman"/>
          <w:sz w:val="24"/>
        </w:rPr>
        <w:t>l’article 3 du décret exécutif N°95-343 du 30 octobre 1995</w:t>
      </w:r>
      <w:r w:rsidR="00794D5B">
        <w:rPr>
          <w:rFonts w:ascii="Times New Roman" w:hAnsi="Times New Roman" w:cs="Times New Roman"/>
          <w:sz w:val="24"/>
        </w:rPr>
        <w:t xml:space="preserve"> </w:t>
      </w:r>
      <w:proofErr w:type="gramStart"/>
      <w:r w:rsidR="00794D5B">
        <w:rPr>
          <w:rFonts w:ascii="Times New Roman" w:hAnsi="Times New Roman" w:cs="Times New Roman"/>
          <w:sz w:val="24"/>
        </w:rPr>
        <w:t xml:space="preserve">est </w:t>
      </w:r>
      <w:r w:rsidR="00763639">
        <w:rPr>
          <w:rFonts w:ascii="Times New Roman" w:hAnsi="Times New Roman" w:cs="Times New Roman"/>
          <w:b/>
          <w:sz w:val="24"/>
        </w:rPr>
        <w:t xml:space="preserve"> </w:t>
      </w:r>
      <w:r w:rsidR="00794D5B" w:rsidRPr="00763639">
        <w:rPr>
          <w:rFonts w:ascii="Times New Roman" w:hAnsi="Times New Roman" w:cs="Times New Roman"/>
          <w:bCs/>
          <w:sz w:val="24"/>
        </w:rPr>
        <w:t>égale</w:t>
      </w:r>
      <w:proofErr w:type="gramEnd"/>
      <w:r w:rsidR="00794D5B">
        <w:rPr>
          <w:rFonts w:ascii="Times New Roman" w:hAnsi="Times New Roman" w:cs="Times New Roman"/>
          <w:b/>
          <w:sz w:val="24"/>
        </w:rPr>
        <w:t xml:space="preserve"> </w:t>
      </w:r>
      <w:r w:rsidR="00794D5B" w:rsidRPr="00763639">
        <w:rPr>
          <w:rFonts w:ascii="Times New Roman" w:hAnsi="Times New Roman" w:cs="Times New Roman"/>
          <w:bCs/>
          <w:sz w:val="24"/>
        </w:rPr>
        <w:t>à</w:t>
      </w:r>
      <w:r w:rsidR="00794D5B">
        <w:rPr>
          <w:rFonts w:ascii="Times New Roman" w:hAnsi="Times New Roman" w:cs="Times New Roman"/>
          <w:b/>
          <w:sz w:val="24"/>
        </w:rPr>
        <w:t xml:space="preserve"> </w:t>
      </w:r>
      <w:r w:rsidR="00794D5B">
        <w:rPr>
          <w:rFonts w:asciiTheme="majorBidi" w:hAnsiTheme="majorBidi" w:cstheme="majorBidi"/>
          <w:b/>
          <w:bCs/>
          <w:color w:val="000000"/>
          <w:sz w:val="24"/>
          <w:szCs w:val="24"/>
        </w:rPr>
        <w:t>2 480 240</w:t>
      </w:r>
      <w:r w:rsidR="00763639">
        <w:rPr>
          <w:rFonts w:asciiTheme="majorBidi" w:hAnsiTheme="majorBidi" w:cstheme="majorBidi"/>
          <w:b/>
          <w:bCs/>
          <w:color w:val="000000"/>
          <w:sz w:val="24"/>
          <w:szCs w:val="24"/>
        </w:rPr>
        <w:t> </w:t>
      </w:r>
      <w:r w:rsidR="00794D5B">
        <w:rPr>
          <w:rFonts w:asciiTheme="majorBidi" w:hAnsiTheme="majorBidi" w:cstheme="majorBidi"/>
          <w:b/>
          <w:bCs/>
          <w:color w:val="000000"/>
          <w:sz w:val="24"/>
          <w:szCs w:val="24"/>
        </w:rPr>
        <w:t>648</w:t>
      </w:r>
      <w:r w:rsidR="00763639">
        <w:rPr>
          <w:rFonts w:asciiTheme="majorBidi" w:hAnsiTheme="majorBidi" w:cstheme="majorBidi"/>
          <w:b/>
          <w:bCs/>
          <w:color w:val="000000"/>
          <w:sz w:val="24"/>
          <w:szCs w:val="24"/>
        </w:rPr>
        <w:t xml:space="preserve"> DA</w:t>
      </w:r>
      <w:r w:rsidR="00763639">
        <w:rPr>
          <w:rFonts w:ascii="Times New Roman" w:hAnsi="Times New Roman" w:cs="Times New Roman"/>
          <w:sz w:val="24"/>
        </w:rPr>
        <w:t>. De</w:t>
      </w:r>
      <w:r w:rsidR="003D735D">
        <w:rPr>
          <w:rFonts w:ascii="Times New Roman" w:hAnsi="Times New Roman" w:cs="Times New Roman"/>
          <w:sz w:val="24"/>
        </w:rPr>
        <w:t xml:space="preserve"> ce</w:t>
      </w:r>
      <w:r w:rsidR="00763639">
        <w:rPr>
          <w:rFonts w:ascii="Times New Roman" w:hAnsi="Times New Roman" w:cs="Times New Roman"/>
          <w:sz w:val="24"/>
        </w:rPr>
        <w:t xml:space="preserve"> fait</w:t>
      </w:r>
      <w:r w:rsidRPr="00D04C96">
        <w:rPr>
          <w:rFonts w:asciiTheme="majorBidi" w:hAnsiTheme="majorBidi" w:cstheme="majorBidi"/>
          <w:sz w:val="24"/>
          <w:szCs w:val="24"/>
        </w:rPr>
        <w:t xml:space="preserve"> </w:t>
      </w:r>
      <w:r w:rsidRPr="008E0379">
        <w:rPr>
          <w:rFonts w:asciiTheme="majorBidi" w:hAnsiTheme="majorBidi" w:cstheme="majorBidi"/>
          <w:sz w:val="24"/>
          <w:szCs w:val="24"/>
        </w:rPr>
        <w:t>La ma</w:t>
      </w:r>
      <w:r>
        <w:rPr>
          <w:rFonts w:asciiTheme="majorBidi" w:hAnsiTheme="majorBidi" w:cstheme="majorBidi"/>
          <w:sz w:val="24"/>
          <w:szCs w:val="24"/>
        </w:rPr>
        <w:t>rge de solvabilité disponible</w:t>
      </w:r>
      <w:r w:rsidRPr="008E0379">
        <w:rPr>
          <w:rFonts w:asciiTheme="majorBidi" w:hAnsiTheme="majorBidi" w:cstheme="majorBidi"/>
          <w:sz w:val="24"/>
          <w:szCs w:val="24"/>
        </w:rPr>
        <w:t xml:space="preserve"> couvre le minimum réglementaire requis</w:t>
      </w:r>
      <w:r>
        <w:rPr>
          <w:rFonts w:asciiTheme="majorBidi" w:hAnsiTheme="majorBidi" w:cstheme="majorBidi"/>
          <w:sz w:val="24"/>
          <w:szCs w:val="24"/>
        </w:rPr>
        <w:t xml:space="preserve"> à raison de </w:t>
      </w:r>
      <w:r>
        <w:rPr>
          <w:rFonts w:asciiTheme="majorBidi" w:hAnsiTheme="majorBidi" w:cstheme="majorBidi"/>
          <w:b/>
          <w:bCs/>
          <w:sz w:val="24"/>
          <w:szCs w:val="24"/>
        </w:rPr>
        <w:t>676</w:t>
      </w:r>
      <w:r w:rsidRPr="008E0379">
        <w:rPr>
          <w:rFonts w:asciiTheme="majorBidi" w:hAnsiTheme="majorBidi" w:cstheme="majorBidi"/>
          <w:b/>
          <w:bCs/>
          <w:sz w:val="24"/>
          <w:szCs w:val="24"/>
        </w:rPr>
        <w:t>%</w:t>
      </w:r>
      <w:r>
        <w:rPr>
          <w:rFonts w:asciiTheme="majorBidi" w:hAnsiTheme="majorBidi" w:cstheme="majorBidi"/>
          <w:b/>
          <w:bCs/>
          <w:sz w:val="24"/>
          <w:szCs w:val="24"/>
        </w:rPr>
        <w:t xml:space="preserve"> </w:t>
      </w:r>
      <w:r>
        <w:rPr>
          <w:rFonts w:asciiTheme="majorBidi" w:hAnsiTheme="majorBidi" w:cstheme="majorBidi"/>
          <w:sz w:val="24"/>
          <w:szCs w:val="24"/>
        </w:rPr>
        <w:t>ce</w:t>
      </w:r>
      <w:r w:rsidR="003D735D">
        <w:rPr>
          <w:rFonts w:ascii="Times New Roman" w:hAnsi="Times New Roman" w:cs="Times New Roman"/>
          <w:sz w:val="24"/>
        </w:rPr>
        <w:t xml:space="preserve"> qui signifie que</w:t>
      </w:r>
      <w:r w:rsidR="00EB2617" w:rsidRPr="00EB2617">
        <w:rPr>
          <w:rFonts w:ascii="Times New Roman" w:hAnsi="Times New Roman" w:cs="Times New Roman"/>
          <w:sz w:val="24"/>
        </w:rPr>
        <w:t xml:space="preserve"> la compagnie est e</w:t>
      </w:r>
      <w:r w:rsidR="00D262CB">
        <w:rPr>
          <w:rFonts w:ascii="Times New Roman" w:hAnsi="Times New Roman" w:cs="Times New Roman"/>
          <w:sz w:val="24"/>
        </w:rPr>
        <w:t>n bonne situation financière.</w:t>
      </w:r>
    </w:p>
    <w:p w:rsidR="00204CD8" w:rsidRDefault="003D735D" w:rsidP="00100D74">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Si jamais on a trouvé une insuffisance de</w:t>
      </w:r>
      <w:r w:rsidR="00EB2617" w:rsidRPr="00EB2617">
        <w:rPr>
          <w:rFonts w:ascii="Times New Roman" w:hAnsi="Times New Roman" w:cs="Times New Roman"/>
          <w:sz w:val="24"/>
        </w:rPr>
        <w:t xml:space="preserve"> la marge de solvabilité</w:t>
      </w:r>
      <w:r>
        <w:rPr>
          <w:rFonts w:ascii="Times New Roman" w:hAnsi="Times New Roman" w:cs="Times New Roman"/>
          <w:sz w:val="24"/>
        </w:rPr>
        <w:t xml:space="preserve"> disponible</w:t>
      </w:r>
      <w:r w:rsidR="00EB2617" w:rsidRPr="00EB2617">
        <w:rPr>
          <w:rFonts w:ascii="Times New Roman" w:hAnsi="Times New Roman" w:cs="Times New Roman"/>
          <w:sz w:val="24"/>
        </w:rPr>
        <w:t>, la compagnie est tenue au plus tard six mois après la constatation de l’insuffisance, de procéder à la libération du capital social ou d’augmenter son capital social ou de déposer une caution au trésor public dans la limi</w:t>
      </w:r>
      <w:r w:rsidR="00856E5B">
        <w:rPr>
          <w:rFonts w:ascii="Times New Roman" w:hAnsi="Times New Roman" w:cs="Times New Roman"/>
          <w:sz w:val="24"/>
        </w:rPr>
        <w:t>te de 20% du chiffre d’affaires.</w:t>
      </w:r>
    </w:p>
    <w:p w:rsidR="00A21CDF" w:rsidRDefault="00A21CDF" w:rsidP="00100D74">
      <w:pPr>
        <w:spacing w:after="0" w:line="360" w:lineRule="auto"/>
        <w:jc w:val="both"/>
        <w:rPr>
          <w:rFonts w:ascii="Times New Roman" w:hAnsi="Times New Roman" w:cs="Times New Roman"/>
          <w:b/>
          <w:bCs/>
          <w:sz w:val="28"/>
          <w:szCs w:val="28"/>
        </w:rPr>
      </w:pPr>
      <w:r w:rsidRPr="00A21CDF">
        <w:rPr>
          <w:rFonts w:ascii="Times New Roman" w:hAnsi="Times New Roman" w:cs="Times New Roman"/>
          <w:b/>
          <w:bCs/>
          <w:sz w:val="28"/>
          <w:szCs w:val="28"/>
        </w:rPr>
        <w:lastRenderedPageBreak/>
        <w:t>2</w:t>
      </w:r>
      <w:r w:rsidR="00944FC9">
        <w:rPr>
          <w:rFonts w:ascii="Times New Roman" w:hAnsi="Times New Roman" w:cs="Times New Roman"/>
          <w:b/>
          <w:bCs/>
          <w:sz w:val="28"/>
          <w:szCs w:val="28"/>
        </w:rPr>
        <w:t>-2- LE POSITIONNEMENT DE LA CAAT</w:t>
      </w:r>
      <w:r w:rsidRPr="00A21CDF">
        <w:rPr>
          <w:rFonts w:ascii="Times New Roman" w:hAnsi="Times New Roman" w:cs="Times New Roman"/>
          <w:b/>
          <w:bCs/>
          <w:sz w:val="28"/>
          <w:szCs w:val="28"/>
        </w:rPr>
        <w:t xml:space="preserve"> DANS LE MARCHE EN MATIERE DE MARGE DE SOLVABILITE</w:t>
      </w:r>
    </w:p>
    <w:p w:rsidR="00BE2DC1" w:rsidRDefault="00BE2DC1" w:rsidP="00BE2DC1">
      <w:pPr>
        <w:spacing w:line="360" w:lineRule="auto"/>
        <w:ind w:firstLine="567"/>
        <w:jc w:val="both"/>
        <w:rPr>
          <w:rFonts w:ascii="Times New Roman" w:hAnsi="Times New Roman" w:cs="Times New Roman"/>
          <w:sz w:val="24"/>
          <w:szCs w:val="24"/>
        </w:rPr>
      </w:pPr>
      <w:r w:rsidRPr="00BD50FA">
        <w:rPr>
          <w:rFonts w:ascii="Times New Roman" w:hAnsi="Times New Roman" w:cs="Times New Roman"/>
          <w:sz w:val="24"/>
          <w:szCs w:val="24"/>
        </w:rPr>
        <w:t>La marge de solvabilité du marché s’élève</w:t>
      </w:r>
      <w:r w:rsidR="00100D74">
        <w:rPr>
          <w:rFonts w:ascii="Times New Roman" w:hAnsi="Times New Roman" w:cs="Times New Roman"/>
          <w:sz w:val="24"/>
          <w:szCs w:val="24"/>
        </w:rPr>
        <w:t>, au 31/12/2011</w:t>
      </w:r>
      <w:r w:rsidRPr="00BD50FA">
        <w:rPr>
          <w:rFonts w:ascii="Times New Roman" w:hAnsi="Times New Roman" w:cs="Times New Roman"/>
          <w:sz w:val="24"/>
          <w:szCs w:val="24"/>
        </w:rPr>
        <w:t xml:space="preserve">, à </w:t>
      </w:r>
      <w:r w:rsidR="000E2302">
        <w:rPr>
          <w:rFonts w:ascii="Times New Roman" w:hAnsi="Times New Roman" w:cs="Times New Roman"/>
          <w:sz w:val="24"/>
          <w:szCs w:val="24"/>
        </w:rPr>
        <w:t>114, 17</w:t>
      </w:r>
      <w:r w:rsidRPr="00BD50FA">
        <w:rPr>
          <w:rFonts w:ascii="Times New Roman" w:hAnsi="Times New Roman" w:cs="Times New Roman"/>
          <w:sz w:val="24"/>
          <w:szCs w:val="24"/>
        </w:rPr>
        <w:t xml:space="preserve"> milliards de dinars</w:t>
      </w:r>
      <w:r>
        <w:rPr>
          <w:rFonts w:ascii="Times New Roman" w:hAnsi="Times New Roman" w:cs="Times New Roman"/>
          <w:sz w:val="24"/>
          <w:szCs w:val="24"/>
        </w:rPr>
        <w:t>, elle est constituée par l’ensemble des compagnies d’assurance avec des participations différentes comme nou</w:t>
      </w:r>
      <w:r w:rsidR="00100D74">
        <w:rPr>
          <w:rFonts w:ascii="Times New Roman" w:hAnsi="Times New Roman" w:cs="Times New Roman"/>
          <w:sz w:val="24"/>
          <w:szCs w:val="24"/>
        </w:rPr>
        <w:t>s le montre le tableau ci-</w:t>
      </w:r>
      <w:proofErr w:type="gramStart"/>
      <w:r w:rsidR="00100D74">
        <w:rPr>
          <w:rFonts w:ascii="Times New Roman" w:hAnsi="Times New Roman" w:cs="Times New Roman"/>
          <w:sz w:val="24"/>
          <w:szCs w:val="24"/>
        </w:rPr>
        <w:t>après</w:t>
      </w:r>
      <w:r>
        <w:rPr>
          <w:rFonts w:ascii="Times New Roman" w:hAnsi="Times New Roman" w:cs="Times New Roman"/>
          <w:sz w:val="24"/>
          <w:szCs w:val="24"/>
        </w:rPr>
        <w:t>:</w:t>
      </w:r>
      <w:proofErr w:type="gramEnd"/>
    </w:p>
    <w:p w:rsidR="00E9207A" w:rsidRPr="00CB1B3E" w:rsidRDefault="00E9207A" w:rsidP="00CB1B3E">
      <w:pPr>
        <w:spacing w:after="0" w:line="240" w:lineRule="auto"/>
        <w:ind w:firstLine="567"/>
        <w:jc w:val="both"/>
        <w:rPr>
          <w:rFonts w:ascii="Times New Roman" w:hAnsi="Times New Roman" w:cs="Times New Roman"/>
          <w:b/>
          <w:bCs/>
          <w:i/>
          <w:iCs/>
        </w:rPr>
      </w:pPr>
      <w:r>
        <w:rPr>
          <w:rFonts w:ascii="Times New Roman" w:hAnsi="Times New Roman" w:cs="Times New Roman"/>
          <w:sz w:val="24"/>
          <w:szCs w:val="24"/>
        </w:rPr>
        <w:t xml:space="preserve">                                                                                         </w:t>
      </w:r>
      <w:r w:rsidR="00CB1B3E">
        <w:rPr>
          <w:rFonts w:ascii="Times New Roman" w:hAnsi="Times New Roman" w:cs="Times New Roman"/>
          <w:sz w:val="24"/>
          <w:szCs w:val="24"/>
        </w:rPr>
        <w:t xml:space="preserve">           </w:t>
      </w:r>
      <w:r w:rsidR="00CB1B3E" w:rsidRPr="00CB1B3E">
        <w:rPr>
          <w:rFonts w:ascii="Times New Roman" w:hAnsi="Times New Roman" w:cs="Times New Roman"/>
          <w:b/>
          <w:bCs/>
          <w:i/>
          <w:iCs/>
        </w:rPr>
        <w:t>Millions de DA</w:t>
      </w:r>
    </w:p>
    <w:tbl>
      <w:tblPr>
        <w:tblW w:w="6135" w:type="dxa"/>
        <w:tblInd w:w="1913" w:type="dxa"/>
        <w:tblCellMar>
          <w:left w:w="70" w:type="dxa"/>
          <w:right w:w="70" w:type="dxa"/>
        </w:tblCellMar>
        <w:tblLook w:val="04A0"/>
      </w:tblPr>
      <w:tblGrid>
        <w:gridCol w:w="455"/>
        <w:gridCol w:w="2360"/>
        <w:gridCol w:w="1721"/>
        <w:gridCol w:w="1599"/>
      </w:tblGrid>
      <w:tr w:rsidR="00065674" w:rsidRPr="00065674" w:rsidTr="00065674">
        <w:trPr>
          <w:trHeight w:val="345"/>
        </w:trPr>
        <w:tc>
          <w:tcPr>
            <w:tcW w:w="455" w:type="dxa"/>
            <w:tcBorders>
              <w:top w:val="nil"/>
              <w:left w:val="nil"/>
              <w:bottom w:val="nil"/>
              <w:right w:val="nil"/>
            </w:tcBorders>
            <w:shd w:val="clear" w:color="auto" w:fill="auto"/>
            <w:noWrap/>
            <w:vAlign w:val="bottom"/>
            <w:hideMark/>
          </w:tcPr>
          <w:p w:rsidR="00065674" w:rsidRPr="00065674" w:rsidRDefault="00065674" w:rsidP="00065674">
            <w:pPr>
              <w:spacing w:after="0" w:line="240" w:lineRule="auto"/>
              <w:rPr>
                <w:rFonts w:ascii="Calibri" w:eastAsia="Times New Roman" w:hAnsi="Calibri" w:cs="Calibri"/>
                <w:color w:val="000000"/>
              </w:rPr>
            </w:pPr>
          </w:p>
        </w:tc>
        <w:tc>
          <w:tcPr>
            <w:tcW w:w="2360" w:type="dxa"/>
            <w:tcBorders>
              <w:top w:val="nil"/>
              <w:left w:val="nil"/>
              <w:bottom w:val="nil"/>
              <w:right w:val="nil"/>
            </w:tcBorders>
            <w:shd w:val="clear" w:color="auto" w:fill="auto"/>
            <w:noWrap/>
            <w:vAlign w:val="bottom"/>
            <w:hideMark/>
          </w:tcPr>
          <w:p w:rsidR="00065674" w:rsidRPr="00065674" w:rsidRDefault="00065674" w:rsidP="00065674">
            <w:pPr>
              <w:spacing w:after="0" w:line="240" w:lineRule="auto"/>
              <w:rPr>
                <w:rFonts w:ascii="Calibri" w:eastAsia="Times New Roman" w:hAnsi="Calibri" w:cs="Calibri"/>
                <w:color w:val="000000"/>
              </w:rPr>
            </w:pPr>
          </w:p>
        </w:tc>
        <w:tc>
          <w:tcPr>
            <w:tcW w:w="3320" w:type="dxa"/>
            <w:gridSpan w:val="2"/>
            <w:tcBorders>
              <w:top w:val="single" w:sz="8" w:space="0" w:color="auto"/>
              <w:left w:val="single" w:sz="8" w:space="0" w:color="auto"/>
              <w:bottom w:val="single" w:sz="8" w:space="0" w:color="auto"/>
              <w:right w:val="single" w:sz="8" w:space="0" w:color="000000"/>
            </w:tcBorders>
            <w:shd w:val="clear" w:color="000000" w:fill="B2A1C7"/>
            <w:noWrap/>
            <w:vAlign w:val="bottom"/>
            <w:hideMark/>
          </w:tcPr>
          <w:p w:rsidR="00065674" w:rsidRPr="00065674" w:rsidRDefault="00065674" w:rsidP="00065674">
            <w:pPr>
              <w:spacing w:after="0" w:line="240" w:lineRule="auto"/>
              <w:jc w:val="center"/>
              <w:rPr>
                <w:rFonts w:ascii="Times New Roman" w:eastAsia="Times New Roman" w:hAnsi="Times New Roman" w:cs="Times New Roman"/>
                <w:b/>
                <w:bCs/>
                <w:color w:val="000000"/>
                <w:sz w:val="26"/>
                <w:szCs w:val="26"/>
              </w:rPr>
            </w:pPr>
            <w:r w:rsidRPr="00065674">
              <w:rPr>
                <w:rFonts w:ascii="Times New Roman" w:eastAsia="Times New Roman" w:hAnsi="Times New Roman" w:cs="Times New Roman"/>
                <w:b/>
                <w:bCs/>
                <w:color w:val="000000"/>
                <w:sz w:val="26"/>
                <w:szCs w:val="26"/>
              </w:rPr>
              <w:t>2011</w:t>
            </w:r>
          </w:p>
        </w:tc>
      </w:tr>
      <w:tr w:rsidR="00065674" w:rsidRPr="00065674" w:rsidTr="00065674">
        <w:trPr>
          <w:trHeight w:val="345"/>
        </w:trPr>
        <w:tc>
          <w:tcPr>
            <w:tcW w:w="455" w:type="dxa"/>
            <w:tcBorders>
              <w:top w:val="nil"/>
              <w:left w:val="nil"/>
              <w:bottom w:val="nil"/>
              <w:right w:val="nil"/>
            </w:tcBorders>
            <w:shd w:val="clear" w:color="auto" w:fill="auto"/>
            <w:noWrap/>
            <w:vAlign w:val="bottom"/>
            <w:hideMark/>
          </w:tcPr>
          <w:p w:rsidR="00065674" w:rsidRPr="00065674" w:rsidRDefault="00065674" w:rsidP="00065674">
            <w:pPr>
              <w:spacing w:after="0" w:line="240" w:lineRule="auto"/>
              <w:rPr>
                <w:rFonts w:ascii="Calibri" w:eastAsia="Times New Roman" w:hAnsi="Calibri" w:cs="Calibri"/>
                <w:color w:val="000000"/>
              </w:rPr>
            </w:pPr>
          </w:p>
        </w:tc>
        <w:tc>
          <w:tcPr>
            <w:tcW w:w="2360" w:type="dxa"/>
            <w:tcBorders>
              <w:top w:val="single" w:sz="8" w:space="0" w:color="auto"/>
              <w:left w:val="single" w:sz="8" w:space="0" w:color="auto"/>
              <w:bottom w:val="single" w:sz="8" w:space="0" w:color="auto"/>
              <w:right w:val="single" w:sz="8" w:space="0" w:color="auto"/>
            </w:tcBorders>
            <w:shd w:val="clear" w:color="000000" w:fill="B2A1C7"/>
            <w:noWrap/>
            <w:vAlign w:val="bottom"/>
            <w:hideMark/>
          </w:tcPr>
          <w:p w:rsidR="00065674" w:rsidRPr="00065674" w:rsidRDefault="00065674" w:rsidP="00065674">
            <w:pPr>
              <w:spacing w:after="0" w:line="240" w:lineRule="auto"/>
              <w:jc w:val="center"/>
              <w:rPr>
                <w:rFonts w:ascii="Times New Roman" w:eastAsia="Times New Roman" w:hAnsi="Times New Roman" w:cs="Times New Roman"/>
                <w:b/>
                <w:bCs/>
                <w:color w:val="000000"/>
                <w:sz w:val="26"/>
                <w:szCs w:val="26"/>
              </w:rPr>
            </w:pPr>
            <w:r w:rsidRPr="00065674">
              <w:rPr>
                <w:rFonts w:ascii="Times New Roman" w:eastAsia="Times New Roman" w:hAnsi="Times New Roman" w:cs="Times New Roman"/>
                <w:b/>
                <w:bCs/>
                <w:color w:val="000000"/>
                <w:sz w:val="26"/>
                <w:szCs w:val="26"/>
              </w:rPr>
              <w:t>Compagnies</w:t>
            </w:r>
          </w:p>
        </w:tc>
        <w:tc>
          <w:tcPr>
            <w:tcW w:w="1721" w:type="dxa"/>
            <w:tcBorders>
              <w:top w:val="single" w:sz="8" w:space="0" w:color="auto"/>
              <w:left w:val="nil"/>
              <w:bottom w:val="single" w:sz="8" w:space="0" w:color="auto"/>
              <w:right w:val="single" w:sz="8" w:space="0" w:color="000000"/>
            </w:tcBorders>
            <w:shd w:val="clear" w:color="000000" w:fill="B2A1C7"/>
            <w:noWrap/>
            <w:vAlign w:val="bottom"/>
            <w:hideMark/>
          </w:tcPr>
          <w:p w:rsidR="00065674" w:rsidRPr="00065674" w:rsidRDefault="00065674" w:rsidP="00065674">
            <w:pPr>
              <w:spacing w:after="0" w:line="240" w:lineRule="auto"/>
              <w:jc w:val="center"/>
              <w:rPr>
                <w:rFonts w:ascii="Times New Roman" w:eastAsia="Times New Roman" w:hAnsi="Times New Roman" w:cs="Times New Roman"/>
                <w:b/>
                <w:bCs/>
                <w:color w:val="000000"/>
                <w:sz w:val="26"/>
                <w:szCs w:val="26"/>
              </w:rPr>
            </w:pPr>
            <w:r w:rsidRPr="00065674">
              <w:rPr>
                <w:rFonts w:ascii="Times New Roman" w:eastAsia="Times New Roman" w:hAnsi="Times New Roman" w:cs="Times New Roman"/>
                <w:b/>
                <w:bCs/>
                <w:color w:val="000000"/>
                <w:sz w:val="26"/>
                <w:szCs w:val="26"/>
              </w:rPr>
              <w:t>Montant</w:t>
            </w:r>
          </w:p>
        </w:tc>
        <w:tc>
          <w:tcPr>
            <w:tcW w:w="1599" w:type="dxa"/>
            <w:tcBorders>
              <w:top w:val="nil"/>
              <w:left w:val="nil"/>
              <w:bottom w:val="single" w:sz="8" w:space="0" w:color="auto"/>
              <w:right w:val="single" w:sz="8" w:space="0" w:color="auto"/>
            </w:tcBorders>
            <w:shd w:val="clear" w:color="000000" w:fill="B2A1C7"/>
            <w:noWrap/>
            <w:vAlign w:val="bottom"/>
            <w:hideMark/>
          </w:tcPr>
          <w:p w:rsidR="00065674" w:rsidRPr="00065674" w:rsidRDefault="00065674" w:rsidP="00065674">
            <w:pPr>
              <w:spacing w:after="0" w:line="240" w:lineRule="auto"/>
              <w:jc w:val="center"/>
              <w:rPr>
                <w:rFonts w:ascii="Times New Roman" w:eastAsia="Times New Roman" w:hAnsi="Times New Roman" w:cs="Times New Roman"/>
                <w:b/>
                <w:bCs/>
                <w:color w:val="000000"/>
                <w:sz w:val="26"/>
                <w:szCs w:val="26"/>
              </w:rPr>
            </w:pPr>
            <w:r w:rsidRPr="00065674">
              <w:rPr>
                <w:rFonts w:ascii="Times New Roman" w:eastAsia="Times New Roman" w:hAnsi="Times New Roman" w:cs="Times New Roman"/>
                <w:b/>
                <w:bCs/>
                <w:color w:val="000000"/>
                <w:sz w:val="26"/>
                <w:szCs w:val="26"/>
              </w:rPr>
              <w:t>Participation</w:t>
            </w:r>
          </w:p>
        </w:tc>
      </w:tr>
      <w:tr w:rsidR="00065674" w:rsidRPr="00065674" w:rsidTr="00E9207A">
        <w:trPr>
          <w:trHeight w:val="330"/>
        </w:trPr>
        <w:tc>
          <w:tcPr>
            <w:tcW w:w="455" w:type="dxa"/>
            <w:vMerge w:val="restart"/>
            <w:tcBorders>
              <w:top w:val="single" w:sz="8" w:space="0" w:color="auto"/>
              <w:left w:val="single" w:sz="8" w:space="0" w:color="auto"/>
              <w:bottom w:val="single" w:sz="8" w:space="0" w:color="000000"/>
              <w:right w:val="single" w:sz="8" w:space="0" w:color="auto"/>
            </w:tcBorders>
            <w:shd w:val="clear" w:color="auto" w:fill="5F497A" w:themeFill="accent4" w:themeFillShade="BF"/>
            <w:noWrap/>
            <w:textDirection w:val="btLr"/>
            <w:vAlign w:val="bottom"/>
            <w:hideMark/>
          </w:tcPr>
          <w:p w:rsidR="00065674" w:rsidRPr="00065674" w:rsidRDefault="00065674" w:rsidP="00065674">
            <w:pPr>
              <w:spacing w:after="0" w:line="240" w:lineRule="auto"/>
              <w:jc w:val="center"/>
              <w:rPr>
                <w:rFonts w:ascii="Times New Roman" w:eastAsia="Times New Roman" w:hAnsi="Times New Roman" w:cs="Times New Roman"/>
                <w:b/>
                <w:bCs/>
                <w:color w:val="FFFFFF" w:themeColor="background1"/>
                <w:sz w:val="24"/>
                <w:szCs w:val="24"/>
              </w:rPr>
            </w:pPr>
            <w:r w:rsidRPr="00E9207A">
              <w:rPr>
                <w:rFonts w:ascii="Times New Roman" w:eastAsia="Times New Roman" w:hAnsi="Times New Roman" w:cs="Times New Roman"/>
                <w:b/>
                <w:bCs/>
                <w:color w:val="FFFFFF" w:themeColor="background1"/>
                <w:sz w:val="24"/>
                <w:szCs w:val="24"/>
              </w:rPr>
              <w:t xml:space="preserve">  </w:t>
            </w:r>
            <w:r w:rsidRPr="00065674">
              <w:rPr>
                <w:rFonts w:ascii="Times New Roman" w:eastAsia="Times New Roman" w:hAnsi="Times New Roman" w:cs="Times New Roman"/>
                <w:b/>
                <w:bCs/>
                <w:color w:val="FFFFFF" w:themeColor="background1"/>
                <w:sz w:val="24"/>
                <w:szCs w:val="24"/>
              </w:rPr>
              <w:t xml:space="preserve">   </w:t>
            </w:r>
            <w:proofErr w:type="spellStart"/>
            <w:r w:rsidRPr="00065674">
              <w:rPr>
                <w:rFonts w:ascii="Times New Roman" w:eastAsia="Times New Roman" w:hAnsi="Times New Roman" w:cs="Times New Roman"/>
                <w:b/>
                <w:bCs/>
                <w:color w:val="FFFFFF" w:themeColor="background1"/>
                <w:sz w:val="24"/>
                <w:szCs w:val="24"/>
              </w:rPr>
              <w:t>ASS.Dommage</w:t>
            </w:r>
            <w:proofErr w:type="spellEnd"/>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SAA</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24 453,00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22%</w:t>
            </w:r>
          </w:p>
        </w:tc>
      </w:tr>
      <w:tr w:rsidR="00065674" w:rsidRPr="00065674" w:rsidTr="00E9207A">
        <w:trPr>
          <w:trHeight w:val="330"/>
        </w:trPr>
        <w:tc>
          <w:tcPr>
            <w:tcW w:w="455" w:type="dxa"/>
            <w:vMerge/>
            <w:tcBorders>
              <w:top w:val="single" w:sz="8" w:space="0" w:color="auto"/>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Times New Roman" w:eastAsia="Times New Roman" w:hAnsi="Times New Roman" w:cs="Times New Roman"/>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CAAR</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17 364,00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15%</w:t>
            </w:r>
          </w:p>
        </w:tc>
      </w:tr>
      <w:tr w:rsidR="00065674" w:rsidRPr="00065674" w:rsidTr="00E9207A">
        <w:trPr>
          <w:trHeight w:val="330"/>
        </w:trPr>
        <w:tc>
          <w:tcPr>
            <w:tcW w:w="455" w:type="dxa"/>
            <w:vMerge/>
            <w:tcBorders>
              <w:top w:val="single" w:sz="8" w:space="0" w:color="auto"/>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Times New Roman" w:eastAsia="Times New Roman" w:hAnsi="Times New Roman" w:cs="Times New Roman"/>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CAAT</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16 759,00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15%</w:t>
            </w:r>
          </w:p>
        </w:tc>
      </w:tr>
      <w:tr w:rsidR="00065674" w:rsidRPr="00065674" w:rsidTr="00E9207A">
        <w:trPr>
          <w:trHeight w:val="330"/>
        </w:trPr>
        <w:tc>
          <w:tcPr>
            <w:tcW w:w="455" w:type="dxa"/>
            <w:vMerge/>
            <w:tcBorders>
              <w:top w:val="single" w:sz="8" w:space="0" w:color="auto"/>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Times New Roman" w:eastAsia="Times New Roman" w:hAnsi="Times New Roman" w:cs="Times New Roman"/>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TRUST Algérie</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2 177,00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2%</w:t>
            </w:r>
          </w:p>
        </w:tc>
      </w:tr>
      <w:tr w:rsidR="00065674" w:rsidRPr="00065674" w:rsidTr="00E9207A">
        <w:trPr>
          <w:trHeight w:val="330"/>
        </w:trPr>
        <w:tc>
          <w:tcPr>
            <w:tcW w:w="455" w:type="dxa"/>
            <w:vMerge/>
            <w:tcBorders>
              <w:top w:val="single" w:sz="8" w:space="0" w:color="auto"/>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Times New Roman" w:eastAsia="Times New Roman" w:hAnsi="Times New Roman" w:cs="Times New Roman"/>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CIAR</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4 679,00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4%</w:t>
            </w:r>
          </w:p>
        </w:tc>
      </w:tr>
      <w:tr w:rsidR="00065674" w:rsidRPr="00065674" w:rsidTr="00E9207A">
        <w:trPr>
          <w:trHeight w:val="330"/>
        </w:trPr>
        <w:tc>
          <w:tcPr>
            <w:tcW w:w="455" w:type="dxa"/>
            <w:vMerge/>
            <w:tcBorders>
              <w:top w:val="single" w:sz="8" w:space="0" w:color="auto"/>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Times New Roman" w:eastAsia="Times New Roman" w:hAnsi="Times New Roman" w:cs="Times New Roman"/>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2A</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2 348,00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2%</w:t>
            </w:r>
          </w:p>
        </w:tc>
      </w:tr>
      <w:tr w:rsidR="00065674" w:rsidRPr="00065674" w:rsidTr="00E9207A">
        <w:trPr>
          <w:trHeight w:val="330"/>
        </w:trPr>
        <w:tc>
          <w:tcPr>
            <w:tcW w:w="455" w:type="dxa"/>
            <w:vMerge/>
            <w:tcBorders>
              <w:top w:val="single" w:sz="8" w:space="0" w:color="auto"/>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Times New Roman" w:eastAsia="Times New Roman" w:hAnsi="Times New Roman" w:cs="Times New Roman"/>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CASH</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9 495,00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8%</w:t>
            </w:r>
          </w:p>
        </w:tc>
      </w:tr>
      <w:tr w:rsidR="00065674" w:rsidRPr="00065674" w:rsidTr="00E9207A">
        <w:trPr>
          <w:trHeight w:val="330"/>
        </w:trPr>
        <w:tc>
          <w:tcPr>
            <w:tcW w:w="455" w:type="dxa"/>
            <w:vMerge/>
            <w:tcBorders>
              <w:top w:val="single" w:sz="8" w:space="0" w:color="auto"/>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Times New Roman" w:eastAsia="Times New Roman" w:hAnsi="Times New Roman" w:cs="Times New Roman"/>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proofErr w:type="spellStart"/>
            <w:r w:rsidRPr="00065674">
              <w:rPr>
                <w:rFonts w:ascii="Times New Roman" w:eastAsia="Times New Roman" w:hAnsi="Times New Roman" w:cs="Times New Roman"/>
                <w:color w:val="000000"/>
                <w:sz w:val="24"/>
                <w:szCs w:val="24"/>
              </w:rPr>
              <w:t>Salama</w:t>
            </w:r>
            <w:proofErr w:type="spellEnd"/>
            <w:r w:rsidRPr="00065674">
              <w:rPr>
                <w:rFonts w:ascii="Times New Roman" w:eastAsia="Times New Roman" w:hAnsi="Times New Roman" w:cs="Times New Roman"/>
                <w:color w:val="000000"/>
                <w:sz w:val="24"/>
                <w:szCs w:val="24"/>
              </w:rPr>
              <w:t xml:space="preserve"> </w:t>
            </w:r>
            <w:proofErr w:type="spellStart"/>
            <w:r w:rsidRPr="00065674">
              <w:rPr>
                <w:rFonts w:ascii="Times New Roman" w:eastAsia="Times New Roman" w:hAnsi="Times New Roman" w:cs="Times New Roman"/>
                <w:color w:val="000000"/>
                <w:sz w:val="24"/>
                <w:szCs w:val="24"/>
              </w:rPr>
              <w:t>Ass</w:t>
            </w:r>
            <w:proofErr w:type="spellEnd"/>
            <w:r w:rsidRPr="00065674">
              <w:rPr>
                <w:rFonts w:ascii="Times New Roman" w:eastAsia="Times New Roman" w:hAnsi="Times New Roman" w:cs="Times New Roman"/>
                <w:color w:val="000000"/>
                <w:sz w:val="24"/>
                <w:szCs w:val="24"/>
              </w:rPr>
              <w:t>.</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2 230,00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2%</w:t>
            </w:r>
          </w:p>
        </w:tc>
      </w:tr>
      <w:tr w:rsidR="00065674" w:rsidRPr="00065674" w:rsidTr="00E9207A">
        <w:trPr>
          <w:trHeight w:val="330"/>
        </w:trPr>
        <w:tc>
          <w:tcPr>
            <w:tcW w:w="455" w:type="dxa"/>
            <w:vMerge/>
            <w:tcBorders>
              <w:top w:val="single" w:sz="8" w:space="0" w:color="auto"/>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Times New Roman" w:eastAsia="Times New Roman" w:hAnsi="Times New Roman" w:cs="Times New Roman"/>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 xml:space="preserve">Alliance </w:t>
            </w:r>
            <w:proofErr w:type="spellStart"/>
            <w:r w:rsidRPr="00065674">
              <w:rPr>
                <w:rFonts w:ascii="Times New Roman" w:eastAsia="Times New Roman" w:hAnsi="Times New Roman" w:cs="Times New Roman"/>
                <w:color w:val="000000"/>
                <w:sz w:val="24"/>
                <w:szCs w:val="24"/>
              </w:rPr>
              <w:t>Ass</w:t>
            </w:r>
            <w:proofErr w:type="spellEnd"/>
            <w:r w:rsidRPr="00065674">
              <w:rPr>
                <w:rFonts w:ascii="Times New Roman" w:eastAsia="Times New Roman" w:hAnsi="Times New Roman" w:cs="Times New Roman"/>
                <w:color w:val="000000"/>
                <w:sz w:val="24"/>
                <w:szCs w:val="24"/>
              </w:rPr>
              <w:t>.</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2 504,00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2%</w:t>
            </w:r>
          </w:p>
        </w:tc>
      </w:tr>
      <w:tr w:rsidR="00065674" w:rsidRPr="00065674" w:rsidTr="00E9207A">
        <w:trPr>
          <w:trHeight w:val="330"/>
        </w:trPr>
        <w:tc>
          <w:tcPr>
            <w:tcW w:w="455" w:type="dxa"/>
            <w:vMerge/>
            <w:tcBorders>
              <w:top w:val="single" w:sz="8" w:space="0" w:color="auto"/>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Times New Roman" w:eastAsia="Times New Roman" w:hAnsi="Times New Roman" w:cs="Times New Roman"/>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GAM</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2 612,00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2%</w:t>
            </w:r>
          </w:p>
        </w:tc>
      </w:tr>
      <w:tr w:rsidR="00065674" w:rsidRPr="00065674" w:rsidTr="00E9207A">
        <w:trPr>
          <w:trHeight w:val="330"/>
        </w:trPr>
        <w:tc>
          <w:tcPr>
            <w:tcW w:w="455" w:type="dxa"/>
            <w:vMerge/>
            <w:tcBorders>
              <w:top w:val="single" w:sz="8" w:space="0" w:color="auto"/>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Times New Roman" w:eastAsia="Times New Roman" w:hAnsi="Times New Roman" w:cs="Times New Roman"/>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MATEC</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276,00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0%</w:t>
            </w:r>
          </w:p>
        </w:tc>
      </w:tr>
      <w:tr w:rsidR="00065674" w:rsidRPr="00065674" w:rsidTr="00E9207A">
        <w:trPr>
          <w:trHeight w:val="330"/>
        </w:trPr>
        <w:tc>
          <w:tcPr>
            <w:tcW w:w="455" w:type="dxa"/>
            <w:vMerge/>
            <w:tcBorders>
              <w:top w:val="single" w:sz="8" w:space="0" w:color="auto"/>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Times New Roman" w:eastAsia="Times New Roman" w:hAnsi="Times New Roman" w:cs="Times New Roman"/>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CNMA</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4 184,00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4%</w:t>
            </w:r>
          </w:p>
        </w:tc>
      </w:tr>
      <w:tr w:rsidR="00065674" w:rsidRPr="00065674" w:rsidTr="00E9207A">
        <w:trPr>
          <w:trHeight w:val="330"/>
        </w:trPr>
        <w:tc>
          <w:tcPr>
            <w:tcW w:w="455" w:type="dxa"/>
            <w:vMerge/>
            <w:tcBorders>
              <w:top w:val="single" w:sz="8" w:space="0" w:color="auto"/>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Times New Roman" w:eastAsia="Times New Roman" w:hAnsi="Times New Roman" w:cs="Times New Roman"/>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AXA dommages</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2 000,00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2%</w:t>
            </w:r>
          </w:p>
        </w:tc>
      </w:tr>
      <w:tr w:rsidR="00065674" w:rsidRPr="00065674" w:rsidTr="00E9207A">
        <w:trPr>
          <w:trHeight w:val="330"/>
        </w:trPr>
        <w:tc>
          <w:tcPr>
            <w:tcW w:w="455" w:type="dxa"/>
            <w:vMerge w:val="restart"/>
            <w:tcBorders>
              <w:top w:val="nil"/>
              <w:left w:val="single" w:sz="8" w:space="0" w:color="auto"/>
              <w:bottom w:val="single" w:sz="8" w:space="0" w:color="000000"/>
              <w:right w:val="single" w:sz="8" w:space="0" w:color="auto"/>
            </w:tcBorders>
            <w:shd w:val="clear" w:color="auto" w:fill="5F497A" w:themeFill="accent4" w:themeFillShade="BF"/>
            <w:noWrap/>
            <w:textDirection w:val="btLr"/>
            <w:vAlign w:val="bottom"/>
            <w:hideMark/>
          </w:tcPr>
          <w:p w:rsidR="00065674" w:rsidRPr="00065674" w:rsidRDefault="00065674" w:rsidP="00065674">
            <w:pPr>
              <w:spacing w:after="0" w:line="240" w:lineRule="auto"/>
              <w:jc w:val="center"/>
              <w:rPr>
                <w:rFonts w:asciiTheme="majorBidi" w:eastAsia="Times New Roman" w:hAnsiTheme="majorBidi" w:cstheme="majorBidi"/>
                <w:b/>
                <w:bCs/>
                <w:color w:val="FFFFFF" w:themeColor="background1"/>
                <w:sz w:val="24"/>
                <w:szCs w:val="24"/>
              </w:rPr>
            </w:pPr>
            <w:r w:rsidRPr="00065674">
              <w:rPr>
                <w:rFonts w:asciiTheme="majorBidi" w:eastAsia="Times New Roman" w:hAnsiTheme="majorBidi" w:cstheme="majorBidi"/>
                <w:b/>
                <w:bCs/>
                <w:color w:val="FFFFFF" w:themeColor="background1"/>
                <w:sz w:val="24"/>
                <w:szCs w:val="24"/>
              </w:rPr>
              <w:t xml:space="preserve">    </w:t>
            </w:r>
            <w:proofErr w:type="spellStart"/>
            <w:r w:rsidRPr="00065674">
              <w:rPr>
                <w:rFonts w:asciiTheme="majorBidi" w:eastAsia="Times New Roman" w:hAnsiTheme="majorBidi" w:cstheme="majorBidi"/>
                <w:b/>
                <w:bCs/>
                <w:color w:val="FFFFFF" w:themeColor="background1"/>
                <w:sz w:val="24"/>
                <w:szCs w:val="24"/>
              </w:rPr>
              <w:t>Ass.Personnes</w:t>
            </w:r>
            <w:proofErr w:type="spellEnd"/>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proofErr w:type="spellStart"/>
            <w:r w:rsidRPr="00065674">
              <w:rPr>
                <w:rFonts w:ascii="Times New Roman" w:eastAsia="Times New Roman" w:hAnsi="Times New Roman" w:cs="Times New Roman"/>
                <w:color w:val="000000"/>
                <w:sz w:val="24"/>
                <w:szCs w:val="24"/>
              </w:rPr>
              <w:t>Cardif</w:t>
            </w:r>
            <w:proofErr w:type="spellEnd"/>
            <w:r w:rsidRPr="00065674">
              <w:rPr>
                <w:rFonts w:ascii="Times New Roman" w:eastAsia="Times New Roman" w:hAnsi="Times New Roman" w:cs="Times New Roman"/>
                <w:color w:val="000000"/>
                <w:sz w:val="24"/>
                <w:szCs w:val="24"/>
              </w:rPr>
              <w:t xml:space="preserve"> El </w:t>
            </w:r>
            <w:proofErr w:type="spellStart"/>
            <w:r w:rsidRPr="00065674">
              <w:rPr>
                <w:rFonts w:ascii="Times New Roman" w:eastAsia="Times New Roman" w:hAnsi="Times New Roman" w:cs="Times New Roman"/>
                <w:color w:val="000000"/>
                <w:sz w:val="24"/>
                <w:szCs w:val="24"/>
              </w:rPr>
              <w:t>Djazair</w:t>
            </w:r>
            <w:proofErr w:type="spellEnd"/>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1169.00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w:t>
            </w:r>
          </w:p>
        </w:tc>
      </w:tr>
      <w:tr w:rsidR="00065674" w:rsidRPr="00065674" w:rsidTr="00E9207A">
        <w:trPr>
          <w:trHeight w:val="330"/>
        </w:trPr>
        <w:tc>
          <w:tcPr>
            <w:tcW w:w="455" w:type="dxa"/>
            <w:vMerge/>
            <w:tcBorders>
              <w:top w:val="nil"/>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Calibri" w:eastAsia="Times New Roman" w:hAnsi="Calibri" w:cs="Calibri"/>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SAPS</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1000.00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w:t>
            </w:r>
          </w:p>
        </w:tc>
      </w:tr>
      <w:tr w:rsidR="00065674" w:rsidRPr="00065674" w:rsidTr="00E9207A">
        <w:trPr>
          <w:trHeight w:val="330"/>
        </w:trPr>
        <w:tc>
          <w:tcPr>
            <w:tcW w:w="455" w:type="dxa"/>
            <w:vMerge/>
            <w:tcBorders>
              <w:top w:val="nil"/>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Calibri" w:eastAsia="Times New Roman" w:hAnsi="Calibri" w:cs="Calibri"/>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TALA</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1006.00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w:t>
            </w:r>
          </w:p>
        </w:tc>
      </w:tr>
      <w:tr w:rsidR="00065674" w:rsidRPr="00065674" w:rsidTr="00E9207A">
        <w:trPr>
          <w:trHeight w:val="330"/>
        </w:trPr>
        <w:tc>
          <w:tcPr>
            <w:tcW w:w="455" w:type="dxa"/>
            <w:vMerge/>
            <w:tcBorders>
              <w:top w:val="nil"/>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Calibri" w:eastAsia="Times New Roman" w:hAnsi="Calibri" w:cs="Calibri"/>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CAARAMA</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1000.00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w:t>
            </w:r>
          </w:p>
        </w:tc>
      </w:tr>
      <w:tr w:rsidR="00065674" w:rsidRPr="00065674" w:rsidTr="00E9207A">
        <w:trPr>
          <w:trHeight w:val="330"/>
        </w:trPr>
        <w:tc>
          <w:tcPr>
            <w:tcW w:w="455" w:type="dxa"/>
            <w:vMerge/>
            <w:tcBorders>
              <w:top w:val="nil"/>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Calibri" w:eastAsia="Times New Roman" w:hAnsi="Calibri" w:cs="Calibri"/>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AXA VIE</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1000.00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w:t>
            </w:r>
          </w:p>
        </w:tc>
      </w:tr>
      <w:tr w:rsidR="00065674" w:rsidRPr="00065674" w:rsidTr="00E9207A">
        <w:trPr>
          <w:trHeight w:val="330"/>
        </w:trPr>
        <w:tc>
          <w:tcPr>
            <w:tcW w:w="455" w:type="dxa"/>
            <w:vMerge/>
            <w:tcBorders>
              <w:top w:val="nil"/>
              <w:left w:val="single" w:sz="8" w:space="0" w:color="auto"/>
              <w:bottom w:val="single" w:sz="8" w:space="0" w:color="000000"/>
              <w:right w:val="single" w:sz="8" w:space="0" w:color="auto"/>
            </w:tcBorders>
            <w:shd w:val="clear" w:color="auto" w:fill="5F497A" w:themeFill="accent4" w:themeFillShade="BF"/>
            <w:vAlign w:val="center"/>
            <w:hideMark/>
          </w:tcPr>
          <w:p w:rsidR="00065674" w:rsidRPr="00065674" w:rsidRDefault="00065674" w:rsidP="00065674">
            <w:pPr>
              <w:spacing w:after="0" w:line="240" w:lineRule="auto"/>
              <w:rPr>
                <w:rFonts w:ascii="Calibri" w:eastAsia="Times New Roman" w:hAnsi="Calibri" w:cs="Calibri"/>
                <w:color w:val="000000"/>
              </w:rPr>
            </w:pPr>
          </w:p>
        </w:tc>
        <w:tc>
          <w:tcPr>
            <w:tcW w:w="2360" w:type="dxa"/>
            <w:tcBorders>
              <w:top w:val="nil"/>
              <w:left w:val="nil"/>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MACIR VIE</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1000.00</w:t>
            </w:r>
          </w:p>
        </w:tc>
        <w:tc>
          <w:tcPr>
            <w:tcW w:w="1599" w:type="dxa"/>
            <w:tcBorders>
              <w:top w:val="nil"/>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w:t>
            </w:r>
          </w:p>
        </w:tc>
      </w:tr>
      <w:tr w:rsidR="00065674" w:rsidRPr="00065674" w:rsidTr="00065674">
        <w:trPr>
          <w:trHeight w:val="345"/>
        </w:trPr>
        <w:tc>
          <w:tcPr>
            <w:tcW w:w="455" w:type="dxa"/>
            <w:tcBorders>
              <w:top w:val="nil"/>
              <w:left w:val="nil"/>
              <w:bottom w:val="nil"/>
              <w:right w:val="nil"/>
            </w:tcBorders>
            <w:shd w:val="clear" w:color="auto" w:fill="auto"/>
            <w:noWrap/>
            <w:vAlign w:val="bottom"/>
            <w:hideMark/>
          </w:tcPr>
          <w:p w:rsidR="00065674" w:rsidRPr="00065674" w:rsidRDefault="00065674" w:rsidP="00065674">
            <w:pPr>
              <w:spacing w:after="0" w:line="240" w:lineRule="auto"/>
              <w:rPr>
                <w:rFonts w:ascii="Calibri" w:eastAsia="Times New Roman" w:hAnsi="Calibri" w:cs="Calibri"/>
                <w:color w:val="000000"/>
              </w:rPr>
            </w:pPr>
          </w:p>
        </w:tc>
        <w:tc>
          <w:tcPr>
            <w:tcW w:w="2360" w:type="dxa"/>
            <w:tcBorders>
              <w:top w:val="nil"/>
              <w:left w:val="single" w:sz="8" w:space="0" w:color="auto"/>
              <w:bottom w:val="single" w:sz="8" w:space="0" w:color="auto"/>
              <w:right w:val="single" w:sz="8" w:space="0" w:color="auto"/>
            </w:tcBorders>
            <w:shd w:val="clear" w:color="000000" w:fill="8064A2"/>
            <w:noWrap/>
            <w:vAlign w:val="bottom"/>
            <w:hideMark/>
          </w:tcPr>
          <w:p w:rsidR="00065674" w:rsidRPr="00065674" w:rsidRDefault="00065674" w:rsidP="00065674">
            <w:pPr>
              <w:spacing w:after="0" w:line="240" w:lineRule="auto"/>
              <w:jc w:val="center"/>
              <w:rPr>
                <w:rFonts w:ascii="Times New Roman" w:eastAsia="Times New Roman" w:hAnsi="Times New Roman" w:cs="Times New Roman"/>
                <w:b/>
                <w:bCs/>
                <w:color w:val="000000"/>
                <w:sz w:val="26"/>
                <w:szCs w:val="26"/>
              </w:rPr>
            </w:pPr>
            <w:r w:rsidRPr="00065674">
              <w:rPr>
                <w:rFonts w:ascii="Times New Roman" w:eastAsia="Times New Roman" w:hAnsi="Times New Roman" w:cs="Times New Roman"/>
                <w:b/>
                <w:bCs/>
                <w:color w:val="000000"/>
                <w:sz w:val="26"/>
                <w:szCs w:val="26"/>
              </w:rPr>
              <w:t xml:space="preserve">Total </w:t>
            </w:r>
            <w:proofErr w:type="spellStart"/>
            <w:r w:rsidRPr="00065674">
              <w:rPr>
                <w:rFonts w:ascii="Times New Roman" w:eastAsia="Times New Roman" w:hAnsi="Times New Roman" w:cs="Times New Roman"/>
                <w:b/>
                <w:bCs/>
                <w:color w:val="000000"/>
                <w:sz w:val="26"/>
                <w:szCs w:val="26"/>
              </w:rPr>
              <w:t>Ass</w:t>
            </w:r>
            <w:proofErr w:type="spellEnd"/>
            <w:r w:rsidRPr="00065674">
              <w:rPr>
                <w:rFonts w:ascii="Times New Roman" w:eastAsia="Times New Roman" w:hAnsi="Times New Roman" w:cs="Times New Roman"/>
                <w:b/>
                <w:bCs/>
                <w:color w:val="000000"/>
                <w:sz w:val="26"/>
                <w:szCs w:val="26"/>
              </w:rPr>
              <w:t xml:space="preserve"> directe</w:t>
            </w:r>
          </w:p>
        </w:tc>
        <w:tc>
          <w:tcPr>
            <w:tcW w:w="1721" w:type="dxa"/>
            <w:tcBorders>
              <w:top w:val="single" w:sz="8" w:space="0" w:color="auto"/>
              <w:left w:val="nil"/>
              <w:bottom w:val="single" w:sz="8" w:space="0" w:color="auto"/>
              <w:right w:val="single" w:sz="8" w:space="0" w:color="000000"/>
            </w:tcBorders>
            <w:shd w:val="clear" w:color="000000" w:fill="8064A2"/>
            <w:noWrap/>
            <w:vAlign w:val="bottom"/>
            <w:hideMark/>
          </w:tcPr>
          <w:p w:rsidR="00065674" w:rsidRPr="00065674" w:rsidRDefault="00065674" w:rsidP="00065674">
            <w:pPr>
              <w:spacing w:after="0" w:line="240" w:lineRule="auto"/>
              <w:jc w:val="center"/>
              <w:rPr>
                <w:rFonts w:ascii="Times New Roman" w:eastAsia="Times New Roman" w:hAnsi="Times New Roman" w:cs="Times New Roman"/>
                <w:b/>
                <w:bCs/>
                <w:color w:val="000000"/>
                <w:sz w:val="26"/>
                <w:szCs w:val="26"/>
              </w:rPr>
            </w:pPr>
            <w:r w:rsidRPr="00065674">
              <w:rPr>
                <w:rFonts w:ascii="Times New Roman" w:eastAsia="Times New Roman" w:hAnsi="Times New Roman" w:cs="Times New Roman"/>
                <w:b/>
                <w:bCs/>
                <w:color w:val="000000"/>
                <w:sz w:val="26"/>
                <w:szCs w:val="26"/>
              </w:rPr>
              <w:t>97 255,00</w:t>
            </w:r>
          </w:p>
        </w:tc>
        <w:tc>
          <w:tcPr>
            <w:tcW w:w="1599" w:type="dxa"/>
            <w:tcBorders>
              <w:top w:val="nil"/>
              <w:left w:val="nil"/>
              <w:bottom w:val="nil"/>
              <w:right w:val="nil"/>
            </w:tcBorders>
            <w:shd w:val="clear" w:color="000000" w:fill="8064A2"/>
            <w:noWrap/>
            <w:vAlign w:val="bottom"/>
            <w:hideMark/>
          </w:tcPr>
          <w:p w:rsidR="00065674" w:rsidRPr="00065674" w:rsidRDefault="00065674" w:rsidP="00065674">
            <w:pPr>
              <w:spacing w:after="0" w:line="240" w:lineRule="auto"/>
              <w:jc w:val="center"/>
              <w:rPr>
                <w:rFonts w:ascii="Times New Roman" w:eastAsia="Times New Roman" w:hAnsi="Times New Roman" w:cs="Times New Roman"/>
                <w:b/>
                <w:bCs/>
                <w:color w:val="000000"/>
                <w:sz w:val="26"/>
                <w:szCs w:val="26"/>
              </w:rPr>
            </w:pPr>
            <w:r w:rsidRPr="00065674">
              <w:rPr>
                <w:rFonts w:ascii="Times New Roman" w:eastAsia="Times New Roman" w:hAnsi="Times New Roman" w:cs="Times New Roman"/>
                <w:b/>
                <w:bCs/>
                <w:color w:val="000000"/>
                <w:sz w:val="26"/>
                <w:szCs w:val="26"/>
              </w:rPr>
              <w:t>85%</w:t>
            </w:r>
          </w:p>
        </w:tc>
      </w:tr>
      <w:tr w:rsidR="00065674" w:rsidRPr="00065674" w:rsidTr="00065674">
        <w:trPr>
          <w:trHeight w:val="330"/>
        </w:trPr>
        <w:tc>
          <w:tcPr>
            <w:tcW w:w="455" w:type="dxa"/>
            <w:tcBorders>
              <w:top w:val="nil"/>
              <w:left w:val="nil"/>
              <w:bottom w:val="nil"/>
              <w:right w:val="nil"/>
            </w:tcBorders>
            <w:shd w:val="clear" w:color="auto" w:fill="auto"/>
            <w:noWrap/>
            <w:vAlign w:val="bottom"/>
            <w:hideMark/>
          </w:tcPr>
          <w:p w:rsidR="00065674" w:rsidRPr="00065674" w:rsidRDefault="00065674" w:rsidP="00065674">
            <w:pPr>
              <w:spacing w:after="0" w:line="240" w:lineRule="auto"/>
              <w:rPr>
                <w:rFonts w:ascii="Calibri" w:eastAsia="Times New Roman" w:hAnsi="Calibri" w:cs="Calibri"/>
                <w:color w:val="000000"/>
              </w:rPr>
            </w:pPr>
          </w:p>
        </w:tc>
        <w:tc>
          <w:tcPr>
            <w:tcW w:w="2360" w:type="dxa"/>
            <w:tcBorders>
              <w:top w:val="nil"/>
              <w:left w:val="single" w:sz="8" w:space="0" w:color="auto"/>
              <w:bottom w:val="single" w:sz="8" w:space="0" w:color="auto"/>
              <w:right w:val="single" w:sz="8" w:space="0" w:color="auto"/>
            </w:tcBorders>
            <w:shd w:val="clear" w:color="000000" w:fill="E5DFEC"/>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CCR</w:t>
            </w:r>
          </w:p>
        </w:tc>
        <w:tc>
          <w:tcPr>
            <w:tcW w:w="1721" w:type="dxa"/>
            <w:tcBorders>
              <w:top w:val="single" w:sz="8" w:space="0" w:color="auto"/>
              <w:left w:val="nil"/>
              <w:bottom w:val="single" w:sz="8" w:space="0" w:color="auto"/>
              <w:right w:val="single" w:sz="8" w:space="0" w:color="000000"/>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16 919,00</w:t>
            </w:r>
          </w:p>
        </w:tc>
        <w:tc>
          <w:tcPr>
            <w:tcW w:w="1599" w:type="dxa"/>
            <w:tcBorders>
              <w:top w:val="single" w:sz="8" w:space="0" w:color="auto"/>
              <w:left w:val="nil"/>
              <w:bottom w:val="single" w:sz="8" w:space="0" w:color="auto"/>
              <w:right w:val="single" w:sz="8" w:space="0" w:color="auto"/>
            </w:tcBorders>
            <w:shd w:val="clear" w:color="auto" w:fill="auto"/>
            <w:noWrap/>
            <w:vAlign w:val="bottom"/>
            <w:hideMark/>
          </w:tcPr>
          <w:p w:rsidR="00065674" w:rsidRPr="00065674" w:rsidRDefault="00065674" w:rsidP="00065674">
            <w:pPr>
              <w:spacing w:after="0" w:line="240" w:lineRule="auto"/>
              <w:jc w:val="center"/>
              <w:rPr>
                <w:rFonts w:ascii="Times New Roman" w:eastAsia="Times New Roman" w:hAnsi="Times New Roman" w:cs="Times New Roman"/>
                <w:color w:val="000000"/>
                <w:sz w:val="24"/>
                <w:szCs w:val="24"/>
              </w:rPr>
            </w:pPr>
            <w:r w:rsidRPr="00065674">
              <w:rPr>
                <w:rFonts w:ascii="Times New Roman" w:eastAsia="Times New Roman" w:hAnsi="Times New Roman" w:cs="Times New Roman"/>
                <w:color w:val="000000"/>
                <w:sz w:val="24"/>
                <w:szCs w:val="24"/>
              </w:rPr>
              <w:t>15%</w:t>
            </w:r>
          </w:p>
        </w:tc>
      </w:tr>
      <w:tr w:rsidR="00065674" w:rsidRPr="00065674" w:rsidTr="00065674">
        <w:trPr>
          <w:trHeight w:val="345"/>
        </w:trPr>
        <w:tc>
          <w:tcPr>
            <w:tcW w:w="455" w:type="dxa"/>
            <w:tcBorders>
              <w:top w:val="nil"/>
              <w:left w:val="nil"/>
              <w:bottom w:val="nil"/>
              <w:right w:val="nil"/>
            </w:tcBorders>
            <w:shd w:val="clear" w:color="auto" w:fill="auto"/>
            <w:noWrap/>
            <w:vAlign w:val="bottom"/>
            <w:hideMark/>
          </w:tcPr>
          <w:p w:rsidR="00065674" w:rsidRPr="00065674" w:rsidRDefault="00065674" w:rsidP="00065674">
            <w:pPr>
              <w:spacing w:after="0" w:line="240" w:lineRule="auto"/>
              <w:rPr>
                <w:rFonts w:ascii="Calibri" w:eastAsia="Times New Roman" w:hAnsi="Calibri" w:cs="Calibri"/>
                <w:color w:val="000000"/>
              </w:rPr>
            </w:pPr>
          </w:p>
        </w:tc>
        <w:tc>
          <w:tcPr>
            <w:tcW w:w="2360" w:type="dxa"/>
            <w:tcBorders>
              <w:top w:val="nil"/>
              <w:left w:val="single" w:sz="8" w:space="0" w:color="auto"/>
              <w:bottom w:val="single" w:sz="8" w:space="0" w:color="auto"/>
              <w:right w:val="single" w:sz="8" w:space="0" w:color="auto"/>
            </w:tcBorders>
            <w:shd w:val="clear" w:color="000000" w:fill="8064A2"/>
            <w:noWrap/>
            <w:vAlign w:val="bottom"/>
            <w:hideMark/>
          </w:tcPr>
          <w:p w:rsidR="00065674" w:rsidRPr="00065674" w:rsidRDefault="00065674" w:rsidP="00065674">
            <w:pPr>
              <w:spacing w:after="0" w:line="240" w:lineRule="auto"/>
              <w:jc w:val="center"/>
              <w:rPr>
                <w:rFonts w:ascii="Times New Roman" w:eastAsia="Times New Roman" w:hAnsi="Times New Roman" w:cs="Times New Roman"/>
                <w:b/>
                <w:bCs/>
                <w:color w:val="000000"/>
                <w:sz w:val="26"/>
                <w:szCs w:val="26"/>
              </w:rPr>
            </w:pPr>
            <w:r w:rsidRPr="00065674">
              <w:rPr>
                <w:rFonts w:ascii="Times New Roman" w:eastAsia="Times New Roman" w:hAnsi="Times New Roman" w:cs="Times New Roman"/>
                <w:b/>
                <w:bCs/>
                <w:color w:val="000000"/>
                <w:sz w:val="26"/>
                <w:szCs w:val="26"/>
              </w:rPr>
              <w:t>Total générale</w:t>
            </w:r>
          </w:p>
        </w:tc>
        <w:tc>
          <w:tcPr>
            <w:tcW w:w="1721" w:type="dxa"/>
            <w:tcBorders>
              <w:top w:val="single" w:sz="8" w:space="0" w:color="auto"/>
              <w:left w:val="nil"/>
              <w:bottom w:val="single" w:sz="8" w:space="0" w:color="auto"/>
              <w:right w:val="single" w:sz="8" w:space="0" w:color="000000"/>
            </w:tcBorders>
            <w:shd w:val="clear" w:color="000000" w:fill="8064A2"/>
            <w:noWrap/>
            <w:vAlign w:val="bottom"/>
            <w:hideMark/>
          </w:tcPr>
          <w:p w:rsidR="00065674" w:rsidRPr="00065674" w:rsidRDefault="00065674" w:rsidP="00065674">
            <w:pPr>
              <w:spacing w:after="0" w:line="240" w:lineRule="auto"/>
              <w:jc w:val="center"/>
              <w:rPr>
                <w:rFonts w:ascii="Times New Roman" w:eastAsia="Times New Roman" w:hAnsi="Times New Roman" w:cs="Times New Roman"/>
                <w:b/>
                <w:bCs/>
                <w:color w:val="000000"/>
                <w:sz w:val="26"/>
                <w:szCs w:val="26"/>
              </w:rPr>
            </w:pPr>
            <w:r w:rsidRPr="00065674">
              <w:rPr>
                <w:rFonts w:ascii="Times New Roman" w:eastAsia="Times New Roman" w:hAnsi="Times New Roman" w:cs="Times New Roman"/>
                <w:b/>
                <w:bCs/>
                <w:color w:val="000000"/>
                <w:sz w:val="26"/>
                <w:szCs w:val="26"/>
              </w:rPr>
              <w:t xml:space="preserve">     114 174,00   </w:t>
            </w:r>
          </w:p>
        </w:tc>
        <w:tc>
          <w:tcPr>
            <w:tcW w:w="1599" w:type="dxa"/>
            <w:tcBorders>
              <w:top w:val="nil"/>
              <w:left w:val="nil"/>
              <w:bottom w:val="single" w:sz="8" w:space="0" w:color="auto"/>
              <w:right w:val="single" w:sz="8" w:space="0" w:color="auto"/>
            </w:tcBorders>
            <w:shd w:val="clear" w:color="000000" w:fill="8064A2"/>
            <w:noWrap/>
            <w:vAlign w:val="bottom"/>
            <w:hideMark/>
          </w:tcPr>
          <w:p w:rsidR="00065674" w:rsidRPr="00065674" w:rsidRDefault="00065674" w:rsidP="00065674">
            <w:pPr>
              <w:spacing w:after="0" w:line="240" w:lineRule="auto"/>
              <w:jc w:val="center"/>
              <w:rPr>
                <w:rFonts w:ascii="Times New Roman" w:eastAsia="Times New Roman" w:hAnsi="Times New Roman" w:cs="Times New Roman"/>
                <w:b/>
                <w:bCs/>
                <w:color w:val="000000"/>
                <w:sz w:val="26"/>
                <w:szCs w:val="26"/>
              </w:rPr>
            </w:pPr>
            <w:r w:rsidRPr="00065674">
              <w:rPr>
                <w:rFonts w:ascii="Times New Roman" w:eastAsia="Times New Roman" w:hAnsi="Times New Roman" w:cs="Times New Roman"/>
                <w:b/>
                <w:bCs/>
                <w:color w:val="000000"/>
                <w:sz w:val="26"/>
                <w:szCs w:val="26"/>
              </w:rPr>
              <w:t>100%</w:t>
            </w:r>
          </w:p>
        </w:tc>
      </w:tr>
    </w:tbl>
    <w:p w:rsidR="00065674" w:rsidRDefault="00065674" w:rsidP="00944FC9">
      <w:pPr>
        <w:spacing w:after="0" w:line="360" w:lineRule="auto"/>
        <w:jc w:val="both"/>
        <w:rPr>
          <w:rFonts w:ascii="Times New Roman" w:hAnsi="Times New Roman" w:cs="Times New Roman"/>
          <w:b/>
          <w:bCs/>
        </w:rPr>
      </w:pPr>
    </w:p>
    <w:p w:rsidR="00944FC9" w:rsidRDefault="00944FC9" w:rsidP="00944FC9">
      <w:pPr>
        <w:spacing w:after="0" w:line="360" w:lineRule="auto"/>
        <w:jc w:val="both"/>
        <w:rPr>
          <w:rFonts w:ascii="Times New Roman" w:hAnsi="Times New Roman" w:cs="Times New Roman"/>
          <w:b/>
          <w:bCs/>
        </w:rPr>
      </w:pPr>
      <w:r>
        <w:rPr>
          <w:rFonts w:ascii="Times New Roman" w:hAnsi="Times New Roman" w:cs="Times New Roman"/>
          <w:b/>
          <w:bCs/>
        </w:rPr>
        <w:t xml:space="preserve">      </w:t>
      </w:r>
      <w:r w:rsidR="00B73BA9">
        <w:rPr>
          <w:rFonts w:ascii="Times New Roman" w:hAnsi="Times New Roman" w:cs="Times New Roman"/>
          <w:b/>
          <w:bCs/>
        </w:rPr>
        <w:t xml:space="preserve">Tableau N° </w:t>
      </w:r>
      <w:proofErr w:type="gramStart"/>
      <w:r w:rsidR="00B73BA9">
        <w:rPr>
          <w:rFonts w:ascii="Times New Roman" w:hAnsi="Times New Roman" w:cs="Times New Roman"/>
          <w:b/>
          <w:bCs/>
        </w:rPr>
        <w:t>10</w:t>
      </w:r>
      <w:r w:rsidRPr="001F6958">
        <w:rPr>
          <w:rFonts w:ascii="Times New Roman" w:hAnsi="Times New Roman" w:cs="Times New Roman"/>
          <w:b/>
          <w:bCs/>
        </w:rPr>
        <w:t>:</w:t>
      </w:r>
      <w:proofErr w:type="gramEnd"/>
      <w:r w:rsidRPr="001F6958">
        <w:rPr>
          <w:rFonts w:ascii="Times New Roman" w:hAnsi="Times New Roman" w:cs="Times New Roman"/>
          <w:b/>
          <w:bCs/>
        </w:rPr>
        <w:t xml:space="preserve"> Positio</w:t>
      </w:r>
      <w:r>
        <w:rPr>
          <w:rFonts w:ascii="Times New Roman" w:hAnsi="Times New Roman" w:cs="Times New Roman"/>
          <w:b/>
          <w:bCs/>
        </w:rPr>
        <w:t>nnement de la CAAT</w:t>
      </w:r>
      <w:r w:rsidRPr="001F6958">
        <w:rPr>
          <w:rFonts w:ascii="Times New Roman" w:hAnsi="Times New Roman" w:cs="Times New Roman"/>
          <w:b/>
          <w:bCs/>
        </w:rPr>
        <w:t xml:space="preserve"> en matière de marge de solvabilité au 31/12/2010</w:t>
      </w:r>
    </w:p>
    <w:p w:rsidR="000D1702" w:rsidRPr="00826DFD" w:rsidRDefault="00944FC9" w:rsidP="00243785">
      <w:pPr>
        <w:spacing w:after="0" w:line="360" w:lineRule="auto"/>
        <w:jc w:val="both"/>
        <w:rPr>
          <w:rFonts w:ascii="Times New Roman" w:hAnsi="Times New Roman" w:cs="Times New Roman"/>
          <w:b/>
          <w:bCs/>
        </w:rPr>
      </w:pPr>
      <w:r>
        <w:rPr>
          <w:rFonts w:ascii="Times New Roman" w:hAnsi="Times New Roman" w:cs="Times New Roman"/>
          <w:b/>
          <w:bCs/>
        </w:rPr>
        <w:t xml:space="preserve">      </w:t>
      </w:r>
      <w:r w:rsidR="00BE2DC1" w:rsidRPr="00826DFD">
        <w:rPr>
          <w:rFonts w:ascii="Times New Roman" w:hAnsi="Times New Roman" w:cs="Times New Roman"/>
          <w:b/>
          <w:bCs/>
        </w:rPr>
        <w:t>Source : Activit</w:t>
      </w:r>
      <w:r w:rsidR="000E2302" w:rsidRPr="00826DFD">
        <w:rPr>
          <w:rFonts w:ascii="Times New Roman" w:hAnsi="Times New Roman" w:cs="Times New Roman"/>
          <w:b/>
          <w:bCs/>
        </w:rPr>
        <w:t>é des assurances en Algérie 2011</w:t>
      </w:r>
      <w:r w:rsidR="00BE2DC1" w:rsidRPr="00826DFD">
        <w:rPr>
          <w:rFonts w:ascii="Times New Roman" w:hAnsi="Times New Roman" w:cs="Times New Roman"/>
          <w:b/>
          <w:bCs/>
        </w:rPr>
        <w:t>, rapport publié par la direction générale du tréso</w:t>
      </w:r>
      <w:r w:rsidR="00347CBC" w:rsidRPr="00826DFD">
        <w:rPr>
          <w:rFonts w:ascii="Times New Roman" w:hAnsi="Times New Roman" w:cs="Times New Roman"/>
          <w:b/>
          <w:bCs/>
        </w:rPr>
        <w:t>r (Ministère des finances), 2011</w:t>
      </w:r>
      <w:r w:rsidR="000D1702" w:rsidRPr="00826DFD">
        <w:rPr>
          <w:rFonts w:ascii="Times New Roman" w:hAnsi="Times New Roman" w:cs="Times New Roman"/>
          <w:b/>
          <w:bCs/>
        </w:rPr>
        <w:t>.</w:t>
      </w:r>
    </w:p>
    <w:p w:rsidR="00243785" w:rsidRPr="000D1702" w:rsidRDefault="00243785" w:rsidP="00243785">
      <w:pPr>
        <w:spacing w:after="0" w:line="240" w:lineRule="auto"/>
        <w:jc w:val="both"/>
        <w:rPr>
          <w:rFonts w:ascii="Times New Roman" w:hAnsi="Times New Roman" w:cs="Times New Roman"/>
          <w:b/>
          <w:bCs/>
        </w:rPr>
      </w:pPr>
    </w:p>
    <w:p w:rsidR="009708AD" w:rsidRDefault="007A2A23" w:rsidP="00BE2DC1">
      <w:pPr>
        <w:spacing w:after="0" w:line="360" w:lineRule="auto"/>
        <w:ind w:firstLine="567"/>
        <w:jc w:val="both"/>
        <w:rPr>
          <w:rFonts w:ascii="Times New Roman" w:hAnsi="Times New Roman" w:cs="Times New Roman"/>
          <w:sz w:val="24"/>
          <w:szCs w:val="24"/>
        </w:rPr>
      </w:pPr>
      <w:r>
        <w:rPr>
          <w:rFonts w:ascii="Times New Roman" w:hAnsi="Times New Roman" w:cs="Times New Roman"/>
          <w:iCs/>
          <w:sz w:val="24"/>
          <w:szCs w:val="24"/>
        </w:rPr>
        <w:t xml:space="preserve">Le tableau ci-dessus </w:t>
      </w:r>
      <w:r w:rsidRPr="00470CF8">
        <w:rPr>
          <w:rFonts w:ascii="Times New Roman" w:hAnsi="Times New Roman" w:cs="Times New Roman"/>
          <w:sz w:val="24"/>
          <w:szCs w:val="24"/>
        </w:rPr>
        <w:t xml:space="preserve">montre </w:t>
      </w:r>
      <w:r>
        <w:rPr>
          <w:rFonts w:ascii="Times New Roman" w:hAnsi="Times New Roman" w:cs="Times New Roman"/>
          <w:sz w:val="24"/>
          <w:szCs w:val="24"/>
        </w:rPr>
        <w:t xml:space="preserve">que toutes les compagnies d’assurance participent, avec des portions différentes, à la constitution de la marge de solvabilité du marché à l’exclusion de </w:t>
      </w:r>
      <w:r w:rsidRPr="00470CF8">
        <w:rPr>
          <w:rFonts w:ascii="Times New Roman" w:hAnsi="Times New Roman" w:cs="Times New Roman"/>
          <w:sz w:val="24"/>
          <w:szCs w:val="24"/>
        </w:rPr>
        <w:t xml:space="preserve">la </w:t>
      </w:r>
      <w:r>
        <w:rPr>
          <w:rFonts w:ascii="Times New Roman" w:hAnsi="Times New Roman" w:cs="Times New Roman"/>
          <w:sz w:val="24"/>
          <w:szCs w:val="24"/>
        </w:rPr>
        <w:lastRenderedPageBreak/>
        <w:t>MAATEC qui affiche un taux de participation de 0% parce qu’elle dispose d’un faible capital social qui ne dépasse pas le montant de 0,14 milliards de dinars.</w:t>
      </w:r>
    </w:p>
    <w:p w:rsidR="000D25AE" w:rsidRDefault="000D25AE" w:rsidP="000D25AE">
      <w:pPr>
        <w:spacing w:after="0" w:line="240" w:lineRule="auto"/>
        <w:ind w:firstLine="567"/>
        <w:jc w:val="both"/>
        <w:rPr>
          <w:rFonts w:ascii="Times New Roman" w:hAnsi="Times New Roman" w:cs="Times New Roman"/>
          <w:sz w:val="24"/>
          <w:szCs w:val="24"/>
        </w:rPr>
      </w:pPr>
    </w:p>
    <w:p w:rsidR="009708AD" w:rsidRDefault="007A2A23" w:rsidP="009708AD">
      <w:pPr>
        <w:spacing w:after="0" w:line="360" w:lineRule="auto"/>
        <w:ind w:firstLine="567"/>
        <w:jc w:val="both"/>
        <w:rPr>
          <w:rFonts w:ascii="Times New Roman" w:hAnsi="Times New Roman" w:cs="Times New Roman"/>
          <w:sz w:val="24"/>
          <w:szCs w:val="24"/>
        </w:rPr>
      </w:pPr>
      <w:r>
        <w:rPr>
          <w:rFonts w:ascii="Times New Roman" w:hAnsi="Times New Roman" w:cs="Times New Roman"/>
          <w:iCs/>
          <w:sz w:val="24"/>
          <w:szCs w:val="24"/>
        </w:rPr>
        <w:t xml:space="preserve"> </w:t>
      </w:r>
      <w:r w:rsidR="009708AD">
        <w:rPr>
          <w:rFonts w:ascii="Times New Roman" w:hAnsi="Times New Roman" w:cs="Times New Roman"/>
          <w:sz w:val="24"/>
          <w:szCs w:val="24"/>
        </w:rPr>
        <w:t>Il est très important de signaler que les quatre sociétés publiques (SAA, CAAR, CAAT et CASH)</w:t>
      </w:r>
      <w:r w:rsidR="009E0C34">
        <w:rPr>
          <w:rFonts w:ascii="Times New Roman" w:hAnsi="Times New Roman" w:cs="Times New Roman"/>
          <w:sz w:val="24"/>
          <w:szCs w:val="24"/>
        </w:rPr>
        <w:t xml:space="preserve"> qui</w:t>
      </w:r>
      <w:r w:rsidR="009708AD">
        <w:rPr>
          <w:rFonts w:ascii="Times New Roman" w:hAnsi="Times New Roman" w:cs="Times New Roman"/>
          <w:sz w:val="24"/>
          <w:szCs w:val="24"/>
        </w:rPr>
        <w:t xml:space="preserve"> participent à hauteur de </w:t>
      </w:r>
      <w:r w:rsidR="00F85A68">
        <w:rPr>
          <w:rFonts w:ascii="Times New Roman" w:hAnsi="Times New Roman" w:cs="Times New Roman"/>
          <w:sz w:val="24"/>
          <w:szCs w:val="24"/>
        </w:rPr>
        <w:t>67</w:t>
      </w:r>
      <w:r w:rsidR="009708AD">
        <w:rPr>
          <w:rFonts w:ascii="Times New Roman" w:hAnsi="Times New Roman" w:cs="Times New Roman"/>
          <w:sz w:val="24"/>
          <w:szCs w:val="24"/>
        </w:rPr>
        <w:t>% dans l’assurance directe</w:t>
      </w:r>
      <w:r w:rsidR="009E0C34">
        <w:rPr>
          <w:rFonts w:ascii="Times New Roman" w:hAnsi="Times New Roman" w:cs="Times New Roman"/>
          <w:sz w:val="24"/>
          <w:szCs w:val="24"/>
        </w:rPr>
        <w:t>,</w:t>
      </w:r>
      <w:r w:rsidR="009708AD">
        <w:rPr>
          <w:rFonts w:ascii="Times New Roman" w:hAnsi="Times New Roman" w:cs="Times New Roman"/>
          <w:sz w:val="24"/>
          <w:szCs w:val="24"/>
        </w:rPr>
        <w:t xml:space="preserve"> représente</w:t>
      </w:r>
      <w:r w:rsidR="009E0C34">
        <w:rPr>
          <w:rFonts w:ascii="Times New Roman" w:hAnsi="Times New Roman" w:cs="Times New Roman"/>
          <w:sz w:val="24"/>
          <w:szCs w:val="24"/>
        </w:rPr>
        <w:t>nt</w:t>
      </w:r>
      <w:r w:rsidR="00F85A68">
        <w:rPr>
          <w:rFonts w:ascii="Times New Roman" w:hAnsi="Times New Roman" w:cs="Times New Roman"/>
          <w:sz w:val="24"/>
          <w:szCs w:val="24"/>
        </w:rPr>
        <w:t xml:space="preserve"> </w:t>
      </w:r>
      <w:r w:rsidR="00B420BC">
        <w:rPr>
          <w:rFonts w:ascii="Times New Roman" w:hAnsi="Times New Roman" w:cs="Times New Roman"/>
          <w:sz w:val="24"/>
          <w:szCs w:val="24"/>
        </w:rPr>
        <w:t>70</w:t>
      </w:r>
      <w:r w:rsidR="009708AD">
        <w:rPr>
          <w:rFonts w:ascii="Times New Roman" w:hAnsi="Times New Roman" w:cs="Times New Roman"/>
          <w:sz w:val="24"/>
          <w:szCs w:val="24"/>
        </w:rPr>
        <w:t>% de la solvabilité du marché (hors la part du CCR)</w:t>
      </w:r>
      <w:r w:rsidR="009E0C34">
        <w:rPr>
          <w:rFonts w:ascii="Times New Roman" w:hAnsi="Times New Roman" w:cs="Times New Roman"/>
          <w:sz w:val="24"/>
          <w:szCs w:val="24"/>
        </w:rPr>
        <w:t xml:space="preserve">, dont la CAAT occupe la </w:t>
      </w:r>
      <w:r w:rsidR="00ED3100">
        <w:rPr>
          <w:rFonts w:ascii="Times New Roman" w:hAnsi="Times New Roman" w:cs="Times New Roman"/>
          <w:sz w:val="24"/>
          <w:szCs w:val="24"/>
        </w:rPr>
        <w:t>troisième</w:t>
      </w:r>
      <w:r w:rsidR="009708AD">
        <w:rPr>
          <w:rFonts w:ascii="Times New Roman" w:hAnsi="Times New Roman" w:cs="Times New Roman"/>
          <w:sz w:val="24"/>
          <w:szCs w:val="24"/>
        </w:rPr>
        <w:t xml:space="preserve"> place derrière la SAA</w:t>
      </w:r>
      <w:r w:rsidR="009E0C34">
        <w:rPr>
          <w:rFonts w:ascii="Times New Roman" w:hAnsi="Times New Roman" w:cs="Times New Roman"/>
          <w:sz w:val="24"/>
          <w:szCs w:val="24"/>
        </w:rPr>
        <w:t xml:space="preserve"> et la CAAR</w:t>
      </w:r>
      <w:r w:rsidR="009708AD">
        <w:rPr>
          <w:rFonts w:ascii="Times New Roman" w:hAnsi="Times New Roman" w:cs="Times New Roman"/>
          <w:sz w:val="24"/>
          <w:szCs w:val="24"/>
        </w:rPr>
        <w:t xml:space="preserve"> avec des taux de participations respectifs de </w:t>
      </w:r>
      <w:r w:rsidR="009E0C34">
        <w:rPr>
          <w:rFonts w:ascii="Times New Roman" w:hAnsi="Times New Roman" w:cs="Times New Roman"/>
          <w:sz w:val="24"/>
          <w:szCs w:val="24"/>
        </w:rPr>
        <w:t>15%</w:t>
      </w:r>
      <w:r w:rsidR="00ED3100">
        <w:rPr>
          <w:rFonts w:ascii="Times New Roman" w:hAnsi="Times New Roman" w:cs="Times New Roman"/>
          <w:sz w:val="24"/>
          <w:szCs w:val="24"/>
        </w:rPr>
        <w:t>,</w:t>
      </w:r>
      <w:r w:rsidR="009E0C34">
        <w:rPr>
          <w:rFonts w:ascii="Times New Roman" w:hAnsi="Times New Roman" w:cs="Times New Roman"/>
          <w:sz w:val="24"/>
          <w:szCs w:val="24"/>
        </w:rPr>
        <w:t xml:space="preserve"> </w:t>
      </w:r>
      <w:r w:rsidR="009708AD">
        <w:rPr>
          <w:rFonts w:ascii="Times New Roman" w:hAnsi="Times New Roman" w:cs="Times New Roman"/>
          <w:sz w:val="24"/>
          <w:szCs w:val="24"/>
        </w:rPr>
        <w:t>23%</w:t>
      </w:r>
      <w:r w:rsidR="00ED3100">
        <w:rPr>
          <w:rFonts w:ascii="Times New Roman" w:hAnsi="Times New Roman" w:cs="Times New Roman"/>
          <w:sz w:val="24"/>
          <w:szCs w:val="24"/>
        </w:rPr>
        <w:t xml:space="preserve"> et 15%</w:t>
      </w:r>
      <w:r w:rsidR="009708AD">
        <w:rPr>
          <w:rFonts w:ascii="Times New Roman" w:hAnsi="Times New Roman" w:cs="Times New Roman"/>
          <w:sz w:val="24"/>
          <w:szCs w:val="24"/>
        </w:rPr>
        <w:t>.</w:t>
      </w:r>
      <w:r w:rsidR="00ED1A1D">
        <w:rPr>
          <w:rFonts w:ascii="Times New Roman" w:hAnsi="Times New Roman" w:cs="Times New Roman"/>
          <w:sz w:val="24"/>
          <w:szCs w:val="24"/>
        </w:rPr>
        <w:t xml:space="preserve"> Par contre, les quinze</w:t>
      </w:r>
      <w:r w:rsidR="009708AD">
        <w:rPr>
          <w:rFonts w:ascii="Times New Roman" w:hAnsi="Times New Roman" w:cs="Times New Roman"/>
          <w:sz w:val="24"/>
          <w:szCs w:val="24"/>
        </w:rPr>
        <w:t xml:space="preserve"> sociétés qui restent ne participent qu’</w:t>
      </w:r>
      <w:r w:rsidR="00ED3100">
        <w:rPr>
          <w:rFonts w:ascii="Times New Roman" w:hAnsi="Times New Roman" w:cs="Times New Roman"/>
          <w:sz w:val="24"/>
          <w:szCs w:val="24"/>
        </w:rPr>
        <w:t>à la limite de 30</w:t>
      </w:r>
      <w:r w:rsidR="009708AD">
        <w:rPr>
          <w:rFonts w:ascii="Times New Roman" w:hAnsi="Times New Roman" w:cs="Times New Roman"/>
          <w:sz w:val="24"/>
          <w:szCs w:val="24"/>
        </w:rPr>
        <w:t>%.</w:t>
      </w:r>
    </w:p>
    <w:p w:rsidR="000D25AE" w:rsidRDefault="000D25AE" w:rsidP="000D25AE">
      <w:pPr>
        <w:spacing w:after="0" w:line="240" w:lineRule="auto"/>
        <w:ind w:firstLine="567"/>
        <w:jc w:val="both"/>
        <w:rPr>
          <w:rFonts w:ascii="Times New Roman" w:hAnsi="Times New Roman" w:cs="Times New Roman"/>
          <w:sz w:val="24"/>
          <w:szCs w:val="24"/>
        </w:rPr>
      </w:pPr>
    </w:p>
    <w:p w:rsidR="00C23E56" w:rsidRDefault="000D25AE" w:rsidP="00C23E5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ajoutant la part de la Compagnie Centrale de Réassurance CCR</w:t>
      </w:r>
      <w:r w:rsidR="00083424">
        <w:rPr>
          <w:rFonts w:ascii="Times New Roman" w:hAnsi="Times New Roman" w:cs="Times New Roman"/>
          <w:sz w:val="24"/>
          <w:szCs w:val="24"/>
        </w:rPr>
        <w:t xml:space="preserve"> (15</w:t>
      </w:r>
      <w:r>
        <w:rPr>
          <w:rFonts w:ascii="Times New Roman" w:hAnsi="Times New Roman" w:cs="Times New Roman"/>
          <w:sz w:val="24"/>
          <w:szCs w:val="24"/>
        </w:rPr>
        <w:t xml:space="preserve">%), le secteur public prend la part du lion dans la </w:t>
      </w:r>
      <w:proofErr w:type="gramStart"/>
      <w:r>
        <w:rPr>
          <w:rFonts w:ascii="Times New Roman" w:hAnsi="Times New Roman" w:cs="Times New Roman"/>
          <w:sz w:val="24"/>
          <w:szCs w:val="24"/>
        </w:rPr>
        <w:t>constitution  de</w:t>
      </w:r>
      <w:proofErr w:type="gramEnd"/>
      <w:r>
        <w:rPr>
          <w:rFonts w:ascii="Times New Roman" w:hAnsi="Times New Roman" w:cs="Times New Roman"/>
          <w:sz w:val="24"/>
          <w:szCs w:val="24"/>
        </w:rPr>
        <w:t xml:space="preserve"> la marge de solvabilité du marché avec</w:t>
      </w:r>
      <w:r w:rsidR="00D70B31">
        <w:rPr>
          <w:rFonts w:ascii="Times New Roman" w:hAnsi="Times New Roman" w:cs="Times New Roman"/>
          <w:sz w:val="24"/>
          <w:szCs w:val="24"/>
        </w:rPr>
        <w:t xml:space="preserve"> une participation de 74</w:t>
      </w:r>
      <w:r>
        <w:rPr>
          <w:rFonts w:ascii="Times New Roman" w:hAnsi="Times New Roman" w:cs="Times New Roman"/>
          <w:sz w:val="24"/>
          <w:szCs w:val="24"/>
        </w:rPr>
        <w:t>%. Cette dominance s’explique par l</w:t>
      </w:r>
      <w:r w:rsidR="00612768">
        <w:rPr>
          <w:rFonts w:ascii="Times New Roman" w:hAnsi="Times New Roman" w:cs="Times New Roman"/>
          <w:sz w:val="24"/>
          <w:szCs w:val="24"/>
        </w:rPr>
        <w:t>a dispose du secteur public de 6</w:t>
      </w:r>
      <w:r>
        <w:rPr>
          <w:rFonts w:ascii="Times New Roman" w:hAnsi="Times New Roman" w:cs="Times New Roman"/>
          <w:sz w:val="24"/>
          <w:szCs w:val="24"/>
        </w:rPr>
        <w:t>7% du capital social du marché de l’assurance en Algérie.</w:t>
      </w:r>
    </w:p>
    <w:p w:rsidR="00C23E56" w:rsidRDefault="00C23E56" w:rsidP="00C23E56">
      <w:pPr>
        <w:spacing w:after="0" w:line="240" w:lineRule="auto"/>
        <w:ind w:firstLine="567"/>
        <w:jc w:val="both"/>
        <w:rPr>
          <w:rFonts w:ascii="Times New Roman" w:hAnsi="Times New Roman" w:cs="Times New Roman"/>
          <w:sz w:val="24"/>
          <w:szCs w:val="24"/>
        </w:rPr>
      </w:pPr>
    </w:p>
    <w:p w:rsidR="00A21CDF" w:rsidRPr="00C23E56" w:rsidRDefault="00C23E56" w:rsidP="00C23E5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 partir de ces résultats, nous constatons que la CAAT donne une grande importance à sa politique en matière de solvabilité, ceci à lui permet d’occuper la 3</w:t>
      </w:r>
      <w:r w:rsidRPr="00A2402F">
        <w:rPr>
          <w:rFonts w:ascii="Times New Roman" w:hAnsi="Times New Roman" w:cs="Times New Roman"/>
          <w:sz w:val="24"/>
          <w:szCs w:val="24"/>
          <w:vertAlign w:val="superscript"/>
        </w:rPr>
        <w:t>ème</w:t>
      </w:r>
      <w:r>
        <w:rPr>
          <w:rFonts w:ascii="Times New Roman" w:hAnsi="Times New Roman" w:cs="Times New Roman"/>
          <w:sz w:val="24"/>
          <w:szCs w:val="24"/>
        </w:rPr>
        <w:t xml:space="preserve"> place dans un marché qui regroupe 20 sociétés en assurance directe et en réassurance.</w:t>
      </w:r>
      <w:r w:rsidR="00A21CDF" w:rsidRPr="00A21CDF">
        <w:rPr>
          <w:rFonts w:ascii="Times New Roman" w:hAnsi="Times New Roman" w:cs="Times New Roman"/>
          <w:b/>
          <w:bCs/>
          <w:sz w:val="28"/>
          <w:szCs w:val="28"/>
        </w:rPr>
        <w:t> </w:t>
      </w:r>
    </w:p>
    <w:p w:rsidR="008A60CB" w:rsidRPr="00AA35DE" w:rsidRDefault="00C23E56" w:rsidP="00CC7304">
      <w:pPr>
        <w:spacing w:line="360" w:lineRule="auto"/>
        <w:ind w:left="-142"/>
        <w:jc w:val="both"/>
        <w:rPr>
          <w:rFonts w:ascii="Times New Roman" w:hAnsi="Times New Roman" w:cs="Times New Roman"/>
          <w:b/>
          <w:bCs/>
          <w:sz w:val="24"/>
        </w:rPr>
      </w:pPr>
      <w:r>
        <w:rPr>
          <w:rFonts w:ascii="Times New Roman" w:hAnsi="Times New Roman" w:cs="Times New Roman"/>
          <w:b/>
          <w:bCs/>
          <w:sz w:val="28"/>
          <w:szCs w:val="28"/>
        </w:rPr>
        <w:t>2-3</w:t>
      </w:r>
      <w:r w:rsidR="00AA35DE" w:rsidRPr="00AA35DE">
        <w:rPr>
          <w:rFonts w:ascii="Times New Roman" w:hAnsi="Times New Roman" w:cs="Times New Roman"/>
          <w:b/>
          <w:bCs/>
          <w:sz w:val="28"/>
          <w:szCs w:val="28"/>
        </w:rPr>
        <w:t>- LES DEFAILLANCES DU SYSTEME DE LA SOLVABILITE DES COMPAGNIES D’ASSURANCE EN</w:t>
      </w:r>
      <w:r w:rsidR="00AA35DE" w:rsidRPr="00AA35DE">
        <w:rPr>
          <w:rFonts w:ascii="Times New Roman" w:hAnsi="Times New Roman" w:cs="Times New Roman"/>
          <w:b/>
          <w:bCs/>
          <w:sz w:val="24"/>
        </w:rPr>
        <w:t xml:space="preserve"> </w:t>
      </w:r>
      <w:r w:rsidR="00AA35DE" w:rsidRPr="00AA35DE">
        <w:rPr>
          <w:rFonts w:ascii="Times New Roman" w:hAnsi="Times New Roman" w:cs="Times New Roman"/>
          <w:b/>
          <w:bCs/>
          <w:sz w:val="28"/>
          <w:szCs w:val="28"/>
        </w:rPr>
        <w:t xml:space="preserve">ALGERIE </w:t>
      </w:r>
      <w:r w:rsidR="00AA35DE" w:rsidRPr="00AA35DE">
        <w:rPr>
          <w:rFonts w:ascii="Times New Roman" w:hAnsi="Times New Roman" w:cs="Times New Roman"/>
          <w:b/>
          <w:bCs/>
          <w:sz w:val="24"/>
        </w:rPr>
        <w:t xml:space="preserve"> </w:t>
      </w:r>
    </w:p>
    <w:p w:rsidR="00AD128F" w:rsidRDefault="005A62A5" w:rsidP="00CC7304">
      <w:pPr>
        <w:spacing w:line="360" w:lineRule="auto"/>
        <w:ind w:left="-142"/>
        <w:jc w:val="both"/>
        <w:rPr>
          <w:rFonts w:ascii="Times New Roman" w:hAnsi="Times New Roman" w:cs="Times New Roman"/>
          <w:sz w:val="24"/>
        </w:rPr>
      </w:pPr>
      <w:r>
        <w:rPr>
          <w:rFonts w:ascii="Times New Roman" w:hAnsi="Times New Roman" w:cs="Times New Roman"/>
          <w:sz w:val="24"/>
        </w:rPr>
        <w:tab/>
      </w:r>
      <w:r w:rsidR="00150301">
        <w:rPr>
          <w:rFonts w:ascii="Times New Roman" w:hAnsi="Times New Roman" w:cs="Times New Roman"/>
          <w:sz w:val="24"/>
        </w:rPr>
        <w:tab/>
      </w:r>
      <w:r w:rsidR="00AD128F" w:rsidRPr="00150301">
        <w:rPr>
          <w:rFonts w:ascii="Times New Roman" w:hAnsi="Times New Roman" w:cs="Times New Roman"/>
          <w:sz w:val="24"/>
        </w:rPr>
        <w:t xml:space="preserve">Il est </w:t>
      </w:r>
      <w:r w:rsidR="00150301" w:rsidRPr="00150301">
        <w:rPr>
          <w:rFonts w:ascii="Times New Roman" w:hAnsi="Times New Roman" w:cs="Times New Roman"/>
          <w:sz w:val="24"/>
        </w:rPr>
        <w:t>clair</w:t>
      </w:r>
      <w:r w:rsidR="00AD128F" w:rsidRPr="00150301">
        <w:rPr>
          <w:rFonts w:ascii="Times New Roman" w:hAnsi="Times New Roman" w:cs="Times New Roman"/>
          <w:sz w:val="24"/>
        </w:rPr>
        <w:t xml:space="preserve"> que la réglementation algérienne de la solvabilité des assureurs est dépassée et ne </w:t>
      </w:r>
      <w:r w:rsidR="00150301" w:rsidRPr="00150301">
        <w:rPr>
          <w:rFonts w:ascii="Times New Roman" w:hAnsi="Times New Roman" w:cs="Times New Roman"/>
          <w:sz w:val="24"/>
        </w:rPr>
        <w:t>reflète</w:t>
      </w:r>
      <w:r w:rsidR="00AD128F" w:rsidRPr="00150301">
        <w:rPr>
          <w:rFonts w:ascii="Times New Roman" w:hAnsi="Times New Roman" w:cs="Times New Roman"/>
          <w:sz w:val="24"/>
        </w:rPr>
        <w:t xml:space="preserve"> pas </w:t>
      </w:r>
      <w:r w:rsidR="00150301" w:rsidRPr="00150301">
        <w:rPr>
          <w:rFonts w:ascii="Times New Roman" w:hAnsi="Times New Roman" w:cs="Times New Roman"/>
          <w:sz w:val="24"/>
        </w:rPr>
        <w:t>la réalité des engagement</w:t>
      </w:r>
      <w:r w:rsidR="00150301">
        <w:rPr>
          <w:rFonts w:ascii="Times New Roman" w:hAnsi="Times New Roman" w:cs="Times New Roman"/>
          <w:sz w:val="24"/>
        </w:rPr>
        <w:t>s</w:t>
      </w:r>
      <w:r w:rsidR="00150301" w:rsidRPr="00150301">
        <w:rPr>
          <w:rFonts w:ascii="Times New Roman" w:hAnsi="Times New Roman" w:cs="Times New Roman"/>
          <w:sz w:val="24"/>
        </w:rPr>
        <w:t xml:space="preserve"> des assureurs.</w:t>
      </w:r>
      <w:r w:rsidR="00150301">
        <w:rPr>
          <w:rFonts w:ascii="Times New Roman" w:hAnsi="Times New Roman" w:cs="Times New Roman"/>
          <w:sz w:val="24"/>
        </w:rPr>
        <w:t xml:space="preserve"> Nous présentons dans se qui suit une démonstration </w:t>
      </w:r>
      <w:r w:rsidR="00CC7304">
        <w:rPr>
          <w:rFonts w:ascii="Times New Roman" w:hAnsi="Times New Roman" w:cs="Times New Roman"/>
          <w:sz w:val="24"/>
        </w:rPr>
        <w:t>de quelques</w:t>
      </w:r>
      <w:r w:rsidR="00150301">
        <w:rPr>
          <w:rFonts w:ascii="Times New Roman" w:hAnsi="Times New Roman" w:cs="Times New Roman"/>
          <w:sz w:val="24"/>
        </w:rPr>
        <w:t xml:space="preserve"> </w:t>
      </w:r>
      <w:r w:rsidR="00CC7304">
        <w:rPr>
          <w:rFonts w:ascii="Times New Roman" w:hAnsi="Times New Roman" w:cs="Times New Roman"/>
          <w:sz w:val="24"/>
        </w:rPr>
        <w:t xml:space="preserve">lacunes et </w:t>
      </w:r>
      <w:proofErr w:type="gramStart"/>
      <w:r w:rsidR="00CC7304">
        <w:rPr>
          <w:rFonts w:ascii="Times New Roman" w:hAnsi="Times New Roman" w:cs="Times New Roman"/>
          <w:sz w:val="24"/>
        </w:rPr>
        <w:t>paradoxes  dans</w:t>
      </w:r>
      <w:proofErr w:type="gramEnd"/>
      <w:r w:rsidR="00150301">
        <w:rPr>
          <w:rFonts w:ascii="Times New Roman" w:hAnsi="Times New Roman" w:cs="Times New Roman"/>
          <w:sz w:val="24"/>
        </w:rPr>
        <w:t xml:space="preserve"> la réglementation en vigueur:</w:t>
      </w:r>
    </w:p>
    <w:p w:rsidR="00F636E6" w:rsidRPr="0058303B" w:rsidRDefault="00F636E6" w:rsidP="00CC7304">
      <w:pPr>
        <w:pStyle w:val="Paragraphedeliste"/>
        <w:numPr>
          <w:ilvl w:val="0"/>
          <w:numId w:val="6"/>
        </w:numPr>
        <w:spacing w:line="360" w:lineRule="auto"/>
        <w:jc w:val="both"/>
        <w:rPr>
          <w:rFonts w:ascii="Times New Roman" w:hAnsi="Times New Roman" w:cs="Times New Roman"/>
          <w:b/>
          <w:bCs/>
          <w:sz w:val="24"/>
        </w:rPr>
      </w:pPr>
      <w:r w:rsidRPr="0058303B">
        <w:rPr>
          <w:rFonts w:ascii="Times New Roman" w:hAnsi="Times New Roman" w:cs="Times New Roman"/>
          <w:b/>
          <w:bCs/>
          <w:sz w:val="24"/>
        </w:rPr>
        <w:t>En assurance non vie</w:t>
      </w:r>
    </w:p>
    <w:p w:rsidR="00150301" w:rsidRPr="00150301" w:rsidRDefault="00150301" w:rsidP="00CC7304">
      <w:pPr>
        <w:pStyle w:val="Paragraphedeliste"/>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Le calcul de la marge de solvabilité est basé sur les dettes techniques sachant </w:t>
      </w:r>
      <w:proofErr w:type="gramStart"/>
      <w:r>
        <w:rPr>
          <w:rFonts w:ascii="Times New Roman" w:hAnsi="Times New Roman" w:cs="Times New Roman"/>
          <w:sz w:val="24"/>
        </w:rPr>
        <w:t>que:</w:t>
      </w:r>
      <w:proofErr w:type="gramEnd"/>
    </w:p>
    <w:p w:rsidR="00150301" w:rsidRPr="00150301" w:rsidRDefault="00B85085" w:rsidP="00CC7304">
      <w:pPr>
        <w:pStyle w:val="Paragraphedeliste"/>
        <w:spacing w:line="360" w:lineRule="auto"/>
        <w:ind w:left="0"/>
        <w:jc w:val="both"/>
        <w:rPr>
          <w:rFonts w:ascii="Times New Roman" w:hAnsi="Times New Roman" w:cs="Times New Roman"/>
          <w:sz w:val="24"/>
        </w:rPr>
      </w:pPr>
      <w:r>
        <w:rPr>
          <w:rFonts w:ascii="Times New Roman" w:hAnsi="Times New Roman" w:cs="Times New Roman"/>
          <w:noProof/>
          <w:sz w:val="24"/>
        </w:rPr>
        <w:pict>
          <v:roundrect id="_x0000_s1027" style="position:absolute;left:0;text-align:left;margin-left:-9.35pt;margin-top:10.4pt;width:453.75pt;height:36.75pt;z-index:251661312" arcsize="10923f" fillcolor="#b2a1c7 [1943]" strokecolor="#b2a1c7 [1943]" strokeweight="1pt">
            <v:fill color2="#e5dfec [663]" angle="-45" focus="-50%" type="gradient"/>
            <v:shadow on="t" type="perspective" color="#3f3151 [1607]" opacity=".5" offset="1pt" offset2="-3pt"/>
            <v:textbox>
              <w:txbxContent>
                <w:p w:rsidR="00341914" w:rsidRDefault="00341914" w:rsidP="00150301">
                  <w:pPr>
                    <w:pStyle w:val="Paragraphedeliste"/>
                    <w:spacing w:line="360" w:lineRule="auto"/>
                    <w:ind w:left="0"/>
                    <w:jc w:val="center"/>
                    <w:rPr>
                      <w:rFonts w:ascii="Times New Roman" w:hAnsi="Times New Roman" w:cs="Times New Roman"/>
                      <w:sz w:val="24"/>
                    </w:rPr>
                  </w:pPr>
                  <w:r>
                    <w:rPr>
                      <w:rFonts w:ascii="Times New Roman" w:hAnsi="Times New Roman" w:cs="Times New Roman"/>
                      <w:sz w:val="24"/>
                    </w:rPr>
                    <w:t>Les dettes techniques = provision SAP+ provisions REC</w:t>
                  </w:r>
                </w:p>
                <w:p w:rsidR="00341914" w:rsidRDefault="00341914"/>
              </w:txbxContent>
            </v:textbox>
          </v:roundrect>
        </w:pict>
      </w:r>
    </w:p>
    <w:p w:rsidR="00EB2617" w:rsidRPr="00EB2617" w:rsidRDefault="00AD128F" w:rsidP="00CC7304">
      <w:pPr>
        <w:spacing w:line="360" w:lineRule="auto"/>
        <w:jc w:val="both"/>
        <w:rPr>
          <w:rFonts w:ascii="Times New Roman" w:hAnsi="Times New Roman" w:cs="Times New Roman"/>
          <w:sz w:val="24"/>
        </w:rPr>
      </w:pPr>
      <w:r>
        <w:rPr>
          <w:rFonts w:ascii="Times New Roman" w:hAnsi="Times New Roman" w:cs="Times New Roman"/>
          <w:sz w:val="24"/>
        </w:rPr>
        <w:t xml:space="preserve"> </w:t>
      </w:r>
    </w:p>
    <w:p w:rsidR="00241367" w:rsidRDefault="00241367" w:rsidP="0024136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rPr>
        <w:tab/>
        <w:t>On prend en compte les provisions SAP évaluées a fin d’année N, autrement dit les provisions cumulés et non pas les provisions afférentes à l’année N</w:t>
      </w:r>
      <w:r w:rsidR="00733515">
        <w:rPr>
          <w:rFonts w:ascii="Times New Roman" w:hAnsi="Times New Roman" w:cs="Times New Roman"/>
          <w:sz w:val="24"/>
        </w:rPr>
        <w:t>. D</w:t>
      </w:r>
      <w:r>
        <w:rPr>
          <w:rFonts w:ascii="Times New Roman" w:hAnsi="Times New Roman" w:cs="Times New Roman"/>
          <w:sz w:val="24"/>
        </w:rPr>
        <w:t>e l’autre coté, l</w:t>
      </w:r>
      <w:r w:rsidR="00D55CD3">
        <w:rPr>
          <w:rFonts w:ascii="Times New Roman" w:hAnsi="Times New Roman" w:cs="Times New Roman"/>
          <w:sz w:val="24"/>
        </w:rPr>
        <w:t>es provisions pour risque en cours qui sont l’équivalent des provisions pour primes non acquises, ne fournissent pas</w:t>
      </w:r>
      <w:r w:rsidR="005A62A5">
        <w:rPr>
          <w:rFonts w:ascii="Times New Roman" w:hAnsi="Times New Roman" w:cs="Times New Roman"/>
          <w:sz w:val="24"/>
        </w:rPr>
        <w:t xml:space="preserve"> d’indicateurs </w:t>
      </w:r>
      <w:proofErr w:type="gramStart"/>
      <w:r w:rsidR="005A62A5">
        <w:rPr>
          <w:rFonts w:ascii="Times New Roman" w:hAnsi="Times New Roman" w:cs="Times New Roman"/>
          <w:sz w:val="24"/>
        </w:rPr>
        <w:t xml:space="preserve">sur </w:t>
      </w:r>
      <w:r w:rsidR="005A62A5" w:rsidRPr="005A62A5">
        <w:rPr>
          <w:rFonts w:ascii="Times New Roman" w:hAnsi="Times New Roman" w:cs="Times New Roman"/>
          <w:sz w:val="24"/>
          <w:szCs w:val="24"/>
        </w:rPr>
        <w:t xml:space="preserve"> les</w:t>
      </w:r>
      <w:proofErr w:type="gramEnd"/>
      <w:r w:rsidR="005A62A5" w:rsidRPr="005A62A5">
        <w:rPr>
          <w:rFonts w:ascii="Times New Roman" w:hAnsi="Times New Roman" w:cs="Times New Roman"/>
          <w:sz w:val="24"/>
          <w:szCs w:val="24"/>
        </w:rPr>
        <w:t xml:space="preserve"> engagements futurs de la compagnie</w:t>
      </w:r>
      <w:r w:rsidR="005A62A5">
        <w:rPr>
          <w:rFonts w:ascii="Times New Roman" w:hAnsi="Times New Roman" w:cs="Times New Roman"/>
          <w:sz w:val="24"/>
          <w:szCs w:val="24"/>
        </w:rPr>
        <w:t>.</w:t>
      </w:r>
    </w:p>
    <w:p w:rsidR="00BB475D" w:rsidRDefault="00927493" w:rsidP="00CC730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A62A5">
        <w:rPr>
          <w:rFonts w:ascii="Times New Roman" w:hAnsi="Times New Roman" w:cs="Times New Roman"/>
          <w:sz w:val="24"/>
          <w:szCs w:val="24"/>
        </w:rPr>
        <w:t>La réglementation française actuelle (</w:t>
      </w:r>
      <w:proofErr w:type="spellStart"/>
      <w:r w:rsidR="005A62A5">
        <w:rPr>
          <w:rFonts w:ascii="Times New Roman" w:hAnsi="Times New Roman" w:cs="Times New Roman"/>
          <w:sz w:val="24"/>
          <w:szCs w:val="24"/>
        </w:rPr>
        <w:t>solvency</w:t>
      </w:r>
      <w:proofErr w:type="spellEnd"/>
      <w:r w:rsidR="005A62A5">
        <w:rPr>
          <w:rFonts w:ascii="Times New Roman" w:hAnsi="Times New Roman" w:cs="Times New Roman"/>
          <w:sz w:val="24"/>
          <w:szCs w:val="24"/>
        </w:rPr>
        <w:t xml:space="preserve"> I) est plus</w:t>
      </w:r>
      <w:r w:rsidR="00716D12">
        <w:rPr>
          <w:rFonts w:ascii="Times New Roman" w:hAnsi="Times New Roman" w:cs="Times New Roman"/>
          <w:sz w:val="24"/>
          <w:szCs w:val="24"/>
        </w:rPr>
        <w:t xml:space="preserve"> au moins</w:t>
      </w:r>
      <w:r w:rsidR="005A62A5">
        <w:rPr>
          <w:rFonts w:ascii="Times New Roman" w:hAnsi="Times New Roman" w:cs="Times New Roman"/>
          <w:sz w:val="24"/>
          <w:szCs w:val="24"/>
        </w:rPr>
        <w:t xml:space="preserve"> </w:t>
      </w:r>
      <w:proofErr w:type="gramStart"/>
      <w:r w:rsidR="00241367">
        <w:rPr>
          <w:rFonts w:ascii="Times New Roman" w:hAnsi="Times New Roman" w:cs="Times New Roman"/>
          <w:sz w:val="24"/>
          <w:szCs w:val="24"/>
        </w:rPr>
        <w:t xml:space="preserve">représentative </w:t>
      </w:r>
      <w:r w:rsidR="005A62A5">
        <w:rPr>
          <w:rFonts w:ascii="Times New Roman" w:hAnsi="Times New Roman" w:cs="Times New Roman"/>
          <w:sz w:val="24"/>
          <w:szCs w:val="24"/>
        </w:rPr>
        <w:t xml:space="preserve"> puisq</w:t>
      </w:r>
      <w:r w:rsidR="00BB475D">
        <w:rPr>
          <w:rFonts w:ascii="Times New Roman" w:hAnsi="Times New Roman" w:cs="Times New Roman"/>
          <w:sz w:val="24"/>
          <w:szCs w:val="24"/>
        </w:rPr>
        <w:t>u’</w:t>
      </w:r>
      <w:r w:rsidR="005A62A5">
        <w:rPr>
          <w:rFonts w:ascii="Times New Roman" w:hAnsi="Times New Roman" w:cs="Times New Roman"/>
          <w:sz w:val="24"/>
          <w:szCs w:val="24"/>
        </w:rPr>
        <w:t>elle</w:t>
      </w:r>
      <w:proofErr w:type="gramEnd"/>
      <w:r w:rsidR="005A62A5">
        <w:rPr>
          <w:rFonts w:ascii="Times New Roman" w:hAnsi="Times New Roman" w:cs="Times New Roman"/>
          <w:sz w:val="24"/>
          <w:szCs w:val="24"/>
        </w:rPr>
        <w:t xml:space="preserve">  </w:t>
      </w:r>
      <w:r w:rsidR="00BB475D">
        <w:rPr>
          <w:rFonts w:ascii="Times New Roman" w:hAnsi="Times New Roman" w:cs="Times New Roman"/>
          <w:sz w:val="24"/>
          <w:szCs w:val="24"/>
        </w:rPr>
        <w:t>se base sur la charge sinistre:</w:t>
      </w:r>
    </w:p>
    <w:p w:rsidR="00BF5CF1" w:rsidRDefault="00B85085" w:rsidP="00CC7304">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roundrect id="_x0000_s1031" style="position:absolute;left:0;text-align:left;margin-left:-1.1pt;margin-top:.95pt;width:453pt;height:43.5pt;z-index:251665408" arcsize="10923f" fillcolor="#b2a1c7 [1943]" strokecolor="#b2a1c7 [1943]" strokeweight="1pt">
            <v:fill color2="#e5dfec [663]" angle="-45" focus="-50%" type="gradient"/>
            <v:shadow on="t" type="perspective" color="#3f3151 [1607]" opacity=".5" offset="1pt" offset2="-3pt"/>
            <v:textbox>
              <w:txbxContent>
                <w:p w:rsidR="00341914" w:rsidRPr="00BF5CF1" w:rsidRDefault="00341914" w:rsidP="00BF5CF1">
                  <w:pPr>
                    <w:autoSpaceDE w:val="0"/>
                    <w:autoSpaceDN w:val="0"/>
                    <w:adjustRightInd w:val="0"/>
                    <w:spacing w:after="0" w:line="240" w:lineRule="auto"/>
                    <w:rPr>
                      <w:rFonts w:ascii="Times New Roman" w:hAnsi="Times New Roman" w:cs="Times New Roman"/>
                      <w:sz w:val="24"/>
                      <w:szCs w:val="24"/>
                    </w:rPr>
                  </w:pPr>
                  <w:r w:rsidRPr="00BF5CF1">
                    <w:rPr>
                      <w:rFonts w:ascii="Times New Roman" w:hAnsi="Times New Roman" w:cs="Times New Roman"/>
                      <w:sz w:val="24"/>
                      <w:szCs w:val="24"/>
                    </w:rPr>
                    <w:t xml:space="preserve">MSR=25%*(charge moyenne annuelle </w:t>
                  </w:r>
                  <w:r>
                    <w:rPr>
                      <w:rFonts w:ascii="Times New Roman" w:hAnsi="Times New Roman" w:cs="Times New Roman"/>
                      <w:sz w:val="24"/>
                      <w:szCs w:val="24"/>
                    </w:rPr>
                    <w:t xml:space="preserve">des sinistre des trois derniers </w:t>
                  </w:r>
                  <w:r w:rsidRPr="00BF5CF1">
                    <w:rPr>
                      <w:rFonts w:ascii="Times New Roman" w:hAnsi="Times New Roman" w:cs="Times New Roman"/>
                      <w:sz w:val="24"/>
                      <w:szCs w:val="24"/>
                    </w:rPr>
                    <w:t xml:space="preserve">exercices)*(Charge sinistre net de réassurance / charge sinistre brut de réassurance) </w:t>
                  </w:r>
                </w:p>
                <w:p w:rsidR="00341914" w:rsidRDefault="00341914"/>
              </w:txbxContent>
            </v:textbox>
          </v:roundrect>
        </w:pict>
      </w:r>
    </w:p>
    <w:p w:rsidR="00BF5CF1" w:rsidRDefault="00B85085" w:rsidP="00CC7304">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32" style="position:absolute;left:0;text-align:left;margin-left:-1.1pt;margin-top:25.75pt;width:453pt;height:48pt;z-index:251666432" arcsize="10923f" fillcolor="#b2a1c7 [1943]" strokecolor="#b2a1c7 [1943]" strokeweight="1pt">
            <v:fill color2="#e5dfec [663]" angle="-45" focus="-50%" type="gradient"/>
            <v:shadow on="t" type="perspective" color="#3f3151 [1607]" opacity=".5" offset="1pt" offset2="-3pt"/>
            <v:textbox>
              <w:txbxContent>
                <w:p w:rsidR="00341914" w:rsidRDefault="00341914" w:rsidP="00927493">
                  <w:pPr>
                    <w:spacing w:line="360" w:lineRule="auto"/>
                    <w:rPr>
                      <w:rFonts w:ascii="Times New Roman" w:hAnsi="Times New Roman" w:cs="Times New Roman"/>
                      <w:sz w:val="24"/>
                      <w:szCs w:val="24"/>
                    </w:rPr>
                  </w:pPr>
                  <w:r>
                    <w:rPr>
                      <w:rFonts w:ascii="Times New Roman" w:hAnsi="Times New Roman" w:cs="Times New Roman"/>
                      <w:sz w:val="24"/>
                      <w:szCs w:val="24"/>
                    </w:rPr>
                    <w:t>La charge sinistre= provisions SAP fin de période - provisions SAP début de période + les règlements-recours encaissés</w:t>
                  </w:r>
                </w:p>
                <w:p w:rsidR="00341914" w:rsidRDefault="00341914" w:rsidP="00927493">
                  <w:pPr>
                    <w:spacing w:line="360" w:lineRule="auto"/>
                    <w:rPr>
                      <w:rFonts w:ascii="Times New Roman" w:hAnsi="Times New Roman" w:cs="Times New Roman"/>
                      <w:sz w:val="24"/>
                      <w:szCs w:val="24"/>
                    </w:rPr>
                  </w:pPr>
                </w:p>
                <w:p w:rsidR="00341914" w:rsidRDefault="00341914" w:rsidP="00412D79"/>
              </w:txbxContent>
            </v:textbox>
          </v:roundrect>
        </w:pict>
      </w:r>
    </w:p>
    <w:p w:rsidR="00412D79" w:rsidRDefault="00412D79" w:rsidP="00CC7304">
      <w:pPr>
        <w:spacing w:line="360" w:lineRule="auto"/>
        <w:jc w:val="both"/>
        <w:rPr>
          <w:rFonts w:ascii="Times New Roman" w:hAnsi="Times New Roman" w:cs="Times New Roman"/>
          <w:sz w:val="24"/>
          <w:szCs w:val="24"/>
        </w:rPr>
      </w:pPr>
    </w:p>
    <w:p w:rsidR="00412D79" w:rsidRDefault="00412D79" w:rsidP="00CC7304">
      <w:pPr>
        <w:spacing w:line="360" w:lineRule="auto"/>
        <w:jc w:val="both"/>
        <w:rPr>
          <w:rFonts w:ascii="Times New Roman" w:hAnsi="Times New Roman" w:cs="Times New Roman"/>
          <w:sz w:val="24"/>
          <w:szCs w:val="24"/>
        </w:rPr>
      </w:pPr>
    </w:p>
    <w:p w:rsidR="00472DFA" w:rsidRDefault="005A62A5" w:rsidP="00C23E56">
      <w:pPr>
        <w:autoSpaceDE w:val="0"/>
        <w:autoSpaceDN w:val="0"/>
        <w:adjustRightInd w:val="0"/>
        <w:spacing w:after="0" w:line="360" w:lineRule="auto"/>
        <w:jc w:val="both"/>
        <w:rPr>
          <w:rFonts w:ascii="Times New Roman" w:hAnsi="Times New Roman" w:cs="Times New Roman"/>
          <w:sz w:val="24"/>
          <w:szCs w:val="24"/>
        </w:rPr>
      </w:pPr>
      <w:r w:rsidRPr="00927493">
        <w:rPr>
          <w:rFonts w:ascii="Times New Roman" w:hAnsi="Times New Roman" w:cs="Times New Roman"/>
          <w:sz w:val="24"/>
          <w:szCs w:val="24"/>
        </w:rPr>
        <w:t xml:space="preserve"> </w:t>
      </w:r>
      <w:r w:rsidR="00927493" w:rsidRPr="00927493">
        <w:rPr>
          <w:rFonts w:ascii="Times New Roman" w:hAnsi="Times New Roman" w:cs="Times New Roman"/>
          <w:sz w:val="24"/>
          <w:szCs w:val="24"/>
        </w:rPr>
        <w:t>En prenant la charge de sinistre comme assiette de calcul,</w:t>
      </w:r>
      <w:r w:rsidR="001E7E83">
        <w:rPr>
          <w:rFonts w:ascii="Times New Roman" w:hAnsi="Times New Roman" w:cs="Times New Roman"/>
          <w:sz w:val="24"/>
          <w:szCs w:val="24"/>
        </w:rPr>
        <w:t xml:space="preserve"> et on appliquant la réglementation française on obtient les résultats </w:t>
      </w:r>
      <w:proofErr w:type="gramStart"/>
      <w:r w:rsidR="001E7E83">
        <w:rPr>
          <w:rFonts w:ascii="Times New Roman" w:hAnsi="Times New Roman" w:cs="Times New Roman"/>
          <w:sz w:val="24"/>
          <w:szCs w:val="24"/>
        </w:rPr>
        <w:t>suivants:</w:t>
      </w:r>
      <w:proofErr w:type="gramEnd"/>
    </w:p>
    <w:p w:rsidR="00472DFA" w:rsidRDefault="00472DFA" w:rsidP="00472DFA">
      <w:pPr>
        <w:autoSpaceDE w:val="0"/>
        <w:autoSpaceDN w:val="0"/>
        <w:adjustRightInd w:val="0"/>
        <w:spacing w:after="0" w:line="360" w:lineRule="auto"/>
        <w:jc w:val="both"/>
        <w:rPr>
          <w:rFonts w:ascii="Times New Roman" w:hAnsi="Times New Roman" w:cs="Times New Roman"/>
          <w:sz w:val="24"/>
          <w:szCs w:val="24"/>
        </w:rPr>
      </w:pPr>
    </w:p>
    <w:p w:rsidR="00D04C96" w:rsidRDefault="00D04C96" w:rsidP="001E7E83">
      <w:pPr>
        <w:autoSpaceDE w:val="0"/>
        <w:autoSpaceDN w:val="0"/>
        <w:adjustRightInd w:val="0"/>
        <w:spacing w:after="0" w:line="360" w:lineRule="auto"/>
        <w:jc w:val="both"/>
        <w:rPr>
          <w:rFonts w:ascii="Times New Roman" w:hAnsi="Times New Roman" w:cs="Times New Roman"/>
          <w:sz w:val="24"/>
          <w:szCs w:val="24"/>
        </w:rPr>
      </w:pPr>
      <w:r>
        <w:rPr>
          <w:rFonts w:asciiTheme="majorBidi" w:hAnsiTheme="majorBidi" w:cstheme="majorBidi"/>
          <w:b/>
          <w:sz w:val="16"/>
          <w:szCs w:val="16"/>
        </w:rPr>
        <w:t xml:space="preserve">                                                                                                                                               (</w:t>
      </w:r>
      <w:r w:rsidRPr="00D944B1">
        <w:rPr>
          <w:rFonts w:asciiTheme="majorBidi" w:hAnsiTheme="majorBidi" w:cstheme="majorBidi"/>
          <w:b/>
          <w:sz w:val="16"/>
          <w:szCs w:val="16"/>
        </w:rPr>
        <w:t>Montant exprimé en</w:t>
      </w:r>
      <w:r>
        <w:rPr>
          <w:rFonts w:asciiTheme="majorBidi" w:hAnsiTheme="majorBidi" w:cstheme="majorBidi"/>
          <w:b/>
          <w:sz w:val="16"/>
          <w:szCs w:val="16"/>
        </w:rPr>
        <w:t xml:space="preserve"> milliers de Dinar Algérien</w:t>
      </w:r>
      <w:r w:rsidRPr="00D944B1">
        <w:rPr>
          <w:rFonts w:asciiTheme="majorBidi" w:hAnsiTheme="majorBidi" w:cstheme="majorBidi"/>
          <w:b/>
          <w:sz w:val="16"/>
          <w:szCs w:val="16"/>
        </w:rPr>
        <w:t>)</w:t>
      </w:r>
    </w:p>
    <w:tbl>
      <w:tblPr>
        <w:tblStyle w:val="Grillemoyenne3-Accent4"/>
        <w:tblW w:w="5016" w:type="pct"/>
        <w:tblLook w:val="04A0"/>
      </w:tblPr>
      <w:tblGrid>
        <w:gridCol w:w="7410"/>
        <w:gridCol w:w="1908"/>
      </w:tblGrid>
      <w:tr w:rsidR="001E7E83" w:rsidRPr="00D944B1" w:rsidTr="00C85A6E">
        <w:trPr>
          <w:cnfStyle w:val="100000000000"/>
          <w:trHeight w:hRule="exact" w:val="274"/>
        </w:trPr>
        <w:tc>
          <w:tcPr>
            <w:cnfStyle w:val="001000000000"/>
            <w:tcW w:w="3976" w:type="pct"/>
            <w:noWrap/>
            <w:hideMark/>
          </w:tcPr>
          <w:p w:rsidR="001E7E83" w:rsidRPr="00D944B1" w:rsidRDefault="001E7E83" w:rsidP="00A0446A">
            <w:pPr>
              <w:spacing w:line="360" w:lineRule="auto"/>
              <w:jc w:val="both"/>
              <w:rPr>
                <w:rFonts w:asciiTheme="majorBidi" w:hAnsiTheme="majorBidi" w:cstheme="majorBidi"/>
                <w:b w:val="0"/>
                <w:bCs w:val="0"/>
                <w:sz w:val="24"/>
                <w:szCs w:val="24"/>
              </w:rPr>
            </w:pPr>
            <w:r w:rsidRPr="00D944B1">
              <w:rPr>
                <w:rFonts w:asciiTheme="majorBidi" w:hAnsiTheme="majorBidi" w:cstheme="majorBidi"/>
                <w:sz w:val="24"/>
                <w:szCs w:val="24"/>
              </w:rPr>
              <w:t>Paramètres</w:t>
            </w:r>
          </w:p>
        </w:tc>
        <w:tc>
          <w:tcPr>
            <w:tcW w:w="1024" w:type="pct"/>
            <w:noWrap/>
            <w:hideMark/>
          </w:tcPr>
          <w:p w:rsidR="001E7E83" w:rsidRPr="00D944B1" w:rsidRDefault="001E7E83" w:rsidP="00A0446A">
            <w:pPr>
              <w:spacing w:line="360" w:lineRule="auto"/>
              <w:jc w:val="both"/>
              <w:cnfStyle w:val="100000000000"/>
              <w:rPr>
                <w:rFonts w:asciiTheme="majorBidi" w:hAnsiTheme="majorBidi" w:cstheme="majorBidi"/>
                <w:b w:val="0"/>
                <w:bCs w:val="0"/>
                <w:sz w:val="24"/>
                <w:szCs w:val="24"/>
              </w:rPr>
            </w:pPr>
            <w:r w:rsidRPr="00D944B1">
              <w:rPr>
                <w:rFonts w:asciiTheme="majorBidi" w:hAnsiTheme="majorBidi" w:cstheme="majorBidi"/>
                <w:sz w:val="24"/>
                <w:szCs w:val="24"/>
              </w:rPr>
              <w:t>Montant</w:t>
            </w:r>
          </w:p>
        </w:tc>
      </w:tr>
      <w:tr w:rsidR="001E7E83" w:rsidRPr="00D944B1" w:rsidTr="00C85A6E">
        <w:trPr>
          <w:cnfStyle w:val="000000100000"/>
          <w:trHeight w:hRule="exact" w:val="746"/>
        </w:trPr>
        <w:tc>
          <w:tcPr>
            <w:cnfStyle w:val="001000000000"/>
            <w:tcW w:w="3976" w:type="pct"/>
            <w:hideMark/>
          </w:tcPr>
          <w:p w:rsidR="001E7E83" w:rsidRPr="00D944B1" w:rsidRDefault="00C82C65" w:rsidP="00A0446A">
            <w:pPr>
              <w:spacing w:line="360" w:lineRule="auto"/>
              <w:jc w:val="both"/>
              <w:rPr>
                <w:rFonts w:asciiTheme="majorBidi" w:hAnsiTheme="majorBidi" w:cstheme="majorBidi"/>
                <w:color w:val="auto"/>
                <w:sz w:val="24"/>
                <w:szCs w:val="24"/>
              </w:rPr>
            </w:pPr>
            <w:r>
              <w:rPr>
                <w:rFonts w:asciiTheme="majorBidi" w:hAnsiTheme="majorBidi" w:cstheme="majorBidi"/>
                <w:color w:val="auto"/>
                <w:sz w:val="24"/>
                <w:szCs w:val="24"/>
              </w:rPr>
              <w:t>A</w:t>
            </w:r>
            <w:r w:rsidR="001E7E83" w:rsidRPr="00D944B1">
              <w:rPr>
                <w:rFonts w:asciiTheme="majorBidi" w:hAnsiTheme="majorBidi" w:cstheme="majorBidi"/>
                <w:color w:val="auto"/>
                <w:sz w:val="24"/>
                <w:szCs w:val="24"/>
              </w:rPr>
              <w:t xml:space="preserve"> = 25% </w:t>
            </w:r>
            <w:r w:rsidR="001E7E83" w:rsidRPr="00D74355">
              <w:rPr>
                <w:rFonts w:asciiTheme="majorBidi" w:hAnsiTheme="majorBidi" w:cstheme="majorBidi"/>
                <w:color w:val="auto"/>
              </w:rPr>
              <w:t>de la charge moyenne annuelle des sinistres des trois derniers exercices(*)</w:t>
            </w:r>
          </w:p>
        </w:tc>
        <w:tc>
          <w:tcPr>
            <w:tcW w:w="1024" w:type="pct"/>
            <w:noWrap/>
            <w:hideMark/>
          </w:tcPr>
          <w:p w:rsidR="001E7E83" w:rsidRPr="00C82C65" w:rsidRDefault="001E7E83" w:rsidP="00C82C65">
            <w:pPr>
              <w:jc w:val="center"/>
              <w:cnfStyle w:val="000000100000"/>
              <w:rPr>
                <w:rFonts w:asciiTheme="majorBidi" w:hAnsiTheme="majorBidi" w:cstheme="majorBidi"/>
                <w:sz w:val="24"/>
                <w:szCs w:val="24"/>
              </w:rPr>
            </w:pPr>
            <w:r w:rsidRPr="00C82C65">
              <w:rPr>
                <w:rFonts w:asciiTheme="majorBidi" w:hAnsiTheme="majorBidi" w:cstheme="majorBidi"/>
                <w:sz w:val="24"/>
                <w:szCs w:val="24"/>
              </w:rPr>
              <w:t>7 161 014.67</w:t>
            </w:r>
          </w:p>
        </w:tc>
      </w:tr>
      <w:tr w:rsidR="001E7E83" w:rsidRPr="00D944B1" w:rsidTr="00C85A6E">
        <w:trPr>
          <w:trHeight w:hRule="exact" w:val="464"/>
        </w:trPr>
        <w:tc>
          <w:tcPr>
            <w:cnfStyle w:val="001000000000"/>
            <w:tcW w:w="3976" w:type="pct"/>
            <w:hideMark/>
          </w:tcPr>
          <w:p w:rsidR="001E7E83" w:rsidRPr="00D944B1" w:rsidRDefault="00C82C65" w:rsidP="00A0446A">
            <w:pPr>
              <w:spacing w:line="360" w:lineRule="auto"/>
              <w:jc w:val="both"/>
              <w:rPr>
                <w:rFonts w:asciiTheme="majorBidi" w:hAnsiTheme="majorBidi" w:cstheme="majorBidi"/>
                <w:color w:val="auto"/>
                <w:sz w:val="24"/>
                <w:szCs w:val="24"/>
              </w:rPr>
            </w:pPr>
            <w:r>
              <w:rPr>
                <w:rFonts w:asciiTheme="majorBidi" w:hAnsiTheme="majorBidi" w:cstheme="majorBidi"/>
                <w:color w:val="auto"/>
                <w:sz w:val="24"/>
                <w:szCs w:val="24"/>
              </w:rPr>
              <w:t>B</w:t>
            </w:r>
            <w:r w:rsidR="001E7E83" w:rsidRPr="00D944B1">
              <w:rPr>
                <w:rFonts w:asciiTheme="majorBidi" w:hAnsiTheme="majorBidi" w:cstheme="majorBidi"/>
                <w:color w:val="auto"/>
                <w:sz w:val="24"/>
                <w:szCs w:val="24"/>
              </w:rPr>
              <w:t xml:space="preserve"> = (Sinistres à</w:t>
            </w:r>
            <w:r w:rsidR="001E7E83">
              <w:rPr>
                <w:rFonts w:asciiTheme="majorBidi" w:hAnsiTheme="majorBidi" w:cstheme="majorBidi"/>
                <w:color w:val="auto"/>
                <w:sz w:val="24"/>
                <w:szCs w:val="24"/>
              </w:rPr>
              <w:t xml:space="preserve"> la charge de la société en 2011/Sinistre brute en 2011</w:t>
            </w:r>
            <w:r w:rsidR="001E7E83" w:rsidRPr="00D944B1">
              <w:rPr>
                <w:rFonts w:asciiTheme="majorBidi" w:hAnsiTheme="majorBidi" w:cstheme="majorBidi"/>
                <w:color w:val="auto"/>
                <w:sz w:val="24"/>
                <w:szCs w:val="24"/>
              </w:rPr>
              <w:t>)</w:t>
            </w:r>
          </w:p>
        </w:tc>
        <w:tc>
          <w:tcPr>
            <w:tcW w:w="1024" w:type="pct"/>
            <w:noWrap/>
            <w:hideMark/>
          </w:tcPr>
          <w:p w:rsidR="001E7E83" w:rsidRPr="00C82C65" w:rsidRDefault="001E7E83" w:rsidP="00C82C65">
            <w:pPr>
              <w:spacing w:line="360" w:lineRule="auto"/>
              <w:jc w:val="center"/>
              <w:cnfStyle w:val="000000000000"/>
              <w:rPr>
                <w:rFonts w:asciiTheme="majorBidi" w:hAnsiTheme="majorBidi" w:cstheme="majorBidi"/>
                <w:sz w:val="24"/>
                <w:szCs w:val="24"/>
              </w:rPr>
            </w:pPr>
            <w:r w:rsidRPr="00C82C65">
              <w:rPr>
                <w:rFonts w:asciiTheme="majorBidi" w:hAnsiTheme="majorBidi" w:cstheme="majorBidi"/>
                <w:sz w:val="24"/>
                <w:szCs w:val="24"/>
              </w:rPr>
              <w:t>61,45%</w:t>
            </w:r>
          </w:p>
        </w:tc>
      </w:tr>
      <w:tr w:rsidR="001E7E83" w:rsidRPr="00D944B1" w:rsidTr="00C85A6E">
        <w:tblPrEx>
          <w:tblCellMar>
            <w:left w:w="70" w:type="dxa"/>
            <w:right w:w="70" w:type="dxa"/>
          </w:tblCellMar>
        </w:tblPrEx>
        <w:trPr>
          <w:cnfStyle w:val="000000100000"/>
          <w:trHeight w:hRule="exact" w:val="380"/>
        </w:trPr>
        <w:tc>
          <w:tcPr>
            <w:cnfStyle w:val="001000000000"/>
            <w:tcW w:w="3976" w:type="pct"/>
            <w:hideMark/>
          </w:tcPr>
          <w:p w:rsidR="001E7E83" w:rsidRPr="00D944B1" w:rsidRDefault="001E7E83" w:rsidP="00A0446A">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Sinistres à la charge de la société en 201</w:t>
            </w:r>
            <w:r>
              <w:rPr>
                <w:rFonts w:asciiTheme="majorBidi" w:hAnsiTheme="majorBidi" w:cstheme="majorBidi"/>
                <w:color w:val="auto"/>
                <w:sz w:val="24"/>
                <w:szCs w:val="24"/>
              </w:rPr>
              <w:t>1</w:t>
            </w:r>
          </w:p>
        </w:tc>
        <w:tc>
          <w:tcPr>
            <w:tcW w:w="1024" w:type="pct"/>
            <w:noWrap/>
            <w:hideMark/>
          </w:tcPr>
          <w:p w:rsidR="001E7E83" w:rsidRPr="00C82C65" w:rsidRDefault="00C82C65" w:rsidP="00C82C65">
            <w:pPr>
              <w:spacing w:line="360" w:lineRule="auto"/>
              <w:jc w:val="center"/>
              <w:cnfStyle w:val="000000100000"/>
              <w:rPr>
                <w:rFonts w:asciiTheme="majorBidi" w:hAnsiTheme="majorBidi" w:cstheme="majorBidi"/>
                <w:sz w:val="24"/>
                <w:szCs w:val="24"/>
              </w:rPr>
            </w:pPr>
            <w:r w:rsidRPr="00C82C65">
              <w:rPr>
                <w:rFonts w:asciiTheme="majorBidi" w:hAnsiTheme="majorBidi" w:cstheme="majorBidi"/>
                <w:color w:val="000000"/>
                <w:sz w:val="24"/>
                <w:szCs w:val="24"/>
              </w:rPr>
              <w:t>4 105 505.00</w:t>
            </w:r>
          </w:p>
        </w:tc>
      </w:tr>
      <w:tr w:rsidR="001E7E83" w:rsidRPr="00D944B1" w:rsidTr="00C85A6E">
        <w:trPr>
          <w:trHeight w:hRule="exact" w:val="287"/>
        </w:trPr>
        <w:tc>
          <w:tcPr>
            <w:cnfStyle w:val="001000000000"/>
            <w:tcW w:w="3976" w:type="pct"/>
            <w:hideMark/>
          </w:tcPr>
          <w:p w:rsidR="001E7E83" w:rsidRPr="00D944B1" w:rsidRDefault="001E7E83" w:rsidP="00A0446A">
            <w:pPr>
              <w:spacing w:line="360" w:lineRule="auto"/>
              <w:jc w:val="both"/>
              <w:rPr>
                <w:rFonts w:asciiTheme="majorBidi" w:hAnsiTheme="majorBidi" w:cstheme="majorBidi"/>
                <w:color w:val="auto"/>
                <w:sz w:val="24"/>
                <w:szCs w:val="24"/>
              </w:rPr>
            </w:pPr>
            <w:r w:rsidRPr="00D944B1">
              <w:rPr>
                <w:rFonts w:asciiTheme="majorBidi" w:hAnsiTheme="majorBidi" w:cstheme="majorBidi"/>
                <w:color w:val="auto"/>
                <w:sz w:val="24"/>
                <w:szCs w:val="24"/>
              </w:rPr>
              <w:t>Sinistres brute en 201</w:t>
            </w:r>
            <w:r>
              <w:rPr>
                <w:rFonts w:asciiTheme="majorBidi" w:hAnsiTheme="majorBidi" w:cstheme="majorBidi"/>
                <w:color w:val="auto"/>
                <w:sz w:val="24"/>
                <w:szCs w:val="24"/>
              </w:rPr>
              <w:t>1</w:t>
            </w:r>
          </w:p>
        </w:tc>
        <w:tc>
          <w:tcPr>
            <w:tcW w:w="1024" w:type="pct"/>
            <w:noWrap/>
            <w:hideMark/>
          </w:tcPr>
          <w:p w:rsidR="001E7E83" w:rsidRPr="00C82C65" w:rsidRDefault="00C82C65" w:rsidP="00C82C65">
            <w:pPr>
              <w:spacing w:line="360" w:lineRule="auto"/>
              <w:jc w:val="center"/>
              <w:cnfStyle w:val="000000000000"/>
              <w:rPr>
                <w:rFonts w:asciiTheme="majorBidi" w:hAnsiTheme="majorBidi" w:cstheme="majorBidi"/>
                <w:sz w:val="24"/>
                <w:szCs w:val="24"/>
              </w:rPr>
            </w:pPr>
            <w:r w:rsidRPr="00C82C65">
              <w:rPr>
                <w:rFonts w:asciiTheme="majorBidi" w:hAnsiTheme="majorBidi" w:cstheme="majorBidi"/>
                <w:sz w:val="24"/>
                <w:szCs w:val="24"/>
              </w:rPr>
              <w:t>6 680 729.00</w:t>
            </w:r>
          </w:p>
        </w:tc>
      </w:tr>
      <w:tr w:rsidR="001E7E83" w:rsidRPr="00D944B1" w:rsidTr="00C85A6E">
        <w:trPr>
          <w:cnfStyle w:val="000000100000"/>
          <w:trHeight w:hRule="exact" w:val="611"/>
        </w:trPr>
        <w:tc>
          <w:tcPr>
            <w:cnfStyle w:val="001000000000"/>
            <w:tcW w:w="3976" w:type="pct"/>
            <w:hideMark/>
          </w:tcPr>
          <w:p w:rsidR="001E7E83" w:rsidRPr="00AA35DE" w:rsidRDefault="001E7E83" w:rsidP="00A0446A">
            <w:pPr>
              <w:spacing w:line="360" w:lineRule="auto"/>
              <w:jc w:val="both"/>
              <w:rPr>
                <w:rFonts w:asciiTheme="majorBidi" w:hAnsiTheme="majorBidi" w:cstheme="majorBidi"/>
                <w:b w:val="0"/>
                <w:bCs w:val="0"/>
              </w:rPr>
            </w:pPr>
            <w:r w:rsidRPr="00AA35DE">
              <w:rPr>
                <w:rFonts w:asciiTheme="majorBidi" w:hAnsiTheme="majorBidi" w:cstheme="majorBidi"/>
              </w:rPr>
              <w:t>Le minimum de la marge de solvabilit</w:t>
            </w:r>
            <w:r w:rsidR="00C82C65" w:rsidRPr="00AA35DE">
              <w:rPr>
                <w:rFonts w:asciiTheme="majorBidi" w:hAnsiTheme="majorBidi" w:cstheme="majorBidi"/>
              </w:rPr>
              <w:t>é selon la deuxième méthode = (A*B</w:t>
            </w:r>
            <w:r w:rsidRPr="00AA35DE">
              <w:rPr>
                <w:rFonts w:asciiTheme="majorBidi" w:hAnsiTheme="majorBidi" w:cstheme="majorBidi"/>
              </w:rPr>
              <w:t>)</w:t>
            </w:r>
          </w:p>
        </w:tc>
        <w:tc>
          <w:tcPr>
            <w:tcW w:w="1024" w:type="pct"/>
            <w:noWrap/>
            <w:hideMark/>
          </w:tcPr>
          <w:p w:rsidR="001E7E83" w:rsidRPr="00C82C65" w:rsidRDefault="00C82C65" w:rsidP="00C82C65">
            <w:pPr>
              <w:spacing w:line="360" w:lineRule="auto"/>
              <w:jc w:val="center"/>
              <w:cnfStyle w:val="000000100000"/>
              <w:rPr>
                <w:rFonts w:asciiTheme="majorBidi" w:hAnsiTheme="majorBidi" w:cstheme="majorBidi"/>
                <w:b/>
                <w:bCs/>
                <w:color w:val="FFFFFF" w:themeColor="background1"/>
                <w:sz w:val="24"/>
                <w:szCs w:val="24"/>
              </w:rPr>
            </w:pPr>
            <w:r w:rsidRPr="00C82C65">
              <w:rPr>
                <w:rFonts w:asciiTheme="majorBidi" w:hAnsiTheme="majorBidi" w:cstheme="majorBidi"/>
                <w:b/>
                <w:bCs/>
                <w:color w:val="FFFFFF" w:themeColor="background1"/>
                <w:sz w:val="24"/>
                <w:szCs w:val="24"/>
              </w:rPr>
              <w:t>1 100 163 676.71</w:t>
            </w:r>
          </w:p>
        </w:tc>
      </w:tr>
    </w:tbl>
    <w:p w:rsidR="00C85A6E" w:rsidRPr="004B02FB" w:rsidRDefault="003A03AF" w:rsidP="00C85A6E">
      <w:pPr>
        <w:autoSpaceDE w:val="0"/>
        <w:autoSpaceDN w:val="0"/>
        <w:adjustRightInd w:val="0"/>
        <w:spacing w:after="0" w:line="360" w:lineRule="auto"/>
        <w:jc w:val="both"/>
        <w:rPr>
          <w:rFonts w:ascii="Times New Roman" w:hAnsi="Times New Roman" w:cs="Times New Roman"/>
          <w:b/>
          <w:bCs/>
          <w:sz w:val="24"/>
          <w:szCs w:val="24"/>
        </w:rPr>
      </w:pPr>
      <w:r w:rsidRPr="004B02FB">
        <w:rPr>
          <w:rFonts w:ascii="Times New Roman" w:hAnsi="Times New Roman" w:cs="Times New Roman"/>
          <w:b/>
          <w:bCs/>
          <w:sz w:val="24"/>
          <w:szCs w:val="24"/>
        </w:rPr>
        <w:t>Tableau N°</w:t>
      </w:r>
      <w:proofErr w:type="gramStart"/>
      <w:r w:rsidR="00B73BA9">
        <w:rPr>
          <w:rFonts w:ascii="Times New Roman" w:hAnsi="Times New Roman" w:cs="Times New Roman"/>
          <w:b/>
          <w:bCs/>
          <w:sz w:val="24"/>
          <w:szCs w:val="24"/>
        </w:rPr>
        <w:t>11</w:t>
      </w:r>
      <w:r w:rsidRPr="004B02FB">
        <w:rPr>
          <w:rFonts w:ascii="Times New Roman" w:hAnsi="Times New Roman" w:cs="Times New Roman"/>
          <w:b/>
          <w:bCs/>
          <w:sz w:val="24"/>
          <w:szCs w:val="24"/>
        </w:rPr>
        <w:t>:</w:t>
      </w:r>
      <w:proofErr w:type="gramEnd"/>
      <w:r w:rsidR="00133F7A">
        <w:rPr>
          <w:rFonts w:ascii="Times New Roman" w:hAnsi="Times New Roman" w:cs="Times New Roman"/>
          <w:b/>
          <w:bCs/>
          <w:sz w:val="24"/>
          <w:szCs w:val="24"/>
        </w:rPr>
        <w:t xml:space="preserve"> </w:t>
      </w:r>
      <w:r w:rsidR="00133F7A" w:rsidRPr="00D944B1">
        <w:rPr>
          <w:rFonts w:asciiTheme="majorBidi" w:hAnsiTheme="majorBidi" w:cstheme="majorBidi"/>
          <w:b/>
          <w:bCs/>
        </w:rPr>
        <w:t>La marge de</w:t>
      </w:r>
      <w:r w:rsidR="00133F7A">
        <w:rPr>
          <w:rFonts w:asciiTheme="majorBidi" w:hAnsiTheme="majorBidi" w:cstheme="majorBidi"/>
          <w:b/>
          <w:bCs/>
        </w:rPr>
        <w:t xml:space="preserve"> solvabilité</w:t>
      </w:r>
      <w:r w:rsidR="00133F7A" w:rsidRPr="00D944B1">
        <w:rPr>
          <w:rFonts w:asciiTheme="majorBidi" w:hAnsiTheme="majorBidi" w:cstheme="majorBidi"/>
          <w:b/>
          <w:bCs/>
        </w:rPr>
        <w:t xml:space="preserve"> réglementaire pour l’activité non vie</w:t>
      </w:r>
      <w:r w:rsidR="004743EE">
        <w:rPr>
          <w:rFonts w:asciiTheme="majorBidi" w:hAnsiTheme="majorBidi" w:cstheme="majorBidi"/>
          <w:b/>
          <w:bCs/>
        </w:rPr>
        <w:t xml:space="preserve"> </w:t>
      </w:r>
      <w:r w:rsidR="00D74355">
        <w:rPr>
          <w:rFonts w:asciiTheme="majorBidi" w:hAnsiTheme="majorBidi" w:cstheme="majorBidi"/>
          <w:b/>
          <w:bCs/>
        </w:rPr>
        <w:t xml:space="preserve">par la méthode de la charge de sinistre </w:t>
      </w:r>
      <w:r w:rsidR="00BD5ACB">
        <w:rPr>
          <w:rFonts w:asciiTheme="majorBidi" w:hAnsiTheme="majorBidi" w:cstheme="majorBidi"/>
          <w:b/>
          <w:bCs/>
        </w:rPr>
        <w:t>(</w:t>
      </w:r>
      <w:r w:rsidR="00D624C2">
        <w:rPr>
          <w:rFonts w:asciiTheme="majorBidi" w:hAnsiTheme="majorBidi" w:cstheme="majorBidi"/>
          <w:b/>
          <w:bCs/>
        </w:rPr>
        <w:t>CAAT</w:t>
      </w:r>
      <w:r w:rsidR="00BD5ACB">
        <w:rPr>
          <w:rFonts w:asciiTheme="majorBidi" w:hAnsiTheme="majorBidi" w:cstheme="majorBidi"/>
          <w:b/>
          <w:bCs/>
        </w:rPr>
        <w:t>)</w:t>
      </w:r>
      <w:r w:rsidR="00133F7A">
        <w:rPr>
          <w:rFonts w:asciiTheme="majorBidi" w:hAnsiTheme="majorBidi" w:cstheme="majorBidi"/>
          <w:b/>
          <w:bCs/>
        </w:rPr>
        <w:t xml:space="preserve"> </w:t>
      </w:r>
      <w:r w:rsidRPr="004B02FB">
        <w:rPr>
          <w:rFonts w:ascii="Times New Roman" w:hAnsi="Times New Roman" w:cs="Times New Roman"/>
          <w:b/>
          <w:bCs/>
          <w:sz w:val="24"/>
          <w:szCs w:val="24"/>
        </w:rPr>
        <w:t xml:space="preserve"> </w:t>
      </w:r>
    </w:p>
    <w:p w:rsidR="00E90F68" w:rsidRPr="00D944B1" w:rsidRDefault="00E90F68" w:rsidP="00E90F68">
      <w:pPr>
        <w:spacing w:line="360" w:lineRule="auto"/>
        <w:jc w:val="both"/>
        <w:rPr>
          <w:rFonts w:asciiTheme="majorBidi" w:hAnsiTheme="majorBidi" w:cstheme="majorBidi"/>
        </w:rPr>
      </w:pPr>
      <w:r w:rsidRPr="00D944B1">
        <w:rPr>
          <w:rFonts w:asciiTheme="majorBidi" w:hAnsiTheme="majorBidi" w:cstheme="majorBidi"/>
        </w:rPr>
        <w:t xml:space="preserve">(*)La charge moyenne annuelle des sinistres relatifs au trois derniers exercices se détaille comme </w:t>
      </w:r>
      <w:proofErr w:type="gramStart"/>
      <w:r w:rsidRPr="00D944B1">
        <w:rPr>
          <w:rFonts w:asciiTheme="majorBidi" w:hAnsiTheme="majorBidi" w:cstheme="majorBidi"/>
        </w:rPr>
        <w:t>suit:</w:t>
      </w:r>
      <w:proofErr w:type="gramEnd"/>
      <w:r w:rsidRPr="00D944B1">
        <w:rPr>
          <w:rFonts w:asciiTheme="majorBidi" w:hAnsiTheme="majorBidi" w:cstheme="majorBidi"/>
        </w:rPr>
        <w:t xml:space="preserve"> </w:t>
      </w:r>
    </w:p>
    <w:tbl>
      <w:tblPr>
        <w:tblStyle w:val="Tramemoyenne1-Accent4"/>
        <w:tblW w:w="5000" w:type="pct"/>
        <w:tblLook w:val="04A0"/>
      </w:tblPr>
      <w:tblGrid>
        <w:gridCol w:w="3871"/>
        <w:gridCol w:w="1313"/>
        <w:gridCol w:w="1314"/>
        <w:gridCol w:w="1314"/>
        <w:gridCol w:w="1476"/>
      </w:tblGrid>
      <w:tr w:rsidR="00794D5B" w:rsidRPr="00D944B1" w:rsidTr="00A0446A">
        <w:trPr>
          <w:cnfStyle w:val="100000000000"/>
          <w:trHeight w:val="762"/>
        </w:trPr>
        <w:tc>
          <w:tcPr>
            <w:cnfStyle w:val="001000000000"/>
            <w:tcW w:w="2102" w:type="pct"/>
            <w:noWrap/>
            <w:hideMark/>
          </w:tcPr>
          <w:p w:rsidR="00E90F68" w:rsidRPr="00D944B1" w:rsidRDefault="00E90F68" w:rsidP="00A0446A">
            <w:pPr>
              <w:spacing w:line="360" w:lineRule="auto"/>
              <w:jc w:val="both"/>
              <w:rPr>
                <w:rFonts w:asciiTheme="majorBidi" w:hAnsiTheme="majorBidi" w:cstheme="majorBidi"/>
                <w:b w:val="0"/>
                <w:bCs w:val="0"/>
                <w:sz w:val="24"/>
                <w:szCs w:val="24"/>
              </w:rPr>
            </w:pPr>
            <w:r w:rsidRPr="00D944B1">
              <w:rPr>
                <w:rFonts w:asciiTheme="majorBidi" w:hAnsiTheme="majorBidi" w:cstheme="majorBidi"/>
                <w:sz w:val="24"/>
                <w:szCs w:val="24"/>
              </w:rPr>
              <w:t>Paramètres</w:t>
            </w:r>
          </w:p>
        </w:tc>
        <w:tc>
          <w:tcPr>
            <w:tcW w:w="725" w:type="pct"/>
            <w:noWrap/>
            <w:hideMark/>
          </w:tcPr>
          <w:p w:rsidR="00E90F68" w:rsidRPr="004B02FB" w:rsidRDefault="00E90F68" w:rsidP="00A0446A">
            <w:pPr>
              <w:spacing w:line="360" w:lineRule="auto"/>
              <w:jc w:val="both"/>
              <w:cnfStyle w:val="100000000000"/>
              <w:rPr>
                <w:rFonts w:asciiTheme="majorBidi" w:hAnsiTheme="majorBidi" w:cstheme="majorBidi"/>
                <w:sz w:val="24"/>
                <w:szCs w:val="24"/>
              </w:rPr>
            </w:pPr>
            <w:r w:rsidRPr="004B02FB">
              <w:rPr>
                <w:rFonts w:asciiTheme="majorBidi" w:hAnsiTheme="majorBidi" w:cstheme="majorBidi"/>
                <w:sz w:val="24"/>
                <w:szCs w:val="24"/>
              </w:rPr>
              <w:t>200</w:t>
            </w:r>
            <w:r w:rsidR="00794D5B" w:rsidRPr="004B02FB">
              <w:rPr>
                <w:rFonts w:asciiTheme="majorBidi" w:hAnsiTheme="majorBidi" w:cstheme="majorBidi"/>
                <w:sz w:val="24"/>
                <w:szCs w:val="24"/>
              </w:rPr>
              <w:t>9</w:t>
            </w:r>
          </w:p>
        </w:tc>
        <w:tc>
          <w:tcPr>
            <w:tcW w:w="725" w:type="pct"/>
            <w:noWrap/>
            <w:hideMark/>
          </w:tcPr>
          <w:p w:rsidR="00E90F68" w:rsidRPr="004B02FB" w:rsidRDefault="00E90F68" w:rsidP="00A0446A">
            <w:pPr>
              <w:spacing w:line="360" w:lineRule="auto"/>
              <w:jc w:val="both"/>
              <w:cnfStyle w:val="100000000000"/>
              <w:rPr>
                <w:rFonts w:asciiTheme="majorBidi" w:hAnsiTheme="majorBidi" w:cstheme="majorBidi"/>
                <w:sz w:val="24"/>
                <w:szCs w:val="24"/>
              </w:rPr>
            </w:pPr>
            <w:r w:rsidRPr="004B02FB">
              <w:rPr>
                <w:rFonts w:asciiTheme="majorBidi" w:hAnsiTheme="majorBidi" w:cstheme="majorBidi"/>
                <w:sz w:val="24"/>
                <w:szCs w:val="24"/>
              </w:rPr>
              <w:t>20</w:t>
            </w:r>
            <w:r w:rsidR="00794D5B" w:rsidRPr="004B02FB">
              <w:rPr>
                <w:rFonts w:asciiTheme="majorBidi" w:hAnsiTheme="majorBidi" w:cstheme="majorBidi"/>
                <w:sz w:val="24"/>
                <w:szCs w:val="24"/>
              </w:rPr>
              <w:t>10</w:t>
            </w:r>
          </w:p>
        </w:tc>
        <w:tc>
          <w:tcPr>
            <w:tcW w:w="725" w:type="pct"/>
            <w:noWrap/>
            <w:hideMark/>
          </w:tcPr>
          <w:p w:rsidR="00E90F68" w:rsidRPr="004B02FB" w:rsidRDefault="00E90F68" w:rsidP="00A0446A">
            <w:pPr>
              <w:spacing w:line="360" w:lineRule="auto"/>
              <w:jc w:val="both"/>
              <w:cnfStyle w:val="100000000000"/>
              <w:rPr>
                <w:rFonts w:asciiTheme="majorBidi" w:hAnsiTheme="majorBidi" w:cstheme="majorBidi"/>
                <w:sz w:val="24"/>
                <w:szCs w:val="24"/>
              </w:rPr>
            </w:pPr>
            <w:r w:rsidRPr="004B02FB">
              <w:rPr>
                <w:rFonts w:asciiTheme="majorBidi" w:hAnsiTheme="majorBidi" w:cstheme="majorBidi"/>
                <w:sz w:val="24"/>
                <w:szCs w:val="24"/>
              </w:rPr>
              <w:t>201</w:t>
            </w:r>
            <w:r w:rsidR="00794D5B" w:rsidRPr="004B02FB">
              <w:rPr>
                <w:rFonts w:asciiTheme="majorBidi" w:hAnsiTheme="majorBidi" w:cstheme="majorBidi"/>
                <w:sz w:val="24"/>
                <w:szCs w:val="24"/>
              </w:rPr>
              <w:t>1</w:t>
            </w:r>
          </w:p>
        </w:tc>
        <w:tc>
          <w:tcPr>
            <w:tcW w:w="723" w:type="pct"/>
            <w:noWrap/>
            <w:hideMark/>
          </w:tcPr>
          <w:p w:rsidR="00E90F68" w:rsidRPr="004B02FB" w:rsidRDefault="00E90F68" w:rsidP="00A0446A">
            <w:pPr>
              <w:spacing w:line="360" w:lineRule="auto"/>
              <w:jc w:val="both"/>
              <w:cnfStyle w:val="100000000000"/>
              <w:rPr>
                <w:rFonts w:asciiTheme="majorBidi" w:hAnsiTheme="majorBidi" w:cstheme="majorBidi"/>
                <w:sz w:val="24"/>
                <w:szCs w:val="24"/>
              </w:rPr>
            </w:pPr>
            <w:r w:rsidRPr="004B02FB">
              <w:rPr>
                <w:rFonts w:asciiTheme="majorBidi" w:hAnsiTheme="majorBidi" w:cstheme="majorBidi"/>
                <w:sz w:val="24"/>
                <w:szCs w:val="24"/>
              </w:rPr>
              <w:t>Total</w:t>
            </w:r>
          </w:p>
        </w:tc>
      </w:tr>
      <w:tr w:rsidR="00794D5B" w:rsidRPr="00D944B1" w:rsidTr="00A0446A">
        <w:trPr>
          <w:cnfStyle w:val="000000100000"/>
          <w:trHeight w:val="762"/>
        </w:trPr>
        <w:tc>
          <w:tcPr>
            <w:cnfStyle w:val="001000000000"/>
            <w:tcW w:w="2102" w:type="pct"/>
            <w:hideMark/>
          </w:tcPr>
          <w:p w:rsidR="00E90F68" w:rsidRPr="00D944B1" w:rsidRDefault="00E90F68" w:rsidP="00A0446A">
            <w:pPr>
              <w:spacing w:line="360" w:lineRule="auto"/>
              <w:jc w:val="both"/>
              <w:rPr>
                <w:rFonts w:asciiTheme="majorBidi" w:hAnsiTheme="majorBidi" w:cstheme="majorBidi"/>
                <w:sz w:val="24"/>
                <w:szCs w:val="24"/>
              </w:rPr>
            </w:pPr>
            <w:r w:rsidRPr="00D944B1">
              <w:rPr>
                <w:rFonts w:asciiTheme="majorBidi" w:hAnsiTheme="majorBidi" w:cstheme="majorBidi"/>
                <w:sz w:val="24"/>
                <w:szCs w:val="24"/>
              </w:rPr>
              <w:t>La charge annuelle des sinistres</w:t>
            </w:r>
          </w:p>
        </w:tc>
        <w:tc>
          <w:tcPr>
            <w:tcW w:w="725" w:type="pct"/>
            <w:noWrap/>
            <w:hideMark/>
          </w:tcPr>
          <w:p w:rsidR="00E90F68" w:rsidRPr="004B02FB" w:rsidRDefault="00794D5B" w:rsidP="00A0446A">
            <w:pPr>
              <w:spacing w:line="360" w:lineRule="auto"/>
              <w:jc w:val="both"/>
              <w:cnfStyle w:val="000000100000"/>
              <w:rPr>
                <w:rFonts w:asciiTheme="majorBidi" w:hAnsiTheme="majorBidi" w:cstheme="majorBidi"/>
                <w:sz w:val="24"/>
                <w:szCs w:val="24"/>
              </w:rPr>
            </w:pPr>
            <w:r w:rsidRPr="004B02FB">
              <w:rPr>
                <w:rFonts w:asciiTheme="majorBidi" w:hAnsiTheme="majorBidi" w:cstheme="majorBidi"/>
                <w:sz w:val="24"/>
                <w:szCs w:val="24"/>
              </w:rPr>
              <w:t xml:space="preserve">7 007 905   </w:t>
            </w:r>
          </w:p>
        </w:tc>
        <w:tc>
          <w:tcPr>
            <w:tcW w:w="725" w:type="pct"/>
            <w:noWrap/>
            <w:hideMark/>
          </w:tcPr>
          <w:p w:rsidR="00E90F68" w:rsidRPr="004B02FB" w:rsidRDefault="00794D5B" w:rsidP="00A0446A">
            <w:pPr>
              <w:spacing w:line="360" w:lineRule="auto"/>
              <w:jc w:val="both"/>
              <w:cnfStyle w:val="000000100000"/>
              <w:rPr>
                <w:rFonts w:asciiTheme="majorBidi" w:hAnsiTheme="majorBidi" w:cstheme="majorBidi"/>
                <w:sz w:val="24"/>
                <w:szCs w:val="24"/>
              </w:rPr>
            </w:pPr>
            <w:r w:rsidRPr="004B02FB">
              <w:rPr>
                <w:rFonts w:asciiTheme="majorBidi" w:hAnsiTheme="majorBidi" w:cstheme="majorBidi"/>
                <w:sz w:val="24"/>
                <w:szCs w:val="24"/>
              </w:rPr>
              <w:t xml:space="preserve">7 794 410   </w:t>
            </w:r>
          </w:p>
        </w:tc>
        <w:tc>
          <w:tcPr>
            <w:tcW w:w="725" w:type="pct"/>
            <w:noWrap/>
            <w:hideMark/>
          </w:tcPr>
          <w:p w:rsidR="00E90F68" w:rsidRPr="004B02FB" w:rsidRDefault="00794D5B" w:rsidP="00A0446A">
            <w:pPr>
              <w:spacing w:line="360" w:lineRule="auto"/>
              <w:jc w:val="both"/>
              <w:cnfStyle w:val="000000100000"/>
              <w:rPr>
                <w:rFonts w:asciiTheme="majorBidi" w:hAnsiTheme="majorBidi" w:cstheme="majorBidi"/>
                <w:sz w:val="24"/>
                <w:szCs w:val="24"/>
              </w:rPr>
            </w:pPr>
            <w:r w:rsidRPr="004B02FB">
              <w:rPr>
                <w:rFonts w:asciiTheme="majorBidi" w:hAnsiTheme="majorBidi" w:cstheme="majorBidi"/>
                <w:sz w:val="24"/>
                <w:szCs w:val="24"/>
              </w:rPr>
              <w:t xml:space="preserve">6 680 729  </w:t>
            </w:r>
          </w:p>
        </w:tc>
        <w:tc>
          <w:tcPr>
            <w:tcW w:w="723" w:type="pct"/>
            <w:noWrap/>
            <w:hideMark/>
          </w:tcPr>
          <w:p w:rsidR="00E90F68" w:rsidRPr="004B02FB" w:rsidRDefault="00794D5B" w:rsidP="00A0446A">
            <w:pPr>
              <w:spacing w:line="360" w:lineRule="auto"/>
              <w:jc w:val="both"/>
              <w:cnfStyle w:val="000000100000"/>
              <w:rPr>
                <w:rFonts w:asciiTheme="majorBidi" w:hAnsiTheme="majorBidi" w:cstheme="majorBidi"/>
                <w:sz w:val="24"/>
                <w:szCs w:val="24"/>
              </w:rPr>
            </w:pPr>
            <w:r w:rsidRPr="004B02FB">
              <w:rPr>
                <w:rFonts w:asciiTheme="majorBidi" w:hAnsiTheme="majorBidi" w:cstheme="majorBidi"/>
                <w:sz w:val="24"/>
                <w:szCs w:val="24"/>
              </w:rPr>
              <w:t xml:space="preserve">21 483 044   </w:t>
            </w:r>
          </w:p>
        </w:tc>
      </w:tr>
      <w:tr w:rsidR="00794D5B" w:rsidRPr="004B02FB" w:rsidTr="00A0446A">
        <w:trPr>
          <w:cnfStyle w:val="000000010000"/>
          <w:trHeight w:val="762"/>
        </w:trPr>
        <w:tc>
          <w:tcPr>
            <w:cnfStyle w:val="001000000000"/>
            <w:tcW w:w="2102" w:type="pct"/>
            <w:hideMark/>
          </w:tcPr>
          <w:p w:rsidR="00E90F68" w:rsidRPr="004B02FB" w:rsidRDefault="00E90F68" w:rsidP="00A0446A">
            <w:pPr>
              <w:spacing w:line="360" w:lineRule="auto"/>
              <w:jc w:val="both"/>
              <w:rPr>
                <w:rFonts w:asciiTheme="majorBidi" w:hAnsiTheme="majorBidi" w:cstheme="majorBidi"/>
                <w:sz w:val="24"/>
                <w:szCs w:val="24"/>
              </w:rPr>
            </w:pPr>
            <w:r w:rsidRPr="004B02FB">
              <w:rPr>
                <w:rFonts w:asciiTheme="majorBidi" w:hAnsiTheme="majorBidi" w:cstheme="majorBidi"/>
                <w:sz w:val="24"/>
                <w:szCs w:val="24"/>
              </w:rPr>
              <w:t>la charge moyenne annuelle des sinistres des trois derniers exercices</w:t>
            </w:r>
          </w:p>
        </w:tc>
        <w:tc>
          <w:tcPr>
            <w:tcW w:w="725" w:type="pct"/>
            <w:noWrap/>
            <w:hideMark/>
          </w:tcPr>
          <w:p w:rsidR="00E90F68" w:rsidRPr="004B02FB" w:rsidRDefault="00E90F68" w:rsidP="00A0446A">
            <w:pPr>
              <w:spacing w:line="360" w:lineRule="auto"/>
              <w:jc w:val="both"/>
              <w:cnfStyle w:val="000000010000"/>
              <w:rPr>
                <w:rFonts w:asciiTheme="majorBidi" w:hAnsiTheme="majorBidi" w:cstheme="majorBidi"/>
                <w:sz w:val="24"/>
                <w:szCs w:val="24"/>
              </w:rPr>
            </w:pPr>
          </w:p>
        </w:tc>
        <w:tc>
          <w:tcPr>
            <w:tcW w:w="725" w:type="pct"/>
            <w:noWrap/>
            <w:hideMark/>
          </w:tcPr>
          <w:p w:rsidR="00E90F68" w:rsidRPr="004B02FB" w:rsidRDefault="00E90F68" w:rsidP="00A0446A">
            <w:pPr>
              <w:spacing w:line="360" w:lineRule="auto"/>
              <w:jc w:val="both"/>
              <w:cnfStyle w:val="000000010000"/>
              <w:rPr>
                <w:rFonts w:asciiTheme="majorBidi" w:hAnsiTheme="majorBidi" w:cstheme="majorBidi"/>
                <w:sz w:val="24"/>
                <w:szCs w:val="24"/>
              </w:rPr>
            </w:pPr>
          </w:p>
        </w:tc>
        <w:tc>
          <w:tcPr>
            <w:tcW w:w="725" w:type="pct"/>
            <w:noWrap/>
            <w:hideMark/>
          </w:tcPr>
          <w:p w:rsidR="00E90F68" w:rsidRPr="004B02FB" w:rsidRDefault="00E90F68" w:rsidP="00A0446A">
            <w:pPr>
              <w:spacing w:line="360" w:lineRule="auto"/>
              <w:jc w:val="both"/>
              <w:cnfStyle w:val="000000010000"/>
              <w:rPr>
                <w:rFonts w:asciiTheme="majorBidi" w:hAnsiTheme="majorBidi" w:cstheme="majorBidi"/>
                <w:sz w:val="24"/>
                <w:szCs w:val="24"/>
              </w:rPr>
            </w:pPr>
          </w:p>
        </w:tc>
        <w:tc>
          <w:tcPr>
            <w:tcW w:w="723" w:type="pct"/>
            <w:noWrap/>
            <w:hideMark/>
          </w:tcPr>
          <w:p w:rsidR="00E90F68" w:rsidRPr="004B02FB" w:rsidRDefault="00794D5B" w:rsidP="00A0446A">
            <w:pPr>
              <w:spacing w:line="360" w:lineRule="auto"/>
              <w:jc w:val="both"/>
              <w:cnfStyle w:val="000000010000"/>
              <w:rPr>
                <w:rFonts w:asciiTheme="majorBidi" w:hAnsiTheme="majorBidi" w:cstheme="majorBidi"/>
                <w:b/>
                <w:bCs/>
                <w:sz w:val="24"/>
                <w:szCs w:val="24"/>
              </w:rPr>
            </w:pPr>
            <w:r w:rsidRPr="004B02FB">
              <w:rPr>
                <w:rFonts w:asciiTheme="majorBidi" w:hAnsiTheme="majorBidi" w:cstheme="majorBidi"/>
                <w:b/>
                <w:bCs/>
                <w:sz w:val="24"/>
                <w:szCs w:val="24"/>
              </w:rPr>
              <w:t xml:space="preserve">7 161 014.67   </w:t>
            </w:r>
          </w:p>
        </w:tc>
      </w:tr>
    </w:tbl>
    <w:p w:rsidR="00BD5ACB" w:rsidRDefault="006321E0" w:rsidP="00755704">
      <w:pPr>
        <w:autoSpaceDE w:val="0"/>
        <w:autoSpaceDN w:val="0"/>
        <w:adjustRightInd w:val="0"/>
        <w:spacing w:after="0" w:line="360" w:lineRule="auto"/>
        <w:jc w:val="both"/>
        <w:rPr>
          <w:rFonts w:ascii="Times New Roman" w:hAnsi="Times New Roman" w:cs="Times New Roman"/>
          <w:b/>
          <w:bCs/>
          <w:sz w:val="24"/>
          <w:szCs w:val="24"/>
        </w:rPr>
      </w:pPr>
      <w:r w:rsidRPr="006321E0">
        <w:rPr>
          <w:rFonts w:ascii="Times New Roman" w:hAnsi="Times New Roman" w:cs="Times New Roman"/>
          <w:b/>
          <w:bCs/>
          <w:sz w:val="24"/>
          <w:szCs w:val="24"/>
        </w:rPr>
        <w:t>Tableau n°</w:t>
      </w:r>
      <w:proofErr w:type="gramStart"/>
      <w:r w:rsidR="00B73BA9">
        <w:rPr>
          <w:rFonts w:ascii="Times New Roman" w:hAnsi="Times New Roman" w:cs="Times New Roman"/>
          <w:b/>
          <w:bCs/>
          <w:sz w:val="24"/>
          <w:szCs w:val="24"/>
        </w:rPr>
        <w:t>12</w:t>
      </w:r>
      <w:r w:rsidR="00BD5ACB">
        <w:rPr>
          <w:rFonts w:ascii="Times New Roman" w:hAnsi="Times New Roman" w:cs="Times New Roman"/>
          <w:b/>
          <w:bCs/>
          <w:sz w:val="24"/>
          <w:szCs w:val="24"/>
        </w:rPr>
        <w:t>:</w:t>
      </w:r>
      <w:proofErr w:type="gramEnd"/>
      <w:r w:rsidR="00BD5ACB">
        <w:rPr>
          <w:rFonts w:ascii="Times New Roman" w:hAnsi="Times New Roman" w:cs="Times New Roman"/>
          <w:b/>
          <w:bCs/>
          <w:sz w:val="24"/>
          <w:szCs w:val="24"/>
        </w:rPr>
        <w:t xml:space="preserve"> L</w:t>
      </w:r>
      <w:r w:rsidR="00C85A6E">
        <w:rPr>
          <w:rFonts w:ascii="Times New Roman" w:hAnsi="Times New Roman" w:cs="Times New Roman"/>
          <w:b/>
          <w:bCs/>
          <w:sz w:val="24"/>
          <w:szCs w:val="24"/>
        </w:rPr>
        <w:t>e calcul de la charge moyenne annuelle des  sinistres</w:t>
      </w:r>
      <w:r w:rsidR="00E420E6">
        <w:rPr>
          <w:rFonts w:ascii="Times New Roman" w:hAnsi="Times New Roman" w:cs="Times New Roman"/>
          <w:b/>
          <w:bCs/>
          <w:sz w:val="24"/>
          <w:szCs w:val="24"/>
        </w:rPr>
        <w:t xml:space="preserve"> 2011</w:t>
      </w:r>
      <w:r w:rsidR="00D624C2">
        <w:rPr>
          <w:rFonts w:ascii="Times New Roman" w:hAnsi="Times New Roman" w:cs="Times New Roman"/>
          <w:b/>
          <w:bCs/>
          <w:sz w:val="24"/>
          <w:szCs w:val="24"/>
        </w:rPr>
        <w:t xml:space="preserve"> </w:t>
      </w:r>
      <w:r w:rsidR="00BD5ACB">
        <w:rPr>
          <w:rFonts w:ascii="Times New Roman" w:hAnsi="Times New Roman" w:cs="Times New Roman"/>
          <w:b/>
          <w:bCs/>
          <w:sz w:val="24"/>
          <w:szCs w:val="24"/>
        </w:rPr>
        <w:t>(</w:t>
      </w:r>
      <w:r w:rsidR="00D624C2">
        <w:rPr>
          <w:rFonts w:ascii="Times New Roman" w:hAnsi="Times New Roman" w:cs="Times New Roman"/>
          <w:b/>
          <w:bCs/>
          <w:sz w:val="24"/>
          <w:szCs w:val="24"/>
        </w:rPr>
        <w:t>CAAT</w:t>
      </w:r>
      <w:r w:rsidR="00BD5ACB">
        <w:rPr>
          <w:rFonts w:ascii="Times New Roman" w:hAnsi="Times New Roman" w:cs="Times New Roman"/>
          <w:b/>
          <w:bCs/>
          <w:sz w:val="24"/>
          <w:szCs w:val="24"/>
        </w:rPr>
        <w:t>)</w:t>
      </w:r>
      <w:r w:rsidR="00E420E6">
        <w:rPr>
          <w:rFonts w:ascii="Times New Roman" w:hAnsi="Times New Roman" w:cs="Times New Roman"/>
          <w:b/>
          <w:bCs/>
          <w:sz w:val="24"/>
          <w:szCs w:val="24"/>
        </w:rPr>
        <w:t xml:space="preserve"> </w:t>
      </w:r>
    </w:p>
    <w:p w:rsidR="00755704" w:rsidRPr="006321E0" w:rsidRDefault="00C85A6E" w:rsidP="00BD5AC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A03AF" w:rsidRDefault="004B02FB" w:rsidP="00A07EB5">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r>
      <w:r w:rsidR="001A0ABC">
        <w:rPr>
          <w:rFonts w:ascii="Times New Roman" w:hAnsi="Times New Roman" w:cs="Times New Roman"/>
          <w:sz w:val="24"/>
          <w:szCs w:val="24"/>
        </w:rPr>
        <w:t>Donc o</w:t>
      </w:r>
      <w:r w:rsidR="00794D5B">
        <w:rPr>
          <w:rFonts w:ascii="Times New Roman" w:hAnsi="Times New Roman" w:cs="Times New Roman"/>
          <w:sz w:val="24"/>
          <w:szCs w:val="24"/>
        </w:rPr>
        <w:t xml:space="preserve">n se basant sur la réglementation française le minimum </w:t>
      </w:r>
      <w:r w:rsidR="00D04C96">
        <w:rPr>
          <w:rFonts w:ascii="Times New Roman" w:hAnsi="Times New Roman" w:cs="Times New Roman"/>
          <w:sz w:val="24"/>
          <w:szCs w:val="24"/>
        </w:rPr>
        <w:t>réglementaire</w:t>
      </w:r>
      <w:r w:rsidR="00794D5B">
        <w:rPr>
          <w:rFonts w:ascii="Times New Roman" w:hAnsi="Times New Roman" w:cs="Times New Roman"/>
          <w:sz w:val="24"/>
          <w:szCs w:val="24"/>
        </w:rPr>
        <w:t xml:space="preserve"> passe de</w:t>
      </w:r>
      <w:r w:rsidR="00D04C96">
        <w:rPr>
          <w:rFonts w:ascii="Times New Roman" w:hAnsi="Times New Roman" w:cs="Times New Roman"/>
          <w:sz w:val="24"/>
          <w:szCs w:val="24"/>
        </w:rPr>
        <w:t xml:space="preserve"> </w:t>
      </w:r>
      <w:r w:rsidR="00D04C96">
        <w:rPr>
          <w:rFonts w:asciiTheme="majorBidi" w:hAnsiTheme="majorBidi" w:cstheme="majorBidi"/>
          <w:b/>
          <w:bCs/>
          <w:color w:val="000000"/>
          <w:sz w:val="24"/>
          <w:szCs w:val="24"/>
        </w:rPr>
        <w:t xml:space="preserve">2 480 240 648 DA </w:t>
      </w:r>
      <w:r w:rsidR="00D04C96" w:rsidRPr="00A07EB5">
        <w:rPr>
          <w:rFonts w:asciiTheme="majorBidi" w:hAnsiTheme="majorBidi" w:cstheme="majorBidi"/>
          <w:color w:val="000000"/>
          <w:sz w:val="24"/>
          <w:szCs w:val="24"/>
        </w:rPr>
        <w:t>à</w:t>
      </w:r>
      <w:r w:rsidR="00D04C96">
        <w:rPr>
          <w:rFonts w:ascii="Times New Roman" w:hAnsi="Times New Roman" w:cs="Times New Roman"/>
          <w:sz w:val="24"/>
          <w:szCs w:val="24"/>
        </w:rPr>
        <w:t xml:space="preserve"> </w:t>
      </w:r>
      <w:r w:rsidR="00A07EB5">
        <w:rPr>
          <w:rFonts w:ascii="Times New Roman" w:hAnsi="Times New Roman" w:cs="Times New Roman"/>
          <w:b/>
          <w:sz w:val="24"/>
        </w:rPr>
        <w:t>1 729 829 282 DA</w:t>
      </w:r>
      <w:r w:rsidR="00521A4F">
        <w:rPr>
          <w:rFonts w:ascii="Times New Roman" w:hAnsi="Times New Roman" w:cs="Times New Roman"/>
          <w:b/>
          <w:sz w:val="24"/>
        </w:rPr>
        <w:t xml:space="preserve"> </w:t>
      </w:r>
      <w:r w:rsidR="00CE6C00">
        <w:rPr>
          <w:rFonts w:ascii="Times New Roman" w:hAnsi="Times New Roman" w:cs="Times New Roman"/>
          <w:bCs/>
          <w:sz w:val="24"/>
        </w:rPr>
        <w:t>e</w:t>
      </w:r>
      <w:r w:rsidR="00521A4F" w:rsidRPr="00CE6C00">
        <w:rPr>
          <w:rFonts w:ascii="Times New Roman" w:hAnsi="Times New Roman" w:cs="Times New Roman"/>
          <w:bCs/>
          <w:sz w:val="24"/>
        </w:rPr>
        <w:t>t</w:t>
      </w:r>
      <w:r w:rsidR="00521A4F">
        <w:rPr>
          <w:rFonts w:ascii="Times New Roman" w:hAnsi="Times New Roman" w:cs="Times New Roman"/>
          <w:b/>
          <w:sz w:val="24"/>
        </w:rPr>
        <w:t xml:space="preserve"> </w:t>
      </w:r>
      <w:r w:rsidR="00521A4F" w:rsidRPr="00CE6C00">
        <w:rPr>
          <w:rFonts w:ascii="Times New Roman" w:hAnsi="Times New Roman" w:cs="Times New Roman"/>
          <w:bCs/>
          <w:sz w:val="24"/>
        </w:rPr>
        <w:t>le taux de couverture augmente à</w:t>
      </w:r>
      <w:r w:rsidR="00521A4F">
        <w:rPr>
          <w:rFonts w:ascii="Times New Roman" w:hAnsi="Times New Roman" w:cs="Times New Roman"/>
          <w:b/>
          <w:sz w:val="24"/>
        </w:rPr>
        <w:t xml:space="preserve"> </w:t>
      </w:r>
      <w:r w:rsidR="00CE6C00">
        <w:rPr>
          <w:rFonts w:ascii="Times New Roman" w:hAnsi="Times New Roman" w:cs="Times New Roman"/>
          <w:b/>
          <w:sz w:val="24"/>
        </w:rPr>
        <w:t>969</w:t>
      </w:r>
      <w:proofErr w:type="gramStart"/>
      <w:r w:rsidR="00CE6C00">
        <w:rPr>
          <w:rFonts w:ascii="Times New Roman" w:hAnsi="Times New Roman" w:cs="Times New Roman"/>
          <w:b/>
          <w:sz w:val="24"/>
        </w:rPr>
        <w:t>%</w:t>
      </w:r>
      <w:r w:rsidR="00521A4F">
        <w:rPr>
          <w:rFonts w:ascii="Times New Roman" w:hAnsi="Times New Roman" w:cs="Times New Roman"/>
          <w:b/>
          <w:sz w:val="24"/>
        </w:rPr>
        <w:t xml:space="preserve"> </w:t>
      </w:r>
      <w:r w:rsidR="00A07EB5">
        <w:rPr>
          <w:rFonts w:ascii="Times New Roman" w:hAnsi="Times New Roman" w:cs="Times New Roman"/>
          <w:b/>
          <w:sz w:val="24"/>
        </w:rPr>
        <w:t xml:space="preserve"> </w:t>
      </w:r>
      <w:r w:rsidR="00521A4F" w:rsidRPr="00521A4F">
        <w:rPr>
          <w:rFonts w:ascii="Times New Roman" w:hAnsi="Times New Roman" w:cs="Times New Roman"/>
          <w:bCs/>
          <w:sz w:val="24"/>
        </w:rPr>
        <w:t>c'est</w:t>
      </w:r>
      <w:proofErr w:type="gramEnd"/>
      <w:r w:rsidR="00521A4F" w:rsidRPr="00521A4F">
        <w:rPr>
          <w:rFonts w:ascii="Times New Roman" w:hAnsi="Times New Roman" w:cs="Times New Roman"/>
          <w:bCs/>
          <w:sz w:val="24"/>
        </w:rPr>
        <w:t>-à-dire que la marge de solvabilité est surévaluée</w:t>
      </w:r>
      <w:r w:rsidR="00CE6C00">
        <w:rPr>
          <w:rFonts w:ascii="Times New Roman" w:hAnsi="Times New Roman" w:cs="Times New Roman"/>
          <w:bCs/>
          <w:sz w:val="24"/>
        </w:rPr>
        <w:t>.</w:t>
      </w:r>
      <w:r w:rsidR="00D04C96" w:rsidRPr="00521A4F">
        <w:rPr>
          <w:rFonts w:ascii="Times New Roman" w:hAnsi="Times New Roman" w:cs="Times New Roman"/>
          <w:bCs/>
          <w:sz w:val="24"/>
          <w:szCs w:val="24"/>
        </w:rPr>
        <w:t xml:space="preserve"> </w:t>
      </w:r>
      <w:r w:rsidR="00794D5B" w:rsidRPr="00521A4F">
        <w:rPr>
          <w:rFonts w:ascii="Times New Roman" w:hAnsi="Times New Roman" w:cs="Times New Roman"/>
          <w:bCs/>
          <w:sz w:val="24"/>
          <w:szCs w:val="24"/>
        </w:rPr>
        <w:t xml:space="preserve">  </w:t>
      </w:r>
      <w:r w:rsidR="001E7E83" w:rsidRPr="00521A4F">
        <w:rPr>
          <w:rFonts w:ascii="Times New Roman" w:hAnsi="Times New Roman" w:cs="Times New Roman"/>
          <w:bCs/>
          <w:sz w:val="24"/>
          <w:szCs w:val="24"/>
        </w:rPr>
        <w:t xml:space="preserve"> </w:t>
      </w:r>
    </w:p>
    <w:p w:rsidR="00453B1E" w:rsidRPr="003A03AF" w:rsidRDefault="00453B1E" w:rsidP="00D624C2">
      <w:pPr>
        <w:autoSpaceDE w:val="0"/>
        <w:autoSpaceDN w:val="0"/>
        <w:adjustRightInd w:val="0"/>
        <w:spacing w:after="0" w:line="240" w:lineRule="auto"/>
        <w:jc w:val="both"/>
        <w:rPr>
          <w:rFonts w:ascii="Times New Roman" w:hAnsi="Times New Roman" w:cs="Times New Roman"/>
          <w:sz w:val="24"/>
          <w:szCs w:val="24"/>
        </w:rPr>
      </w:pPr>
    </w:p>
    <w:p w:rsidR="00CB11FD" w:rsidRDefault="00F636E6" w:rsidP="00CC7304">
      <w:pPr>
        <w:pStyle w:val="Paragraphedeliste"/>
        <w:numPr>
          <w:ilvl w:val="0"/>
          <w:numId w:val="6"/>
        </w:numPr>
        <w:spacing w:line="360" w:lineRule="auto"/>
        <w:jc w:val="both"/>
        <w:rPr>
          <w:rFonts w:ascii="Times New Roman" w:hAnsi="Times New Roman" w:cs="Times New Roman"/>
          <w:b/>
          <w:bCs/>
          <w:sz w:val="24"/>
        </w:rPr>
      </w:pPr>
      <w:r w:rsidRPr="0058303B">
        <w:rPr>
          <w:rFonts w:ascii="Times New Roman" w:hAnsi="Times New Roman" w:cs="Times New Roman"/>
          <w:b/>
          <w:bCs/>
          <w:sz w:val="24"/>
        </w:rPr>
        <w:t>En assurance vie</w:t>
      </w:r>
    </w:p>
    <w:p w:rsidR="006C1B0F" w:rsidRDefault="00CB11FD" w:rsidP="00CC7304">
      <w:pPr>
        <w:pStyle w:val="Paragraphedeliste"/>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rPr>
        <w:tab/>
      </w:r>
      <w:r w:rsidR="00CC7304" w:rsidRPr="00CC7304">
        <w:rPr>
          <w:rFonts w:ascii="Times New Roman" w:hAnsi="Times New Roman" w:cs="Times New Roman"/>
          <w:sz w:val="24"/>
          <w:szCs w:val="24"/>
        </w:rPr>
        <w:t>Pour</w:t>
      </w:r>
      <w:r w:rsidR="00CC7304">
        <w:rPr>
          <w:rFonts w:ascii="Times New Roman" w:hAnsi="Times New Roman" w:cs="Times New Roman"/>
          <w:b/>
          <w:bCs/>
          <w:sz w:val="24"/>
          <w:szCs w:val="24"/>
        </w:rPr>
        <w:t xml:space="preserve"> </w:t>
      </w:r>
      <w:r w:rsidR="00CC7304" w:rsidRPr="00CC7304">
        <w:rPr>
          <w:rFonts w:ascii="Times New Roman" w:hAnsi="Times New Roman" w:cs="Times New Roman"/>
          <w:sz w:val="24"/>
          <w:szCs w:val="24"/>
        </w:rPr>
        <w:t>ce qui est marge de solvabilité en assurance vie,</w:t>
      </w:r>
      <w:r w:rsidR="00CC7304">
        <w:rPr>
          <w:rFonts w:ascii="Times New Roman" w:hAnsi="Times New Roman" w:cs="Times New Roman"/>
          <w:sz w:val="24"/>
          <w:szCs w:val="24"/>
        </w:rPr>
        <w:t xml:space="preserve"> on applique la même règle que l’assurance non vie (</w:t>
      </w:r>
      <w:r w:rsidR="00CC7304" w:rsidRPr="00CC7304">
        <w:rPr>
          <w:rFonts w:ascii="Times New Roman" w:hAnsi="Times New Roman" w:cs="Times New Roman"/>
          <w:sz w:val="24"/>
          <w:szCs w:val="24"/>
        </w:rPr>
        <w:t xml:space="preserve">Les taux de 15% et 20%, des dettes techniques et du chiffre d’affaires </w:t>
      </w:r>
      <w:r w:rsidR="00CC7304" w:rsidRPr="00CC7304">
        <w:rPr>
          <w:rFonts w:ascii="Times New Roman" w:hAnsi="Times New Roman" w:cs="Times New Roman"/>
          <w:sz w:val="24"/>
          <w:szCs w:val="24"/>
        </w:rPr>
        <w:lastRenderedPageBreak/>
        <w:t>respectivement)</w:t>
      </w:r>
      <w:r w:rsidR="006C1B0F">
        <w:rPr>
          <w:rFonts w:ascii="Times New Roman" w:hAnsi="Times New Roman" w:cs="Times New Roman"/>
          <w:sz w:val="24"/>
          <w:szCs w:val="24"/>
        </w:rPr>
        <w:t xml:space="preserve">, alors qu’il s’agit d’une activité d’épargne sur plusieurs années, donc ces taux là sont jugés très élevés. </w:t>
      </w:r>
    </w:p>
    <w:p w:rsidR="00C85A6E" w:rsidRDefault="006C1B0F" w:rsidP="00C85A6E">
      <w:pPr>
        <w:pStyle w:val="Paragraphedeliste"/>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C46309">
        <w:rPr>
          <w:rFonts w:ascii="Times New Roman" w:hAnsi="Times New Roman" w:cs="Times New Roman"/>
          <w:sz w:val="24"/>
          <w:szCs w:val="24"/>
        </w:rPr>
        <w:t>Un autre argument</w:t>
      </w:r>
      <w:r>
        <w:rPr>
          <w:rFonts w:ascii="Times New Roman" w:hAnsi="Times New Roman" w:cs="Times New Roman"/>
          <w:sz w:val="24"/>
          <w:szCs w:val="24"/>
        </w:rPr>
        <w:t xml:space="preserve"> pour réviser le système de la solvabilité des compagnies d’assurance</w:t>
      </w:r>
      <w:r w:rsidR="00C46309">
        <w:rPr>
          <w:rFonts w:ascii="Times New Roman" w:hAnsi="Times New Roman" w:cs="Times New Roman"/>
          <w:sz w:val="24"/>
          <w:szCs w:val="24"/>
        </w:rPr>
        <w:t>,</w:t>
      </w:r>
      <w:r>
        <w:rPr>
          <w:rFonts w:ascii="Times New Roman" w:hAnsi="Times New Roman" w:cs="Times New Roman"/>
          <w:sz w:val="24"/>
          <w:szCs w:val="24"/>
        </w:rPr>
        <w:t xml:space="preserve"> est l’</w:t>
      </w:r>
      <w:r w:rsidR="00546180">
        <w:rPr>
          <w:rFonts w:ascii="Times New Roman" w:hAnsi="Times New Roman" w:cs="Times New Roman"/>
          <w:sz w:val="24"/>
          <w:szCs w:val="24"/>
        </w:rPr>
        <w:t>introduction depuis 2010 de</w:t>
      </w:r>
      <w:r>
        <w:rPr>
          <w:rFonts w:ascii="Times New Roman" w:hAnsi="Times New Roman" w:cs="Times New Roman"/>
          <w:sz w:val="24"/>
          <w:szCs w:val="24"/>
        </w:rPr>
        <w:t xml:space="preserve"> nouvelles mesure</w:t>
      </w:r>
      <w:r w:rsidR="00546180">
        <w:rPr>
          <w:rFonts w:ascii="Times New Roman" w:hAnsi="Times New Roman" w:cs="Times New Roman"/>
          <w:sz w:val="24"/>
          <w:szCs w:val="24"/>
        </w:rPr>
        <w:t>s</w:t>
      </w:r>
      <w:r>
        <w:rPr>
          <w:rFonts w:ascii="Times New Roman" w:hAnsi="Times New Roman" w:cs="Times New Roman"/>
          <w:sz w:val="24"/>
          <w:szCs w:val="24"/>
        </w:rPr>
        <w:t xml:space="preserve"> par le système financier et comptabl</w:t>
      </w:r>
      <w:r w:rsidR="00547C79">
        <w:rPr>
          <w:rFonts w:ascii="Times New Roman" w:hAnsi="Times New Roman" w:cs="Times New Roman"/>
          <w:sz w:val="24"/>
          <w:szCs w:val="24"/>
        </w:rPr>
        <w:t>e</w:t>
      </w:r>
      <w:r w:rsidR="00546180">
        <w:rPr>
          <w:rFonts w:ascii="Times New Roman" w:hAnsi="Times New Roman" w:cs="Times New Roman"/>
          <w:sz w:val="24"/>
          <w:szCs w:val="24"/>
        </w:rPr>
        <w:t xml:space="preserve"> </w:t>
      </w:r>
      <w:r w:rsidR="00547C79">
        <w:rPr>
          <w:rFonts w:ascii="Times New Roman" w:hAnsi="Times New Roman" w:cs="Times New Roman"/>
          <w:sz w:val="24"/>
          <w:szCs w:val="24"/>
        </w:rPr>
        <w:t>(</w:t>
      </w:r>
      <w:r>
        <w:rPr>
          <w:rFonts w:ascii="Times New Roman" w:hAnsi="Times New Roman" w:cs="Times New Roman"/>
          <w:sz w:val="24"/>
          <w:szCs w:val="24"/>
        </w:rPr>
        <w:t>le passag</w:t>
      </w:r>
      <w:r w:rsidR="00547C79">
        <w:rPr>
          <w:rFonts w:ascii="Times New Roman" w:hAnsi="Times New Roman" w:cs="Times New Roman"/>
          <w:sz w:val="24"/>
          <w:szCs w:val="24"/>
        </w:rPr>
        <w:t>e du Plan Comptable et National (PCN) au Système Comptable Financier (SCF)).</w:t>
      </w:r>
    </w:p>
    <w:p w:rsidR="00453B1E" w:rsidRPr="00EE7241" w:rsidRDefault="000A02A3" w:rsidP="00EE7241">
      <w:pPr>
        <w:pStyle w:val="Paragraphedeliste"/>
        <w:spacing w:line="360" w:lineRule="auto"/>
        <w:ind w:left="0"/>
        <w:jc w:val="both"/>
        <w:rPr>
          <w:rFonts w:ascii="Times New Roman" w:hAnsi="Times New Roman" w:cs="Times New Roman"/>
          <w:sz w:val="24"/>
          <w:szCs w:val="24"/>
        </w:rPr>
      </w:pPr>
      <w:r>
        <w:rPr>
          <w:rFonts w:asciiTheme="majorBidi" w:hAnsiTheme="majorBidi" w:cstheme="majorBidi"/>
          <w:sz w:val="24"/>
          <w:szCs w:val="24"/>
        </w:rPr>
        <w:tab/>
      </w:r>
      <w:r w:rsidR="00546180" w:rsidRPr="00C46309">
        <w:rPr>
          <w:rFonts w:asciiTheme="majorBidi" w:hAnsiTheme="majorBidi" w:cstheme="majorBidi"/>
          <w:sz w:val="24"/>
          <w:szCs w:val="24"/>
        </w:rPr>
        <w:t>Il faut également tenir compte dans le système de la solvabilité</w:t>
      </w:r>
      <w:r w:rsidR="00C46309">
        <w:rPr>
          <w:rFonts w:asciiTheme="majorBidi" w:hAnsiTheme="majorBidi" w:cstheme="majorBidi"/>
          <w:sz w:val="24"/>
          <w:szCs w:val="24"/>
        </w:rPr>
        <w:t>,</w:t>
      </w:r>
      <w:r w:rsidR="00546180" w:rsidRPr="00C46309">
        <w:rPr>
          <w:rFonts w:asciiTheme="majorBidi" w:hAnsiTheme="majorBidi" w:cstheme="majorBidi"/>
          <w:sz w:val="24"/>
          <w:szCs w:val="24"/>
        </w:rPr>
        <w:t xml:space="preserve"> </w:t>
      </w:r>
      <w:r w:rsidR="00C46309" w:rsidRPr="00C46309">
        <w:rPr>
          <w:rFonts w:asciiTheme="majorBidi" w:hAnsiTheme="majorBidi" w:cstheme="majorBidi"/>
          <w:sz w:val="24"/>
          <w:szCs w:val="24"/>
        </w:rPr>
        <w:t>les changements qui se sont opérés au niveau du secteur des assurances</w:t>
      </w:r>
      <w:r w:rsidR="00C46309">
        <w:rPr>
          <w:rFonts w:asciiTheme="majorBidi" w:hAnsiTheme="majorBidi" w:cstheme="majorBidi"/>
          <w:sz w:val="24"/>
          <w:szCs w:val="24"/>
        </w:rPr>
        <w:t>,</w:t>
      </w:r>
      <w:r w:rsidR="00C46309" w:rsidRPr="00C46309">
        <w:rPr>
          <w:rFonts w:asciiTheme="majorBidi" w:hAnsiTheme="majorBidi" w:cstheme="majorBidi"/>
          <w:sz w:val="24"/>
          <w:szCs w:val="24"/>
        </w:rPr>
        <w:t xml:space="preserve"> avec la séparation des produits ’’assurance dommages’’ et ’’assurance de personnes’’</w:t>
      </w:r>
      <w:r w:rsidR="00C46309">
        <w:rPr>
          <w:rFonts w:asciiTheme="majorBidi" w:hAnsiTheme="majorBidi" w:cstheme="majorBidi"/>
          <w:sz w:val="24"/>
          <w:szCs w:val="24"/>
        </w:rPr>
        <w:t>.</w:t>
      </w:r>
      <w:r w:rsidR="00546180" w:rsidRPr="00C46309">
        <w:rPr>
          <w:rFonts w:asciiTheme="majorBidi" w:hAnsiTheme="majorBidi" w:cstheme="majorBidi"/>
          <w:sz w:val="24"/>
          <w:szCs w:val="24"/>
        </w:rPr>
        <w:t xml:space="preserve"> </w:t>
      </w:r>
      <w:r w:rsidR="006C1B0F" w:rsidRPr="00C46309">
        <w:rPr>
          <w:rFonts w:asciiTheme="majorBidi" w:hAnsiTheme="majorBidi" w:cstheme="majorBidi"/>
          <w:sz w:val="24"/>
          <w:szCs w:val="24"/>
        </w:rPr>
        <w:t xml:space="preserve">    </w:t>
      </w:r>
      <w:r w:rsidR="00CC7304" w:rsidRPr="00C46309">
        <w:rPr>
          <w:rFonts w:asciiTheme="majorBidi" w:hAnsiTheme="majorBidi" w:cstheme="majorBidi"/>
          <w:sz w:val="24"/>
          <w:szCs w:val="24"/>
        </w:rPr>
        <w:t xml:space="preserve"> </w:t>
      </w:r>
      <w:r w:rsidR="00453B1E">
        <w:rPr>
          <w:rFonts w:asciiTheme="majorBidi" w:hAnsiTheme="majorBidi" w:cstheme="majorBidi"/>
          <w:sz w:val="24"/>
          <w:szCs w:val="24"/>
        </w:rPr>
        <w:br w:type="page"/>
      </w:r>
    </w:p>
    <w:p w:rsidR="004B02FB" w:rsidRDefault="00BC4492" w:rsidP="00A4463B">
      <w:pPr>
        <w:pStyle w:val="Paragraphedeliste"/>
        <w:spacing w:line="360" w:lineRule="auto"/>
        <w:ind w:left="0"/>
        <w:jc w:val="both"/>
        <w:rPr>
          <w:rFonts w:asciiTheme="majorBidi" w:hAnsiTheme="majorBidi" w:cstheme="majorBidi"/>
          <w:b/>
          <w:bCs/>
          <w:sz w:val="28"/>
          <w:szCs w:val="28"/>
        </w:rPr>
      </w:pPr>
      <w:r w:rsidRPr="00BC4492">
        <w:rPr>
          <w:rFonts w:asciiTheme="majorBidi" w:hAnsiTheme="majorBidi" w:cstheme="majorBidi"/>
          <w:b/>
          <w:bCs/>
          <w:sz w:val="28"/>
          <w:szCs w:val="28"/>
        </w:rPr>
        <w:lastRenderedPageBreak/>
        <w:t xml:space="preserve">SECTION </w:t>
      </w:r>
      <w:proofErr w:type="gramStart"/>
      <w:r w:rsidRPr="00BC4492">
        <w:rPr>
          <w:rFonts w:asciiTheme="majorBidi" w:hAnsiTheme="majorBidi" w:cstheme="majorBidi"/>
          <w:b/>
          <w:bCs/>
          <w:sz w:val="28"/>
          <w:szCs w:val="28"/>
        </w:rPr>
        <w:t>03:</w:t>
      </w:r>
      <w:proofErr w:type="gramEnd"/>
      <w:r w:rsidRPr="00BC4492">
        <w:rPr>
          <w:rFonts w:asciiTheme="majorBidi" w:hAnsiTheme="majorBidi" w:cstheme="majorBidi"/>
          <w:b/>
          <w:bCs/>
          <w:sz w:val="28"/>
          <w:szCs w:val="28"/>
        </w:rPr>
        <w:t xml:space="preserve"> L’EXIGENCE EN</w:t>
      </w:r>
      <w:r>
        <w:rPr>
          <w:rFonts w:asciiTheme="majorBidi" w:hAnsiTheme="majorBidi" w:cstheme="majorBidi"/>
          <w:b/>
          <w:bCs/>
          <w:sz w:val="28"/>
          <w:szCs w:val="28"/>
        </w:rPr>
        <w:t xml:space="preserve"> </w:t>
      </w:r>
      <w:r w:rsidRPr="00BC4492">
        <w:rPr>
          <w:rFonts w:asciiTheme="majorBidi" w:hAnsiTheme="majorBidi" w:cstheme="majorBidi"/>
          <w:b/>
          <w:bCs/>
          <w:sz w:val="28"/>
          <w:szCs w:val="28"/>
        </w:rPr>
        <w:t xml:space="preserve"> FONDS PROPRE SOUS SOLVAB</w:t>
      </w:r>
      <w:r>
        <w:rPr>
          <w:rFonts w:asciiTheme="majorBidi" w:hAnsiTheme="majorBidi" w:cstheme="majorBidi"/>
          <w:b/>
          <w:bCs/>
          <w:sz w:val="28"/>
          <w:szCs w:val="28"/>
        </w:rPr>
        <w:t xml:space="preserve">ILITE </w:t>
      </w:r>
      <w:r w:rsidRPr="00BC4492">
        <w:rPr>
          <w:rFonts w:asciiTheme="majorBidi" w:hAnsiTheme="majorBidi" w:cstheme="majorBidi"/>
          <w:b/>
          <w:bCs/>
          <w:sz w:val="28"/>
          <w:szCs w:val="28"/>
        </w:rPr>
        <w:t xml:space="preserve">II </w:t>
      </w:r>
    </w:p>
    <w:p w:rsidR="00472DFA" w:rsidRPr="00BC4492" w:rsidRDefault="00472DFA" w:rsidP="00472DFA">
      <w:pPr>
        <w:pStyle w:val="Paragraphedeliste"/>
        <w:spacing w:line="240" w:lineRule="auto"/>
        <w:ind w:left="0"/>
        <w:jc w:val="both"/>
        <w:rPr>
          <w:rFonts w:asciiTheme="majorBidi" w:hAnsiTheme="majorBidi" w:cstheme="majorBidi"/>
          <w:b/>
          <w:bCs/>
          <w:sz w:val="28"/>
          <w:szCs w:val="28"/>
        </w:rPr>
      </w:pPr>
    </w:p>
    <w:p w:rsidR="00453B1E" w:rsidRPr="00951F85" w:rsidRDefault="00453B1E" w:rsidP="007646BD">
      <w:pPr>
        <w:pStyle w:val="Paragraphedeliste"/>
        <w:spacing w:line="360" w:lineRule="auto"/>
        <w:ind w:left="0"/>
        <w:jc w:val="both"/>
        <w:rPr>
          <w:rFonts w:asciiTheme="majorBidi" w:hAnsiTheme="majorBidi" w:cstheme="majorBidi"/>
          <w:sz w:val="24"/>
          <w:szCs w:val="24"/>
        </w:rPr>
      </w:pPr>
      <w:r w:rsidRPr="00951F85">
        <w:rPr>
          <w:rFonts w:asciiTheme="majorBidi" w:hAnsiTheme="majorBidi" w:cstheme="majorBidi"/>
          <w:sz w:val="24"/>
          <w:szCs w:val="24"/>
        </w:rPr>
        <w:t>Le projet solvabilité II définit de</w:t>
      </w:r>
      <w:r w:rsidR="00AE21D8">
        <w:rPr>
          <w:rFonts w:asciiTheme="majorBidi" w:hAnsiTheme="majorBidi" w:cstheme="majorBidi"/>
          <w:sz w:val="24"/>
          <w:szCs w:val="24"/>
        </w:rPr>
        <w:t xml:space="preserve">ux niveaux de besoin en </w:t>
      </w:r>
      <w:proofErr w:type="gramStart"/>
      <w:r w:rsidR="00AE21D8">
        <w:rPr>
          <w:rFonts w:asciiTheme="majorBidi" w:hAnsiTheme="majorBidi" w:cstheme="majorBidi"/>
          <w:sz w:val="24"/>
          <w:szCs w:val="24"/>
        </w:rPr>
        <w:t>capital</w:t>
      </w:r>
      <w:r w:rsidRPr="00951F85">
        <w:rPr>
          <w:rFonts w:asciiTheme="majorBidi" w:hAnsiTheme="majorBidi" w:cstheme="majorBidi"/>
          <w:sz w:val="24"/>
          <w:szCs w:val="24"/>
        </w:rPr>
        <w:t>:</w:t>
      </w:r>
      <w:proofErr w:type="gramEnd"/>
    </w:p>
    <w:p w:rsidR="00453B1E" w:rsidRPr="00951F85" w:rsidRDefault="00453B1E" w:rsidP="007646BD">
      <w:pPr>
        <w:pStyle w:val="Paragraphedeliste"/>
        <w:numPr>
          <w:ilvl w:val="0"/>
          <w:numId w:val="4"/>
        </w:numPr>
        <w:spacing w:line="360" w:lineRule="auto"/>
        <w:ind w:firstLine="66"/>
        <w:jc w:val="both"/>
        <w:rPr>
          <w:rFonts w:asciiTheme="majorBidi" w:hAnsiTheme="majorBidi" w:cstheme="majorBidi"/>
          <w:sz w:val="24"/>
          <w:szCs w:val="24"/>
        </w:rPr>
      </w:pPr>
      <w:r w:rsidRPr="00951F85">
        <w:rPr>
          <w:rFonts w:asciiTheme="majorBidi" w:hAnsiTheme="majorBidi" w:cstheme="majorBidi"/>
          <w:sz w:val="24"/>
          <w:szCs w:val="24"/>
        </w:rPr>
        <w:t>Le MCR qui est le capital minimum requis</w:t>
      </w:r>
    </w:p>
    <w:p w:rsidR="0058303B" w:rsidRPr="00951F85" w:rsidRDefault="00453B1E" w:rsidP="007646BD">
      <w:pPr>
        <w:pStyle w:val="Paragraphedeliste"/>
        <w:numPr>
          <w:ilvl w:val="0"/>
          <w:numId w:val="4"/>
        </w:numPr>
        <w:spacing w:line="360" w:lineRule="auto"/>
        <w:ind w:firstLine="66"/>
        <w:jc w:val="both"/>
        <w:rPr>
          <w:rFonts w:asciiTheme="majorBidi" w:hAnsiTheme="majorBidi" w:cstheme="majorBidi"/>
          <w:sz w:val="24"/>
          <w:szCs w:val="24"/>
        </w:rPr>
      </w:pPr>
      <w:r w:rsidRPr="00951F85">
        <w:rPr>
          <w:rFonts w:asciiTheme="majorBidi" w:hAnsiTheme="majorBidi" w:cstheme="majorBidi"/>
          <w:sz w:val="24"/>
          <w:szCs w:val="24"/>
        </w:rPr>
        <w:t xml:space="preserve"> Le SCR qui est le capital de solvabilité requis </w:t>
      </w:r>
    </w:p>
    <w:p w:rsidR="00951F85" w:rsidRDefault="00951F85" w:rsidP="007646BD">
      <w:pPr>
        <w:spacing w:line="360" w:lineRule="auto"/>
        <w:jc w:val="both"/>
        <w:rPr>
          <w:rFonts w:ascii="Times New Roman" w:hAnsi="Times New Roman" w:cs="Times New Roman"/>
          <w:sz w:val="24"/>
        </w:rPr>
      </w:pPr>
      <w:r w:rsidRPr="00951F85">
        <w:rPr>
          <w:rFonts w:ascii="Times New Roman" w:hAnsi="Times New Roman" w:cs="Times New Roman"/>
          <w:sz w:val="24"/>
        </w:rPr>
        <w:tab/>
      </w:r>
      <w:r w:rsidR="00453B1E" w:rsidRPr="00951F85">
        <w:rPr>
          <w:rFonts w:ascii="Times New Roman" w:hAnsi="Times New Roman" w:cs="Times New Roman"/>
          <w:sz w:val="24"/>
        </w:rPr>
        <w:t>Le SCR peut être calculé par le modèle interne ou la formule standard</w:t>
      </w:r>
      <w:r>
        <w:rPr>
          <w:rFonts w:ascii="Times New Roman" w:hAnsi="Times New Roman" w:cs="Times New Roman"/>
          <w:sz w:val="24"/>
        </w:rPr>
        <w:t>. V</w:t>
      </w:r>
      <w:r w:rsidR="00891B33">
        <w:rPr>
          <w:rFonts w:ascii="Times New Roman" w:hAnsi="Times New Roman" w:cs="Times New Roman"/>
          <w:sz w:val="24"/>
        </w:rPr>
        <w:t xml:space="preserve">u </w:t>
      </w:r>
      <w:r w:rsidR="00453B1E" w:rsidRPr="00951F85">
        <w:rPr>
          <w:rFonts w:ascii="Times New Roman" w:hAnsi="Times New Roman" w:cs="Times New Roman"/>
          <w:sz w:val="24"/>
        </w:rPr>
        <w:t>la complexité</w:t>
      </w:r>
      <w:r w:rsidRPr="00951F85">
        <w:rPr>
          <w:rFonts w:ascii="Times New Roman" w:hAnsi="Times New Roman" w:cs="Times New Roman"/>
          <w:sz w:val="24"/>
        </w:rPr>
        <w:t xml:space="preserve"> du développement d’un modèle interne</w:t>
      </w:r>
      <w:r>
        <w:rPr>
          <w:rFonts w:ascii="Times New Roman" w:hAnsi="Times New Roman" w:cs="Times New Roman"/>
          <w:sz w:val="24"/>
        </w:rPr>
        <w:t>,</w:t>
      </w:r>
      <w:r w:rsidRPr="00951F85">
        <w:rPr>
          <w:rFonts w:ascii="Times New Roman" w:hAnsi="Times New Roman" w:cs="Times New Roman"/>
          <w:sz w:val="24"/>
        </w:rPr>
        <w:t xml:space="preserve"> nous avons opté dans ce</w:t>
      </w:r>
      <w:r w:rsidR="00891B33">
        <w:rPr>
          <w:rFonts w:ascii="Times New Roman" w:hAnsi="Times New Roman" w:cs="Times New Roman"/>
          <w:sz w:val="24"/>
        </w:rPr>
        <w:t>tte étude</w:t>
      </w:r>
      <w:r w:rsidRPr="00951F85">
        <w:rPr>
          <w:rFonts w:ascii="Times New Roman" w:hAnsi="Times New Roman" w:cs="Times New Roman"/>
          <w:sz w:val="24"/>
        </w:rPr>
        <w:t xml:space="preserve"> pour le calcul du SCR selon la formule standard</w:t>
      </w:r>
      <w:r>
        <w:rPr>
          <w:rFonts w:ascii="Times New Roman" w:hAnsi="Times New Roman" w:cs="Times New Roman"/>
          <w:sz w:val="24"/>
        </w:rPr>
        <w:t>.</w:t>
      </w:r>
    </w:p>
    <w:p w:rsidR="009701CB" w:rsidRPr="00BC4492" w:rsidRDefault="00BC4492" w:rsidP="007646BD">
      <w:pPr>
        <w:spacing w:line="360" w:lineRule="auto"/>
        <w:jc w:val="both"/>
        <w:rPr>
          <w:rFonts w:ascii="Times New Roman" w:hAnsi="Times New Roman" w:cs="Times New Roman"/>
          <w:sz w:val="28"/>
          <w:szCs w:val="28"/>
        </w:rPr>
      </w:pPr>
      <w:r w:rsidRPr="00BC4492">
        <w:rPr>
          <w:rFonts w:ascii="Times New Roman" w:hAnsi="Times New Roman" w:cs="Times New Roman"/>
          <w:b/>
          <w:bCs/>
          <w:sz w:val="28"/>
          <w:szCs w:val="28"/>
        </w:rPr>
        <w:t>3-1-</w:t>
      </w:r>
      <w:r w:rsidRPr="00BC4492">
        <w:rPr>
          <w:rFonts w:ascii="Times New Roman" w:hAnsi="Times New Roman" w:cs="Times New Roman"/>
          <w:sz w:val="28"/>
          <w:szCs w:val="28"/>
        </w:rPr>
        <w:t xml:space="preserve"> </w:t>
      </w:r>
      <w:r w:rsidRPr="00BC4492">
        <w:rPr>
          <w:rFonts w:ascii="Times New Roman" w:hAnsi="Times New Roman" w:cs="Times New Roman"/>
          <w:b/>
          <w:bCs/>
          <w:sz w:val="28"/>
          <w:szCs w:val="28"/>
        </w:rPr>
        <w:t>LE CALCUL DU SCR</w:t>
      </w:r>
      <w:r w:rsidR="00EF4803">
        <w:rPr>
          <w:rFonts w:ascii="Times New Roman" w:hAnsi="Times New Roman" w:cs="Times New Roman"/>
          <w:b/>
          <w:bCs/>
          <w:sz w:val="28"/>
          <w:szCs w:val="28"/>
        </w:rPr>
        <w:t xml:space="preserve"> MODELE STANDARD</w:t>
      </w:r>
      <w:r w:rsidR="00EF4803" w:rsidRPr="00BC4492">
        <w:rPr>
          <w:rFonts w:ascii="Times New Roman" w:hAnsi="Times New Roman" w:cs="Times New Roman"/>
          <w:sz w:val="28"/>
          <w:szCs w:val="28"/>
        </w:rPr>
        <w:t xml:space="preserve"> </w:t>
      </w:r>
    </w:p>
    <w:p w:rsidR="00354F08" w:rsidRDefault="00E661EB" w:rsidP="007646BD">
      <w:pPr>
        <w:pStyle w:val="Default"/>
        <w:spacing w:line="360" w:lineRule="auto"/>
        <w:jc w:val="both"/>
        <w:rPr>
          <w:rFonts w:asciiTheme="majorBidi" w:hAnsiTheme="majorBidi" w:cstheme="majorBidi"/>
        </w:rPr>
      </w:pPr>
      <w:r>
        <w:rPr>
          <w:rFonts w:asciiTheme="majorBidi" w:hAnsiTheme="majorBidi" w:cstheme="majorBidi"/>
        </w:rPr>
        <w:tab/>
      </w:r>
      <w:r w:rsidR="00354F08" w:rsidRPr="00354F08">
        <w:rPr>
          <w:rFonts w:asciiTheme="majorBidi" w:hAnsiTheme="majorBidi" w:cstheme="majorBidi"/>
        </w:rPr>
        <w:t>Selon les spécifications techniques du QIS 5 qui décrivent la méthode de la formule standard, le SCR est basé sur la formule suivante :</w:t>
      </w:r>
    </w:p>
    <w:p w:rsidR="00354F08" w:rsidRPr="00E661EB" w:rsidRDefault="00354F08" w:rsidP="007646BD">
      <w:pPr>
        <w:pStyle w:val="Default"/>
        <w:spacing w:line="360" w:lineRule="auto"/>
        <w:jc w:val="center"/>
        <w:rPr>
          <w:rFonts w:asciiTheme="majorBidi" w:hAnsiTheme="majorBidi" w:cstheme="majorBidi"/>
          <w:b/>
          <w:bCs/>
        </w:rPr>
      </w:pPr>
      <w:r w:rsidRPr="00E661EB">
        <w:rPr>
          <w:rFonts w:ascii="Cambria Math" w:hAnsi="Cambria Math" w:cstheme="majorBidi"/>
          <w:b/>
          <w:bCs/>
        </w:rPr>
        <w:t>𝑆𝐶𝑅</w:t>
      </w:r>
      <w:r w:rsidRPr="00E661EB">
        <w:rPr>
          <w:rFonts w:asciiTheme="majorBidi" w:hAnsiTheme="majorBidi" w:cstheme="majorBidi"/>
          <w:b/>
          <w:bCs/>
        </w:rPr>
        <w:t>=</w:t>
      </w:r>
      <w:r w:rsidRPr="00E661EB">
        <w:rPr>
          <w:rFonts w:ascii="Cambria Math" w:hAnsi="Cambria Math" w:cstheme="majorBidi"/>
          <w:b/>
          <w:bCs/>
        </w:rPr>
        <w:t>𝐵𝑆𝐶𝑅</w:t>
      </w:r>
      <w:r w:rsidRPr="00E661EB">
        <w:rPr>
          <w:rFonts w:asciiTheme="majorBidi" w:hAnsiTheme="majorBidi" w:cstheme="majorBidi"/>
          <w:b/>
          <w:bCs/>
        </w:rPr>
        <w:t>−</w:t>
      </w:r>
      <w:r w:rsidRPr="00E661EB">
        <w:rPr>
          <w:rFonts w:ascii="Cambria Math" w:hAnsi="Cambria Math" w:cstheme="majorBidi"/>
          <w:b/>
          <w:bCs/>
        </w:rPr>
        <w:t>𝐴𝑑𝑗</w:t>
      </w:r>
      <w:r w:rsidRPr="00E661EB">
        <w:rPr>
          <w:rFonts w:asciiTheme="majorBidi" w:hAnsiTheme="majorBidi" w:cstheme="majorBidi"/>
          <w:b/>
          <w:bCs/>
        </w:rPr>
        <w:t>.+</w:t>
      </w:r>
      <w:r w:rsidRPr="00E661EB">
        <w:rPr>
          <w:rFonts w:ascii="Cambria Math" w:hAnsi="Cambria Math" w:cstheme="majorBidi"/>
          <w:b/>
          <w:bCs/>
        </w:rPr>
        <w:t>𝑆𝐶𝑅𝑜𝑝</w:t>
      </w:r>
    </w:p>
    <w:p w:rsidR="00354F08" w:rsidRDefault="00354F08" w:rsidP="007646BD">
      <w:pPr>
        <w:pStyle w:val="Default"/>
        <w:spacing w:line="360" w:lineRule="auto"/>
        <w:rPr>
          <w:rFonts w:asciiTheme="majorBidi" w:hAnsiTheme="majorBidi" w:cstheme="majorBidi"/>
        </w:rPr>
      </w:pPr>
      <w:r>
        <w:rPr>
          <w:rFonts w:asciiTheme="majorBidi" w:hAnsiTheme="majorBidi" w:cstheme="majorBidi"/>
        </w:rPr>
        <w:t xml:space="preserve">Où </w:t>
      </w:r>
    </w:p>
    <w:p w:rsidR="00354F08" w:rsidRDefault="00354F08" w:rsidP="007646BD">
      <w:pPr>
        <w:pStyle w:val="Default"/>
        <w:numPr>
          <w:ilvl w:val="0"/>
          <w:numId w:val="4"/>
        </w:numPr>
        <w:spacing w:line="360" w:lineRule="auto"/>
        <w:rPr>
          <w:rFonts w:asciiTheme="majorBidi" w:hAnsiTheme="majorBidi" w:cstheme="majorBidi"/>
        </w:rPr>
      </w:pPr>
      <w:r w:rsidRPr="00354F08">
        <w:rPr>
          <w:rFonts w:asciiTheme="majorBidi" w:hAnsiTheme="majorBidi" w:cstheme="majorBidi"/>
        </w:rPr>
        <w:t xml:space="preserve"> </w:t>
      </w:r>
      <w:r w:rsidRPr="00E661EB">
        <w:rPr>
          <w:rFonts w:ascii="Cambria Math" w:hAnsi="Cambria Math" w:cstheme="majorBidi"/>
          <w:b/>
          <w:bCs/>
        </w:rPr>
        <w:t>𝐵𝑆𝐶𝑅</w:t>
      </w:r>
      <w:r w:rsidRPr="00354F08">
        <w:rPr>
          <w:rFonts w:asciiTheme="majorBidi" w:hAnsiTheme="majorBidi" w:cstheme="majorBidi"/>
        </w:rPr>
        <w:t xml:space="preserve"> : SCR de base </w:t>
      </w:r>
    </w:p>
    <w:p w:rsidR="00354F08" w:rsidRDefault="00354F08" w:rsidP="007646BD">
      <w:pPr>
        <w:pStyle w:val="Default"/>
        <w:numPr>
          <w:ilvl w:val="0"/>
          <w:numId w:val="4"/>
        </w:numPr>
        <w:spacing w:line="360" w:lineRule="auto"/>
        <w:jc w:val="both"/>
        <w:rPr>
          <w:rFonts w:asciiTheme="majorBidi" w:hAnsiTheme="majorBidi" w:cstheme="majorBidi"/>
        </w:rPr>
      </w:pPr>
      <w:r w:rsidRPr="00354F08">
        <w:rPr>
          <w:rFonts w:asciiTheme="majorBidi" w:hAnsiTheme="majorBidi" w:cstheme="majorBidi"/>
        </w:rPr>
        <w:t xml:space="preserve"> </w:t>
      </w:r>
      <w:r w:rsidRPr="00E661EB">
        <w:rPr>
          <w:rFonts w:ascii="Cambria Math" w:hAnsi="Cambria Math" w:cstheme="majorBidi"/>
          <w:b/>
          <w:bCs/>
        </w:rPr>
        <w:t>𝐴𝑑</w:t>
      </w:r>
      <w:r w:rsidRPr="00E661EB">
        <w:rPr>
          <w:rFonts w:ascii="Cambria Math" w:hAnsi="Cambria Math" w:cstheme="majorBidi"/>
          <w:b/>
          <w:bCs/>
        </w:rPr>
        <w:t/>
      </w:r>
      <w:proofErr w:type="gramStart"/>
      <w:r w:rsidRPr="00E661EB">
        <w:rPr>
          <w:rFonts w:ascii="Cambria Math" w:hAnsi="Cambria Math" w:cstheme="majorBidi"/>
          <w:b/>
          <w:bCs/>
        </w:rPr>
        <w:t/>
      </w:r>
      <w:r w:rsidRPr="00354F08">
        <w:rPr>
          <w:rFonts w:asciiTheme="majorBidi" w:hAnsiTheme="majorBidi" w:cstheme="majorBidi"/>
        </w:rPr>
        <w:t>:</w:t>
      </w:r>
      <w:proofErr w:type="gramEnd"/>
      <w:r w:rsidRPr="00354F08">
        <w:rPr>
          <w:rFonts w:asciiTheme="majorBidi" w:hAnsiTheme="majorBidi" w:cstheme="majorBidi"/>
        </w:rPr>
        <w:t xml:space="preserve"> ajustement au titre des propriétés d’absorption du risque des futures PB et des impôts différés</w:t>
      </w:r>
      <w:r w:rsidR="00E661EB">
        <w:rPr>
          <w:rFonts w:asciiTheme="majorBidi" w:hAnsiTheme="majorBidi" w:cstheme="majorBidi"/>
        </w:rPr>
        <w:t>.</w:t>
      </w:r>
      <w:r w:rsidRPr="00354F08">
        <w:rPr>
          <w:rFonts w:asciiTheme="majorBidi" w:hAnsiTheme="majorBidi" w:cstheme="majorBidi"/>
        </w:rPr>
        <w:t xml:space="preserve"> </w:t>
      </w:r>
    </w:p>
    <w:p w:rsidR="00354F08" w:rsidRPr="00A1782C" w:rsidRDefault="00354F08" w:rsidP="007646BD">
      <w:pPr>
        <w:pStyle w:val="Default"/>
        <w:numPr>
          <w:ilvl w:val="0"/>
          <w:numId w:val="4"/>
        </w:numPr>
        <w:spacing w:after="257" w:line="360" w:lineRule="auto"/>
        <w:jc w:val="both"/>
        <w:rPr>
          <w:rFonts w:asciiTheme="majorBidi" w:hAnsiTheme="majorBidi" w:cstheme="majorBidi"/>
        </w:rPr>
      </w:pPr>
      <w:r w:rsidRPr="00354F08">
        <w:rPr>
          <w:rFonts w:asciiTheme="majorBidi" w:hAnsiTheme="majorBidi" w:cstheme="majorBidi"/>
        </w:rPr>
        <w:t xml:space="preserve"> </w:t>
      </w:r>
      <w:r w:rsidRPr="00E661EB">
        <w:rPr>
          <w:rFonts w:ascii="Cambria Math" w:hAnsi="Cambria Math" w:cstheme="majorBidi"/>
          <w:b/>
          <w:bCs/>
        </w:rPr>
        <w:t>𝑆𝐶𝑅</w:t>
      </w:r>
      <w:r w:rsidRPr="00E661EB">
        <w:rPr>
          <w:rFonts w:ascii="Cambria Math" w:hAnsi="Cambria Math" w:cstheme="majorBidi"/>
          <w:b/>
          <w:bCs/>
          <w:vertAlign w:val="subscript"/>
        </w:rPr>
        <w:t>𝑜</w:t>
      </w:r>
      <w:r w:rsidRPr="00E661EB">
        <w:rPr>
          <w:rFonts w:ascii="Cambria Math" w:hAnsi="Cambria Math" w:cstheme="majorBidi"/>
          <w:b/>
          <w:bCs/>
          <w:vertAlign w:val="subscript"/>
        </w:rPr>
        <w:t/>
      </w:r>
      <w:proofErr w:type="gramStart"/>
      <w:r w:rsidRPr="00E661EB">
        <w:rPr>
          <w:rFonts w:ascii="Cambria Math" w:hAnsi="Cambria Math" w:cstheme="majorBidi"/>
          <w:b/>
          <w:bCs/>
          <w:vertAlign w:val="subscript"/>
        </w:rPr>
        <w:t/>
      </w:r>
      <w:r w:rsidRPr="00354F08">
        <w:rPr>
          <w:rFonts w:asciiTheme="majorBidi" w:hAnsiTheme="majorBidi" w:cstheme="majorBidi"/>
        </w:rPr>
        <w:t>:</w:t>
      </w:r>
      <w:proofErr w:type="gramEnd"/>
      <w:r w:rsidRPr="00354F08">
        <w:rPr>
          <w:rFonts w:asciiTheme="majorBidi" w:hAnsiTheme="majorBidi" w:cstheme="majorBidi"/>
        </w:rPr>
        <w:t xml:space="preserve"> exigence de capital au titre du risque opérationnel</w:t>
      </w:r>
      <w:r w:rsidR="00E661EB">
        <w:rPr>
          <w:rFonts w:asciiTheme="majorBidi" w:hAnsiTheme="majorBidi" w:cstheme="majorBidi"/>
        </w:rPr>
        <w:t>.</w:t>
      </w:r>
      <w:r w:rsidRPr="00354F08">
        <w:rPr>
          <w:sz w:val="22"/>
          <w:szCs w:val="22"/>
        </w:rPr>
        <w:t xml:space="preserve"> </w:t>
      </w:r>
    </w:p>
    <w:p w:rsidR="00A1782C" w:rsidRDefault="00A1782C" w:rsidP="007646BD">
      <w:pPr>
        <w:pStyle w:val="Default"/>
        <w:spacing w:line="360" w:lineRule="auto"/>
        <w:jc w:val="both"/>
        <w:rPr>
          <w:rFonts w:asciiTheme="majorBidi" w:hAnsiTheme="majorBidi" w:cstheme="majorBidi"/>
          <w:b/>
          <w:bCs/>
          <w:sz w:val="28"/>
          <w:szCs w:val="28"/>
        </w:rPr>
      </w:pPr>
      <w:r w:rsidRPr="00BC4492">
        <w:rPr>
          <w:rFonts w:asciiTheme="majorBidi" w:hAnsiTheme="majorBidi" w:cstheme="majorBidi"/>
          <w:b/>
          <w:bCs/>
          <w:sz w:val="28"/>
          <w:szCs w:val="28"/>
        </w:rPr>
        <w:t>3-1-1-</w:t>
      </w:r>
      <w:r w:rsidR="00CA3DD1" w:rsidRPr="00BC4492">
        <w:rPr>
          <w:rFonts w:asciiTheme="majorBidi" w:hAnsiTheme="majorBidi" w:cstheme="majorBidi"/>
          <w:b/>
          <w:bCs/>
          <w:sz w:val="28"/>
          <w:szCs w:val="28"/>
        </w:rPr>
        <w:t xml:space="preserve"> D</w:t>
      </w:r>
      <w:r w:rsidR="007646BD" w:rsidRPr="00BC4492">
        <w:rPr>
          <w:rFonts w:asciiTheme="majorBidi" w:hAnsiTheme="majorBidi" w:cstheme="majorBidi"/>
          <w:b/>
          <w:bCs/>
          <w:sz w:val="28"/>
          <w:szCs w:val="28"/>
        </w:rPr>
        <w:t>escription de</w:t>
      </w:r>
      <w:r w:rsidRPr="00BC4492">
        <w:rPr>
          <w:rFonts w:asciiTheme="majorBidi" w:hAnsiTheme="majorBidi" w:cstheme="majorBidi"/>
          <w:b/>
          <w:bCs/>
          <w:sz w:val="28"/>
          <w:szCs w:val="28"/>
        </w:rPr>
        <w:t xml:space="preserve"> </w:t>
      </w:r>
      <w:r w:rsidR="007646BD" w:rsidRPr="00BC4492">
        <w:rPr>
          <w:rFonts w:asciiTheme="majorBidi" w:hAnsiTheme="majorBidi" w:cstheme="majorBidi"/>
          <w:b/>
          <w:bCs/>
          <w:sz w:val="28"/>
          <w:szCs w:val="28"/>
        </w:rPr>
        <w:t>l</w:t>
      </w:r>
      <w:r w:rsidRPr="00BC4492">
        <w:rPr>
          <w:rFonts w:asciiTheme="majorBidi" w:hAnsiTheme="majorBidi" w:cstheme="majorBidi"/>
          <w:b/>
          <w:bCs/>
          <w:sz w:val="28"/>
          <w:szCs w:val="28"/>
        </w:rPr>
        <w:t xml:space="preserve">a méthode du travail </w:t>
      </w:r>
    </w:p>
    <w:p w:rsidR="00472DFA" w:rsidRPr="00BC4492" w:rsidRDefault="00472DFA" w:rsidP="00472DFA">
      <w:pPr>
        <w:pStyle w:val="Default"/>
        <w:jc w:val="both"/>
        <w:rPr>
          <w:rFonts w:asciiTheme="majorBidi" w:hAnsiTheme="majorBidi" w:cstheme="majorBidi"/>
          <w:b/>
          <w:bCs/>
          <w:sz w:val="28"/>
          <w:szCs w:val="28"/>
        </w:rPr>
      </w:pPr>
    </w:p>
    <w:p w:rsidR="00BF3C0D" w:rsidRPr="007873ED" w:rsidRDefault="000C11F6" w:rsidP="00891B33">
      <w:pPr>
        <w:pStyle w:val="Paragraphedeliste"/>
        <w:numPr>
          <w:ilvl w:val="0"/>
          <w:numId w:val="4"/>
        </w:numPr>
        <w:autoSpaceDE w:val="0"/>
        <w:autoSpaceDN w:val="0"/>
        <w:adjustRightInd w:val="0"/>
        <w:spacing w:after="0" w:line="360" w:lineRule="auto"/>
        <w:jc w:val="both"/>
        <w:rPr>
          <w:rFonts w:asciiTheme="majorBidi" w:hAnsiTheme="majorBidi" w:cstheme="majorBidi"/>
        </w:rPr>
      </w:pPr>
      <w:r w:rsidRPr="007873ED">
        <w:rPr>
          <w:rFonts w:asciiTheme="majorBidi" w:hAnsiTheme="majorBidi" w:cstheme="majorBidi"/>
        </w:rPr>
        <w:t>Tout d’abord, nous allons commencer par le calcul de</w:t>
      </w:r>
      <w:r w:rsidR="004B02FB" w:rsidRPr="007873ED">
        <w:rPr>
          <w:rFonts w:asciiTheme="majorBidi" w:hAnsiTheme="majorBidi" w:cstheme="majorBidi"/>
        </w:rPr>
        <w:t xml:space="preserve"> la</w:t>
      </w:r>
      <w:r w:rsidRPr="007873ED">
        <w:rPr>
          <w:rFonts w:asciiTheme="majorBidi" w:hAnsiTheme="majorBidi" w:cstheme="majorBidi"/>
        </w:rPr>
        <w:t xml:space="preserve"> valeur nette de l’actif ou Net </w:t>
      </w:r>
      <w:proofErr w:type="spellStart"/>
      <w:r w:rsidRPr="007873ED">
        <w:rPr>
          <w:rFonts w:asciiTheme="majorBidi" w:hAnsiTheme="majorBidi" w:cstheme="majorBidi"/>
        </w:rPr>
        <w:t>Asset</w:t>
      </w:r>
      <w:proofErr w:type="spellEnd"/>
      <w:r w:rsidRPr="007873ED">
        <w:rPr>
          <w:rFonts w:asciiTheme="majorBidi" w:hAnsiTheme="majorBidi" w:cstheme="majorBidi"/>
        </w:rPr>
        <w:t xml:space="preserve"> Value (NAV) qui repose sur la </w:t>
      </w:r>
      <w:r w:rsidR="00B011BB" w:rsidRPr="007873ED">
        <w:rPr>
          <w:rFonts w:asciiTheme="majorBidi" w:hAnsiTheme="majorBidi" w:cstheme="majorBidi"/>
        </w:rPr>
        <w:t>revalorisation des différents postes du bilan en valeur de marché ou valeur économique.</w:t>
      </w:r>
      <w:r w:rsidR="00BF3C0D" w:rsidRPr="007873ED">
        <w:rPr>
          <w:rFonts w:asciiTheme="majorBidi" w:hAnsiTheme="majorBidi" w:cstheme="majorBidi"/>
        </w:rPr>
        <w:t xml:space="preserve"> </w:t>
      </w:r>
    </w:p>
    <w:p w:rsidR="00E661EB" w:rsidRPr="007646BD" w:rsidRDefault="00E661EB" w:rsidP="007873ED">
      <w:pPr>
        <w:pStyle w:val="Default"/>
        <w:numPr>
          <w:ilvl w:val="0"/>
          <w:numId w:val="4"/>
        </w:numPr>
        <w:spacing w:line="360" w:lineRule="auto"/>
        <w:jc w:val="both"/>
        <w:rPr>
          <w:rFonts w:asciiTheme="majorBidi" w:hAnsiTheme="majorBidi" w:cstheme="majorBidi"/>
        </w:rPr>
      </w:pPr>
      <w:r w:rsidRPr="007646BD">
        <w:rPr>
          <w:rFonts w:asciiTheme="majorBidi" w:hAnsiTheme="majorBidi" w:cstheme="majorBidi"/>
        </w:rPr>
        <w:t>Nous n’étudierons pas dans ce</w:t>
      </w:r>
      <w:r w:rsidR="00891B33">
        <w:rPr>
          <w:rFonts w:asciiTheme="majorBidi" w:hAnsiTheme="majorBidi" w:cstheme="majorBidi"/>
        </w:rPr>
        <w:t>tte étude</w:t>
      </w:r>
      <w:r w:rsidRPr="007646BD">
        <w:rPr>
          <w:rFonts w:asciiTheme="majorBidi" w:hAnsiTheme="majorBidi" w:cstheme="majorBidi"/>
        </w:rPr>
        <w:t xml:space="preserve"> l’ajustement au titre des propriétés d’absorption des impôts différés.</w:t>
      </w:r>
    </w:p>
    <w:p w:rsidR="007873ED" w:rsidRDefault="00B011BB" w:rsidP="007873ED">
      <w:pPr>
        <w:pStyle w:val="Default"/>
        <w:numPr>
          <w:ilvl w:val="0"/>
          <w:numId w:val="4"/>
        </w:numPr>
        <w:spacing w:after="257" w:line="360" w:lineRule="auto"/>
        <w:jc w:val="both"/>
        <w:rPr>
          <w:rFonts w:asciiTheme="majorBidi" w:hAnsiTheme="majorBidi" w:cstheme="majorBidi"/>
          <w:sz w:val="22"/>
          <w:szCs w:val="22"/>
        </w:rPr>
      </w:pPr>
      <w:r>
        <w:rPr>
          <w:rFonts w:asciiTheme="majorBidi" w:hAnsiTheme="majorBidi" w:cstheme="majorBidi"/>
        </w:rPr>
        <w:t>Ensuite nous</w:t>
      </w:r>
      <w:r w:rsidR="00067697">
        <w:rPr>
          <w:rFonts w:asciiTheme="majorBidi" w:hAnsiTheme="majorBidi" w:cstheme="majorBidi"/>
        </w:rPr>
        <w:t xml:space="preserve"> </w:t>
      </w:r>
      <w:r w:rsidR="00E661EB">
        <w:rPr>
          <w:rFonts w:asciiTheme="majorBidi" w:hAnsiTheme="majorBidi" w:cstheme="majorBidi"/>
        </w:rPr>
        <w:t>calcul</w:t>
      </w:r>
      <w:r>
        <w:rPr>
          <w:rFonts w:asciiTheme="majorBidi" w:hAnsiTheme="majorBidi" w:cstheme="majorBidi"/>
        </w:rPr>
        <w:t>ons le</w:t>
      </w:r>
      <w:r w:rsidR="00E661EB">
        <w:rPr>
          <w:rFonts w:asciiTheme="majorBidi" w:hAnsiTheme="majorBidi" w:cstheme="majorBidi"/>
        </w:rPr>
        <w:t xml:space="preserve"> BSCR qui est basé sur l’approche appelée </w:t>
      </w:r>
      <w:proofErr w:type="spellStart"/>
      <w:r w:rsidR="00E661EB">
        <w:rPr>
          <w:rFonts w:asciiTheme="majorBidi" w:hAnsiTheme="majorBidi" w:cstheme="majorBidi"/>
        </w:rPr>
        <w:t>bottom</w:t>
      </w:r>
      <w:proofErr w:type="spellEnd"/>
      <w:r w:rsidR="00E661EB">
        <w:rPr>
          <w:rFonts w:asciiTheme="majorBidi" w:hAnsiTheme="majorBidi" w:cstheme="majorBidi"/>
        </w:rPr>
        <w:t>-up (ou approche modulaire)</w:t>
      </w:r>
      <w:proofErr w:type="gramStart"/>
      <w:r w:rsidR="00E661EB">
        <w:rPr>
          <w:rFonts w:asciiTheme="majorBidi" w:hAnsiTheme="majorBidi" w:cstheme="majorBidi"/>
        </w:rPr>
        <w:t xml:space="preserve">,  </w:t>
      </w:r>
      <w:r w:rsidR="00E661EB" w:rsidRPr="00A1782C">
        <w:rPr>
          <w:rFonts w:asciiTheme="majorBidi" w:hAnsiTheme="majorBidi" w:cstheme="majorBidi"/>
          <w:sz w:val="22"/>
          <w:szCs w:val="22"/>
        </w:rPr>
        <w:t>Son</w:t>
      </w:r>
      <w:proofErr w:type="gramEnd"/>
      <w:r w:rsidR="00E661EB" w:rsidRPr="00A1782C">
        <w:rPr>
          <w:rFonts w:asciiTheme="majorBidi" w:hAnsiTheme="majorBidi" w:cstheme="majorBidi"/>
          <w:sz w:val="22"/>
          <w:szCs w:val="22"/>
        </w:rPr>
        <w:t xml:space="preserve"> calcul est divisé en modules de risque, eux-m</w:t>
      </w:r>
      <w:r w:rsidR="007646BD">
        <w:rPr>
          <w:rFonts w:asciiTheme="majorBidi" w:hAnsiTheme="majorBidi" w:cstheme="majorBidi"/>
          <w:sz w:val="22"/>
          <w:szCs w:val="22"/>
        </w:rPr>
        <w:t>êmes subdivisés en sous-modules :</w:t>
      </w:r>
    </w:p>
    <w:p w:rsidR="007646BD" w:rsidRPr="007873ED" w:rsidRDefault="007646BD" w:rsidP="007873ED">
      <w:pPr>
        <w:pStyle w:val="Default"/>
        <w:numPr>
          <w:ilvl w:val="0"/>
          <w:numId w:val="8"/>
        </w:numPr>
        <w:spacing w:after="257" w:line="360" w:lineRule="auto"/>
        <w:jc w:val="both"/>
        <w:rPr>
          <w:rFonts w:asciiTheme="majorBidi" w:hAnsiTheme="majorBidi" w:cstheme="majorBidi"/>
          <w:sz w:val="22"/>
          <w:szCs w:val="22"/>
        </w:rPr>
      </w:pPr>
      <w:r w:rsidRPr="007873ED">
        <w:rPr>
          <w:rFonts w:asciiTheme="majorBidi" w:hAnsiTheme="majorBidi" w:cstheme="majorBidi"/>
        </w:rPr>
        <w:t xml:space="preserve">On calcule d’abord l’exigence de capital au titre de chacun des différents risques «élémentaires ». </w:t>
      </w:r>
    </w:p>
    <w:p w:rsidR="007873ED" w:rsidRDefault="007646BD" w:rsidP="007873ED">
      <w:pPr>
        <w:pStyle w:val="Default"/>
        <w:numPr>
          <w:ilvl w:val="0"/>
          <w:numId w:val="8"/>
        </w:numPr>
        <w:spacing w:line="360" w:lineRule="auto"/>
        <w:rPr>
          <w:sz w:val="22"/>
          <w:szCs w:val="22"/>
        </w:rPr>
      </w:pPr>
      <w:r w:rsidRPr="007646BD">
        <w:rPr>
          <w:rFonts w:asciiTheme="majorBidi" w:hAnsiTheme="majorBidi" w:cstheme="majorBidi"/>
        </w:rPr>
        <w:lastRenderedPageBreak/>
        <w:t>Ensuite on agrège ces capitaux élémentaires via des matrices de corrélation pour obtenir les SCR relatifs aux différents modules de risque</w:t>
      </w:r>
      <w:r>
        <w:rPr>
          <w:sz w:val="22"/>
          <w:szCs w:val="22"/>
        </w:rPr>
        <w:t xml:space="preserve">. </w:t>
      </w:r>
    </w:p>
    <w:p w:rsidR="007646BD" w:rsidRPr="007873ED" w:rsidRDefault="00796723" w:rsidP="007873ED">
      <w:pPr>
        <w:pStyle w:val="Default"/>
        <w:numPr>
          <w:ilvl w:val="0"/>
          <w:numId w:val="8"/>
        </w:numPr>
        <w:spacing w:line="360" w:lineRule="auto"/>
        <w:rPr>
          <w:sz w:val="22"/>
          <w:szCs w:val="22"/>
        </w:rPr>
      </w:pPr>
      <w:r w:rsidRPr="007873ED">
        <w:rPr>
          <w:rFonts w:asciiTheme="majorBidi" w:hAnsiTheme="majorBidi" w:cstheme="majorBidi"/>
        </w:rPr>
        <w:t>Enfin on agrège toujours via une matrice de corrélation ces SCR relatifs aux modules de risque pour obtenir le SCR global : le BSCR</w:t>
      </w:r>
      <w:r w:rsidRPr="007873ED">
        <w:rPr>
          <w:sz w:val="22"/>
          <w:szCs w:val="22"/>
        </w:rPr>
        <w:t xml:space="preserve">. </w:t>
      </w:r>
    </w:p>
    <w:p w:rsidR="00354F08" w:rsidRPr="00796723" w:rsidRDefault="00796723" w:rsidP="00796723">
      <w:pPr>
        <w:pStyle w:val="Default"/>
        <w:spacing w:after="257" w:line="360" w:lineRule="auto"/>
        <w:jc w:val="both"/>
        <w:rPr>
          <w:rFonts w:asciiTheme="majorBidi" w:hAnsiTheme="majorBidi" w:cstheme="majorBidi"/>
        </w:rPr>
      </w:pPr>
      <w:r>
        <w:rPr>
          <w:rFonts w:asciiTheme="majorBidi" w:hAnsiTheme="majorBidi" w:cstheme="majorBidi"/>
          <w:noProof/>
        </w:rPr>
        <w:drawing>
          <wp:inline distT="0" distB="0" distL="0" distR="0">
            <wp:extent cx="6198495" cy="37052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98768" cy="3705388"/>
                    </a:xfrm>
                    <a:prstGeom prst="rect">
                      <a:avLst/>
                    </a:prstGeom>
                    <a:noFill/>
                    <a:ln w="9525">
                      <a:noFill/>
                      <a:miter lim="800000"/>
                      <a:headEnd/>
                      <a:tailEnd/>
                    </a:ln>
                  </pic:spPr>
                </pic:pic>
              </a:graphicData>
            </a:graphic>
          </wp:inline>
        </w:drawing>
      </w:r>
    </w:p>
    <w:p w:rsidR="00354F08" w:rsidRDefault="00796723" w:rsidP="00CC7304">
      <w:pPr>
        <w:spacing w:line="360" w:lineRule="auto"/>
        <w:jc w:val="both"/>
        <w:rPr>
          <w:rFonts w:ascii="Times New Roman" w:hAnsi="Times New Roman" w:cs="Times New Roman"/>
          <w:b/>
          <w:bCs/>
          <w:sz w:val="24"/>
        </w:rPr>
      </w:pPr>
      <w:r w:rsidRPr="00796723">
        <w:rPr>
          <w:rFonts w:ascii="Times New Roman" w:hAnsi="Times New Roman" w:cs="Times New Roman"/>
          <w:b/>
          <w:bCs/>
          <w:sz w:val="24"/>
        </w:rPr>
        <w:t>Figure N°</w:t>
      </w:r>
      <w:proofErr w:type="gramStart"/>
      <w:r w:rsidR="00EE7241">
        <w:rPr>
          <w:rFonts w:ascii="Times New Roman" w:hAnsi="Times New Roman" w:cs="Times New Roman"/>
          <w:b/>
          <w:bCs/>
          <w:sz w:val="24"/>
        </w:rPr>
        <w:t>5</w:t>
      </w:r>
      <w:r w:rsidRPr="00796723">
        <w:rPr>
          <w:rFonts w:ascii="Times New Roman" w:hAnsi="Times New Roman" w:cs="Times New Roman"/>
          <w:b/>
          <w:bCs/>
          <w:sz w:val="24"/>
        </w:rPr>
        <w:t>:</w:t>
      </w:r>
      <w:proofErr w:type="gramEnd"/>
      <w:r w:rsidR="00E3430D">
        <w:rPr>
          <w:rFonts w:ascii="Times New Roman" w:hAnsi="Times New Roman" w:cs="Times New Roman"/>
          <w:b/>
          <w:bCs/>
          <w:sz w:val="24"/>
        </w:rPr>
        <w:t xml:space="preserve"> A</w:t>
      </w:r>
      <w:r>
        <w:rPr>
          <w:rFonts w:ascii="Times New Roman" w:hAnsi="Times New Roman" w:cs="Times New Roman"/>
          <w:b/>
          <w:bCs/>
          <w:sz w:val="24"/>
        </w:rPr>
        <w:t xml:space="preserve">pproche </w:t>
      </w:r>
      <w:proofErr w:type="spellStart"/>
      <w:r>
        <w:rPr>
          <w:rFonts w:ascii="Times New Roman" w:hAnsi="Times New Roman" w:cs="Times New Roman"/>
          <w:b/>
          <w:bCs/>
          <w:sz w:val="24"/>
        </w:rPr>
        <w:t>bottom</w:t>
      </w:r>
      <w:proofErr w:type="spellEnd"/>
      <w:r>
        <w:rPr>
          <w:rFonts w:ascii="Times New Roman" w:hAnsi="Times New Roman" w:cs="Times New Roman"/>
          <w:b/>
          <w:bCs/>
          <w:sz w:val="24"/>
        </w:rPr>
        <w:t xml:space="preserve">-up pour le calcul du BSCR </w:t>
      </w:r>
    </w:p>
    <w:p w:rsidR="00796723" w:rsidRPr="00A765AF" w:rsidRDefault="00A835C3" w:rsidP="00796723">
      <w:pPr>
        <w:pStyle w:val="Default"/>
        <w:spacing w:line="360" w:lineRule="auto"/>
        <w:jc w:val="both"/>
        <w:rPr>
          <w:rFonts w:asciiTheme="majorBidi" w:hAnsiTheme="majorBidi" w:cstheme="majorBidi"/>
        </w:rPr>
      </w:pPr>
      <w:r>
        <w:rPr>
          <w:rFonts w:asciiTheme="majorBidi" w:hAnsiTheme="majorBidi" w:cstheme="majorBidi"/>
        </w:rPr>
        <w:tab/>
      </w:r>
      <w:r w:rsidR="00796723" w:rsidRPr="00A765AF">
        <w:rPr>
          <w:rFonts w:asciiTheme="majorBidi" w:hAnsiTheme="majorBidi" w:cstheme="majorBidi"/>
        </w:rPr>
        <w:t xml:space="preserve">Par exemple, le capital de solvabilité relatif au module de risque de marché est noté </w:t>
      </w:r>
      <w:r w:rsidR="00796723" w:rsidRPr="00A765AF">
        <w:rPr>
          <w:rFonts w:ascii="Cambria Math" w:hAnsi="Cambria Math" w:cstheme="majorBidi"/>
        </w:rPr>
        <w:t>𝑆𝐶𝑅</w:t>
      </w:r>
      <w:r w:rsidR="00796723" w:rsidRPr="00A765AF">
        <w:rPr>
          <w:rFonts w:ascii="Cambria Math" w:hAnsi="Cambria Math" w:cstheme="majorBidi"/>
          <w:vertAlign w:val="subscript"/>
        </w:rPr>
        <w:t>𝑚𝑎𝑟𝑘𝑒𝑡</w:t>
      </w:r>
      <w:r w:rsidR="00796723" w:rsidRPr="00A765AF">
        <w:rPr>
          <w:rFonts w:asciiTheme="majorBidi" w:hAnsiTheme="majorBidi" w:cstheme="majorBidi"/>
        </w:rPr>
        <w:t xml:space="preserve"> et est déterminé à partir des capitaux de solvabilité élémentaires suivants : </w:t>
      </w:r>
    </w:p>
    <w:p w:rsidR="00796723" w:rsidRPr="00A765AF" w:rsidRDefault="007873ED" w:rsidP="007873ED">
      <w:pPr>
        <w:pStyle w:val="Default"/>
        <w:tabs>
          <w:tab w:val="left" w:pos="0"/>
        </w:tabs>
        <w:spacing w:after="227"/>
        <w:rPr>
          <w:rFonts w:asciiTheme="majorBidi" w:hAnsiTheme="majorBidi" w:cstheme="majorBidi"/>
        </w:rPr>
      </w:pPr>
      <w:r>
        <w:rPr>
          <w:rFonts w:asciiTheme="majorBidi" w:hAnsiTheme="majorBidi" w:cstheme="majorBidi"/>
        </w:rPr>
        <w:t xml:space="preserve">          </w:t>
      </w:r>
      <w:r w:rsidR="00796723" w:rsidRPr="00A765AF">
        <w:rPr>
          <w:rFonts w:ascii="Cambria Math" w:hAnsi="Cambria Math" w:cstheme="majorBidi"/>
        </w:rPr>
        <w:t>𝑀𝑘𝑡</w:t>
      </w:r>
      <w:r w:rsidR="00796723" w:rsidRPr="00A765AF">
        <w:rPr>
          <w:rFonts w:ascii="Cambria Math" w:hAnsi="Cambria Math" w:cstheme="majorBidi"/>
          <w:vertAlign w:val="subscript"/>
        </w:rPr>
        <w:t>𝑖𝑛𝑡</w:t>
      </w:r>
      <w:r w:rsidR="00796723" w:rsidRPr="00A765AF">
        <w:rPr>
          <w:rFonts w:asciiTheme="majorBidi" w:hAnsiTheme="majorBidi" w:cstheme="majorBidi"/>
        </w:rPr>
        <w:t xml:space="preserve"> : le capital requis au titre du risque de taux d’intérêt </w:t>
      </w:r>
    </w:p>
    <w:p w:rsidR="00796723" w:rsidRPr="00A765AF" w:rsidRDefault="007873ED" w:rsidP="007873ED">
      <w:pPr>
        <w:pStyle w:val="Default"/>
        <w:tabs>
          <w:tab w:val="left" w:pos="0"/>
        </w:tabs>
        <w:spacing w:after="227"/>
        <w:rPr>
          <w:rFonts w:asciiTheme="majorBidi" w:hAnsiTheme="majorBidi" w:cstheme="majorBidi"/>
        </w:rPr>
      </w:pPr>
      <w:r>
        <w:rPr>
          <w:rFonts w:asciiTheme="majorBidi" w:hAnsiTheme="majorBidi" w:cstheme="majorBidi"/>
        </w:rPr>
        <w:t xml:space="preserve">         </w:t>
      </w:r>
      <w:r w:rsidR="00796723" w:rsidRPr="00A765AF">
        <w:rPr>
          <w:rFonts w:ascii="Cambria Math" w:hAnsi="Cambria Math" w:cstheme="majorBidi"/>
        </w:rPr>
        <w:t>𝑀𝑘𝑡</w:t>
      </w:r>
      <w:r w:rsidR="00796723" w:rsidRPr="00A765AF">
        <w:rPr>
          <w:rFonts w:ascii="Cambria Math" w:hAnsi="Cambria Math" w:cstheme="majorBidi"/>
          <w:vertAlign w:val="subscript"/>
        </w:rPr>
        <w:t>𝑒𝑞</w:t>
      </w:r>
      <w:r w:rsidR="00796723" w:rsidRPr="00A765AF">
        <w:rPr>
          <w:rFonts w:asciiTheme="majorBidi" w:hAnsiTheme="majorBidi" w:cstheme="majorBidi"/>
        </w:rPr>
        <w:t xml:space="preserve"> : le capital requis au titre du risque action </w:t>
      </w:r>
    </w:p>
    <w:p w:rsidR="00796723" w:rsidRDefault="007873ED" w:rsidP="007873ED">
      <w:pPr>
        <w:pStyle w:val="Default"/>
        <w:tabs>
          <w:tab w:val="left" w:pos="0"/>
          <w:tab w:val="left" w:pos="567"/>
        </w:tabs>
        <w:rPr>
          <w:rFonts w:asciiTheme="majorBidi" w:hAnsiTheme="majorBidi" w:cstheme="majorBidi"/>
        </w:rPr>
      </w:pPr>
      <w:r>
        <w:rPr>
          <w:rFonts w:asciiTheme="majorBidi" w:hAnsiTheme="majorBidi" w:cstheme="majorBidi"/>
        </w:rPr>
        <w:t xml:space="preserve">        </w:t>
      </w:r>
      <w:r w:rsidR="00796723" w:rsidRPr="00A765AF">
        <w:rPr>
          <w:rFonts w:ascii="Cambria Math" w:hAnsi="Cambria Math" w:cstheme="majorBidi"/>
        </w:rPr>
        <w:t>𝑀𝑘𝑡</w:t>
      </w:r>
      <w:r w:rsidR="00796723" w:rsidRPr="00A765AF">
        <w:rPr>
          <w:rFonts w:ascii="Cambria Math" w:hAnsi="Cambria Math" w:cstheme="majorBidi"/>
          <w:vertAlign w:val="subscript"/>
        </w:rPr>
        <w:t>𝑠𝑝</w:t>
      </w:r>
      <w:r w:rsidR="00796723" w:rsidRPr="00A765AF">
        <w:rPr>
          <w:rFonts w:asciiTheme="majorBidi" w:hAnsiTheme="majorBidi" w:cstheme="majorBidi"/>
        </w:rPr>
        <w:t xml:space="preserve"> : le capital requis au titre du risque de </w:t>
      </w:r>
      <w:proofErr w:type="spellStart"/>
      <w:r w:rsidR="00796723" w:rsidRPr="00A765AF">
        <w:rPr>
          <w:rFonts w:asciiTheme="majorBidi" w:hAnsiTheme="majorBidi" w:cstheme="majorBidi"/>
        </w:rPr>
        <w:t>spread</w:t>
      </w:r>
      <w:proofErr w:type="spellEnd"/>
      <w:r w:rsidR="00796723" w:rsidRPr="00A765AF">
        <w:rPr>
          <w:rFonts w:asciiTheme="majorBidi" w:hAnsiTheme="majorBidi" w:cstheme="majorBidi"/>
        </w:rPr>
        <w:t xml:space="preserve"> </w:t>
      </w:r>
    </w:p>
    <w:p w:rsidR="00A765AF" w:rsidRDefault="007873ED" w:rsidP="007873ED">
      <w:pPr>
        <w:pStyle w:val="Default"/>
        <w:tabs>
          <w:tab w:val="left" w:pos="0"/>
          <w:tab w:val="left" w:pos="567"/>
        </w:tabs>
        <w:rPr>
          <w:rFonts w:asciiTheme="majorBidi" w:hAnsiTheme="majorBidi" w:cstheme="majorBidi"/>
          <w:b/>
          <w:bCs/>
        </w:rPr>
      </w:pPr>
      <w:r>
        <w:rPr>
          <w:rFonts w:asciiTheme="majorBidi" w:hAnsiTheme="majorBidi" w:cstheme="majorBidi"/>
          <w:b/>
          <w:bCs/>
        </w:rPr>
        <w:t xml:space="preserve">         </w:t>
      </w:r>
      <w:r w:rsidR="00A765AF" w:rsidRPr="00A765AF">
        <w:rPr>
          <w:rFonts w:asciiTheme="majorBidi" w:hAnsiTheme="majorBidi" w:cstheme="majorBidi"/>
          <w:b/>
          <w:bCs/>
        </w:rPr>
        <w:t>…</w:t>
      </w:r>
    </w:p>
    <w:p w:rsidR="007873ED" w:rsidRPr="007873ED" w:rsidRDefault="007873ED" w:rsidP="007873ED">
      <w:pPr>
        <w:pStyle w:val="Default"/>
        <w:ind w:left="360"/>
        <w:rPr>
          <w:rFonts w:asciiTheme="majorBidi" w:hAnsiTheme="majorBidi" w:cstheme="majorBidi"/>
          <w:b/>
          <w:bCs/>
        </w:rPr>
      </w:pPr>
    </w:p>
    <w:p w:rsidR="00F23E30" w:rsidRPr="007873ED" w:rsidRDefault="00F23E30" w:rsidP="007873ED">
      <w:pPr>
        <w:pStyle w:val="Paragraphedeliste"/>
        <w:numPr>
          <w:ilvl w:val="0"/>
          <w:numId w:val="4"/>
        </w:numPr>
        <w:spacing w:after="0" w:line="360" w:lineRule="auto"/>
        <w:jc w:val="both"/>
        <w:rPr>
          <w:rFonts w:ascii="Times New Roman" w:hAnsi="Times New Roman" w:cs="Times New Roman"/>
          <w:sz w:val="24"/>
        </w:rPr>
      </w:pPr>
      <w:r w:rsidRPr="007873ED">
        <w:rPr>
          <w:rFonts w:ascii="Times New Roman" w:hAnsi="Times New Roman" w:cs="Times New Roman"/>
          <w:sz w:val="24"/>
        </w:rPr>
        <w:t xml:space="preserve">Et pour obtenir le SCR, </w:t>
      </w:r>
      <w:r w:rsidR="007873ED" w:rsidRPr="007873ED">
        <w:rPr>
          <w:rFonts w:ascii="Times New Roman" w:hAnsi="Times New Roman" w:cs="Times New Roman"/>
          <w:sz w:val="24"/>
        </w:rPr>
        <w:t>on somme le SCR de base et le SCR opérationnel</w:t>
      </w:r>
    </w:p>
    <w:p w:rsidR="007873ED" w:rsidRPr="007873ED" w:rsidRDefault="007873ED" w:rsidP="007873ED">
      <w:pPr>
        <w:pStyle w:val="Paragraphedeliste"/>
        <w:spacing w:line="240" w:lineRule="auto"/>
        <w:rPr>
          <w:rFonts w:asciiTheme="majorBidi" w:hAnsiTheme="majorBidi" w:cstheme="majorBidi"/>
          <w:sz w:val="24"/>
          <w:szCs w:val="24"/>
        </w:rPr>
      </w:pPr>
    </w:p>
    <w:p w:rsidR="00FC627D" w:rsidRPr="007873ED" w:rsidRDefault="00334E7E" w:rsidP="007873ED">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7873ED">
        <w:rPr>
          <w:rFonts w:asciiTheme="majorBidi" w:hAnsiTheme="majorBidi" w:cstheme="majorBidi"/>
          <w:sz w:val="24"/>
          <w:szCs w:val="24"/>
        </w:rPr>
        <w:t xml:space="preserve">Au vu de la cartographie des risques propres </w:t>
      </w:r>
      <w:proofErr w:type="gramStart"/>
      <w:r w:rsidRPr="007873ED">
        <w:rPr>
          <w:rFonts w:asciiTheme="majorBidi" w:hAnsiTheme="majorBidi" w:cstheme="majorBidi"/>
          <w:sz w:val="24"/>
          <w:szCs w:val="24"/>
        </w:rPr>
        <w:t>au  portefeuille</w:t>
      </w:r>
      <w:proofErr w:type="gramEnd"/>
      <w:r w:rsidRPr="007873ED">
        <w:rPr>
          <w:rFonts w:asciiTheme="majorBidi" w:hAnsiTheme="majorBidi" w:cstheme="majorBidi"/>
          <w:sz w:val="24"/>
          <w:szCs w:val="24"/>
        </w:rPr>
        <w:t xml:space="preserve"> de notre compagnie d’accueille, l’accent a été mis sur</w:t>
      </w:r>
      <w:r w:rsidR="00A765AF" w:rsidRPr="007873ED">
        <w:rPr>
          <w:rFonts w:asciiTheme="majorBidi" w:hAnsiTheme="majorBidi" w:cstheme="majorBidi"/>
          <w:sz w:val="24"/>
          <w:szCs w:val="24"/>
        </w:rPr>
        <w:t>:</w:t>
      </w:r>
      <w:r w:rsidR="00A765AF" w:rsidRPr="007873ED">
        <w:rPr>
          <w:rFonts w:ascii="Times New Roman" w:hAnsi="Times New Roman" w:cs="Times New Roman"/>
          <w:sz w:val="24"/>
        </w:rPr>
        <w:t xml:space="preserve"> Le Risque opérationnel, les risques de marché, et le risque de souscription non vie</w:t>
      </w:r>
      <w:r w:rsidR="008A24FE" w:rsidRPr="007873ED">
        <w:rPr>
          <w:rFonts w:ascii="Times New Roman" w:hAnsi="Times New Roman" w:cs="Times New Roman"/>
          <w:sz w:val="24"/>
        </w:rPr>
        <w:t>,</w:t>
      </w:r>
      <w:r w:rsidR="00A765AF" w:rsidRPr="007873ED">
        <w:rPr>
          <w:rFonts w:ascii="Times New Roman" w:hAnsi="Times New Roman" w:cs="Times New Roman"/>
          <w:sz w:val="24"/>
        </w:rPr>
        <w:t xml:space="preserve"> </w:t>
      </w:r>
      <w:r w:rsidR="008A24FE" w:rsidRPr="007873ED">
        <w:rPr>
          <w:rFonts w:ascii="Times New Roman" w:hAnsi="Times New Roman" w:cs="Times New Roman"/>
          <w:sz w:val="24"/>
        </w:rPr>
        <w:t xml:space="preserve">qui </w:t>
      </w:r>
      <w:r w:rsidR="008A24FE" w:rsidRPr="007873ED">
        <w:rPr>
          <w:rFonts w:asciiTheme="majorBidi" w:hAnsiTheme="majorBidi" w:cstheme="majorBidi"/>
          <w:sz w:val="24"/>
          <w:szCs w:val="24"/>
        </w:rPr>
        <w:t xml:space="preserve">est l’agrégation de trois sous modules: prime et réserve, catastrophe et rachat. </w:t>
      </w:r>
    </w:p>
    <w:p w:rsidR="007873ED" w:rsidRPr="007873ED" w:rsidRDefault="007873ED" w:rsidP="007873ED">
      <w:pPr>
        <w:pStyle w:val="Paragraphedeliste"/>
        <w:spacing w:line="240" w:lineRule="auto"/>
        <w:rPr>
          <w:rFonts w:asciiTheme="majorBidi" w:hAnsiTheme="majorBidi" w:cstheme="majorBidi"/>
          <w:sz w:val="24"/>
          <w:szCs w:val="24"/>
        </w:rPr>
      </w:pPr>
    </w:p>
    <w:p w:rsidR="00E140D8" w:rsidRDefault="008A24FE" w:rsidP="00BC4492">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7873ED">
        <w:rPr>
          <w:rFonts w:asciiTheme="majorBidi" w:hAnsiTheme="majorBidi" w:cstheme="majorBidi"/>
          <w:sz w:val="24"/>
          <w:szCs w:val="24"/>
        </w:rPr>
        <w:lastRenderedPageBreak/>
        <w:t>A défaut des donn</w:t>
      </w:r>
      <w:r w:rsidR="00891B33">
        <w:rPr>
          <w:rFonts w:asciiTheme="majorBidi" w:hAnsiTheme="majorBidi" w:cstheme="majorBidi"/>
          <w:sz w:val="24"/>
          <w:szCs w:val="24"/>
        </w:rPr>
        <w:t xml:space="preserve">ées </w:t>
      </w:r>
      <w:r w:rsidRPr="007873ED">
        <w:rPr>
          <w:rFonts w:asciiTheme="majorBidi" w:hAnsiTheme="majorBidi" w:cstheme="majorBidi"/>
          <w:sz w:val="24"/>
          <w:szCs w:val="24"/>
        </w:rPr>
        <w:t>nous n’étudions pas dans ce mémoire les sous module des catastrophes et non plus du rachat</w:t>
      </w:r>
      <w:r w:rsidR="005C590D">
        <w:rPr>
          <w:rFonts w:asciiTheme="majorBidi" w:hAnsiTheme="majorBidi" w:cstheme="majorBidi"/>
          <w:sz w:val="24"/>
          <w:szCs w:val="24"/>
        </w:rPr>
        <w:t xml:space="preserve"> rupture du contrat</w:t>
      </w:r>
      <w:r w:rsidRPr="007873ED">
        <w:rPr>
          <w:rFonts w:asciiTheme="majorBidi" w:hAnsiTheme="majorBidi" w:cstheme="majorBidi"/>
          <w:sz w:val="24"/>
          <w:szCs w:val="24"/>
        </w:rPr>
        <w:t xml:space="preserve">. </w:t>
      </w:r>
    </w:p>
    <w:p w:rsidR="00472DFA" w:rsidRDefault="00472DFA" w:rsidP="00472DFA">
      <w:pPr>
        <w:pStyle w:val="Paragraphedeliste"/>
        <w:autoSpaceDE w:val="0"/>
        <w:autoSpaceDN w:val="0"/>
        <w:adjustRightInd w:val="0"/>
        <w:spacing w:after="0" w:line="240" w:lineRule="auto"/>
        <w:ind w:left="360"/>
        <w:jc w:val="both"/>
        <w:rPr>
          <w:rFonts w:asciiTheme="majorBidi" w:hAnsiTheme="majorBidi" w:cstheme="majorBidi"/>
          <w:sz w:val="24"/>
          <w:szCs w:val="24"/>
        </w:rPr>
      </w:pPr>
    </w:p>
    <w:p w:rsidR="00BF3C0D" w:rsidRDefault="008A24FE" w:rsidP="006A09FF">
      <w:pPr>
        <w:pStyle w:val="Paragraphedeliste"/>
        <w:autoSpaceDE w:val="0"/>
        <w:autoSpaceDN w:val="0"/>
        <w:adjustRightInd w:val="0"/>
        <w:spacing w:after="0" w:line="240" w:lineRule="auto"/>
        <w:ind w:left="360"/>
        <w:jc w:val="both"/>
        <w:rPr>
          <w:rFonts w:asciiTheme="majorBidi" w:hAnsiTheme="majorBidi" w:cstheme="majorBidi"/>
          <w:b/>
          <w:bCs/>
          <w:sz w:val="28"/>
          <w:szCs w:val="28"/>
        </w:rPr>
      </w:pPr>
      <w:r w:rsidRPr="007873ED">
        <w:rPr>
          <w:rFonts w:asciiTheme="majorBidi" w:hAnsiTheme="majorBidi" w:cstheme="majorBidi"/>
          <w:sz w:val="24"/>
          <w:szCs w:val="24"/>
        </w:rPr>
        <w:t xml:space="preserve"> </w:t>
      </w:r>
      <w:r w:rsidR="00BF3C0D" w:rsidRPr="00CB6EF9">
        <w:rPr>
          <w:rFonts w:asciiTheme="majorBidi" w:hAnsiTheme="majorBidi" w:cstheme="majorBidi"/>
          <w:b/>
          <w:bCs/>
          <w:sz w:val="28"/>
          <w:szCs w:val="28"/>
        </w:rPr>
        <w:t xml:space="preserve">3-1-2- </w:t>
      </w:r>
      <w:r w:rsidR="00B011BB" w:rsidRPr="00CB6EF9">
        <w:rPr>
          <w:rFonts w:asciiTheme="majorBidi" w:hAnsiTheme="majorBidi" w:cstheme="majorBidi"/>
          <w:b/>
          <w:bCs/>
          <w:sz w:val="28"/>
          <w:szCs w:val="28"/>
        </w:rPr>
        <w:t xml:space="preserve">Le calcul des fonds propres économiques </w:t>
      </w:r>
    </w:p>
    <w:p w:rsidR="00D61F84" w:rsidRPr="006A09FF" w:rsidRDefault="00D61F84" w:rsidP="006A09FF">
      <w:pPr>
        <w:pStyle w:val="Paragraphedeliste"/>
        <w:autoSpaceDE w:val="0"/>
        <w:autoSpaceDN w:val="0"/>
        <w:adjustRightInd w:val="0"/>
        <w:spacing w:after="0" w:line="240" w:lineRule="auto"/>
        <w:ind w:left="360"/>
        <w:jc w:val="both"/>
        <w:rPr>
          <w:rFonts w:asciiTheme="majorBidi" w:hAnsiTheme="majorBidi" w:cstheme="majorBidi"/>
          <w:sz w:val="24"/>
          <w:szCs w:val="24"/>
        </w:rPr>
      </w:pPr>
    </w:p>
    <w:p w:rsidR="00B011BB" w:rsidRDefault="00B011BB" w:rsidP="00334E7E">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B011BB">
        <w:rPr>
          <w:rFonts w:asciiTheme="majorBidi" w:hAnsiTheme="majorBidi" w:cstheme="majorBidi"/>
          <w:sz w:val="24"/>
          <w:szCs w:val="24"/>
        </w:rPr>
        <w:t xml:space="preserve">Solvabilité 2 repose sur une vision économique. A chaque date </w:t>
      </w:r>
      <w:r w:rsidRPr="00B011BB">
        <w:rPr>
          <w:rFonts w:ascii="Cambria Math" w:hAnsi="Cambria Math" w:cstheme="majorBidi"/>
          <w:sz w:val="24"/>
          <w:szCs w:val="24"/>
        </w:rPr>
        <w:t>𝑡</w:t>
      </w:r>
      <w:r w:rsidRPr="00B011BB">
        <w:rPr>
          <w:rFonts w:asciiTheme="majorBidi" w:hAnsiTheme="majorBidi" w:cstheme="majorBidi"/>
          <w:sz w:val="24"/>
          <w:szCs w:val="24"/>
        </w:rPr>
        <w:t>, on peut définir le bilan économique de la compagnie d’assurance de la façon suivante :</w:t>
      </w:r>
    </w:p>
    <w:p w:rsidR="004B02FB" w:rsidRDefault="00B85085" w:rsidP="00334E7E">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rPr>
        <w:pict>
          <v:group id="_x0000_s1049" style="position:absolute;left:0;text-align:left;margin-left:122.55pt;margin-top:5.8pt;width:209.05pt;height:196.75pt;z-index:251681792" coordorigin="3765,1020" coordsize="3780,3660">
            <v:roundrect id="_x0000_s1046" style="position:absolute;left:3765;top:1020;width:1695;height:3660" arcsize="10923f" fillcolor="#b2a1c7 [1943]" stroked="f" strokecolor="#8064a2 [3207]" strokeweight="1pt">
              <v:fill color2="#8064a2 [3207]" focus="50%" type="gradient"/>
              <v:imagedata embosscolor="shadow add(51)"/>
              <v:shadow type="emboss" color="lineOrFill darken(153)" color2="shadow add(102)" offset="1pt,1pt"/>
              <v:textbox>
                <w:txbxContent>
                  <w:p w:rsidR="00341914" w:rsidRDefault="00341914" w:rsidP="009374B3">
                    <w:pPr>
                      <w:jc w:val="center"/>
                      <w:rPr>
                        <w:rFonts w:asciiTheme="majorBidi" w:hAnsiTheme="majorBidi" w:cstheme="majorBidi"/>
                        <w:sz w:val="36"/>
                        <w:szCs w:val="36"/>
                      </w:rPr>
                    </w:pPr>
                  </w:p>
                  <w:p w:rsidR="00341914" w:rsidRPr="009374B3" w:rsidRDefault="00341914" w:rsidP="009374B3">
                    <w:pPr>
                      <w:jc w:val="center"/>
                      <w:rPr>
                        <w:rFonts w:asciiTheme="majorBidi" w:hAnsiTheme="majorBidi" w:cstheme="majorBidi"/>
                        <w:sz w:val="36"/>
                        <w:szCs w:val="36"/>
                        <w:vertAlign w:val="subscript"/>
                      </w:rPr>
                    </w:pPr>
                    <w:proofErr w:type="spellStart"/>
                    <w:r w:rsidRPr="009374B3">
                      <w:rPr>
                        <w:rFonts w:asciiTheme="majorBidi" w:hAnsiTheme="majorBidi" w:cstheme="majorBidi"/>
                        <w:sz w:val="36"/>
                        <w:szCs w:val="36"/>
                      </w:rPr>
                      <w:t>A</w:t>
                    </w:r>
                    <w:r w:rsidRPr="009374B3">
                      <w:rPr>
                        <w:rFonts w:asciiTheme="majorBidi" w:hAnsiTheme="majorBidi" w:cstheme="majorBidi"/>
                        <w:sz w:val="36"/>
                        <w:szCs w:val="36"/>
                        <w:vertAlign w:val="subscript"/>
                      </w:rPr>
                      <w:t>t</w:t>
                    </w:r>
                    <w:proofErr w:type="spellEnd"/>
                  </w:p>
                  <w:p w:rsidR="00341914" w:rsidRPr="009374B3" w:rsidRDefault="00341914" w:rsidP="009374B3">
                    <w:pPr>
                      <w:jc w:val="center"/>
                      <w:rPr>
                        <w:rFonts w:asciiTheme="majorBidi" w:hAnsiTheme="majorBidi" w:cstheme="majorBidi"/>
                        <w:sz w:val="36"/>
                        <w:szCs w:val="36"/>
                      </w:rPr>
                    </w:pPr>
                    <w:r w:rsidRPr="009374B3">
                      <w:rPr>
                        <w:rFonts w:asciiTheme="majorBidi" w:hAnsiTheme="majorBidi" w:cstheme="majorBidi"/>
                        <w:sz w:val="36"/>
                        <w:szCs w:val="36"/>
                      </w:rPr>
                      <w:t>(</w:t>
                    </w:r>
                    <w:proofErr w:type="gramStart"/>
                    <w:r w:rsidRPr="009374B3">
                      <w:rPr>
                        <w:rFonts w:asciiTheme="majorBidi" w:hAnsiTheme="majorBidi" w:cstheme="majorBidi"/>
                        <w:sz w:val="36"/>
                        <w:szCs w:val="36"/>
                      </w:rPr>
                      <w:t>en</w:t>
                    </w:r>
                    <w:proofErr w:type="gramEnd"/>
                    <w:r w:rsidRPr="009374B3">
                      <w:rPr>
                        <w:rFonts w:asciiTheme="majorBidi" w:hAnsiTheme="majorBidi" w:cstheme="majorBidi"/>
                        <w:sz w:val="36"/>
                        <w:szCs w:val="36"/>
                      </w:rPr>
                      <w:t xml:space="preserve"> VM)</w:t>
                    </w:r>
                  </w:p>
                </w:txbxContent>
              </v:textbox>
            </v:roundrect>
            <v:roundrect id="_x0000_s1047" style="position:absolute;left:5910;top:1020;width:1635;height:1455;v-text-anchor:middle" arcsize="10923f" fillcolor="#92cddc [1944]" strokecolor="#92cddc [1944]" strokeweight="1pt">
              <v:fill color2="#daeef3 [664]" angle="-45" focus="-50%" type="gradient"/>
              <v:shadow color="#205867 [1608]" opacity=".5" offset="-6pt,-6pt"/>
              <v:textbox>
                <w:txbxContent>
                  <w:p w:rsidR="00341914" w:rsidRPr="009374B3" w:rsidRDefault="00341914" w:rsidP="009374B3">
                    <w:pPr>
                      <w:jc w:val="center"/>
                      <w:rPr>
                        <w:rFonts w:asciiTheme="majorBidi" w:hAnsiTheme="majorBidi" w:cstheme="majorBidi"/>
                        <w:sz w:val="36"/>
                        <w:szCs w:val="36"/>
                        <w:vertAlign w:val="subscript"/>
                      </w:rPr>
                    </w:pPr>
                    <w:proofErr w:type="spellStart"/>
                    <w:r w:rsidRPr="009374B3">
                      <w:rPr>
                        <w:rFonts w:asciiTheme="majorBidi" w:hAnsiTheme="majorBidi" w:cstheme="majorBidi"/>
                        <w:sz w:val="36"/>
                        <w:szCs w:val="36"/>
                      </w:rPr>
                      <w:t>NAV</w:t>
                    </w:r>
                    <w:r w:rsidRPr="009374B3">
                      <w:rPr>
                        <w:rFonts w:asciiTheme="majorBidi" w:hAnsiTheme="majorBidi" w:cstheme="majorBidi"/>
                        <w:sz w:val="36"/>
                        <w:szCs w:val="36"/>
                        <w:vertAlign w:val="subscript"/>
                      </w:rPr>
                      <w:t>t</w:t>
                    </w:r>
                    <w:proofErr w:type="spellEnd"/>
                  </w:p>
                </w:txbxContent>
              </v:textbox>
            </v:roundrect>
            <v:roundrect id="_x0000_s1048" style="position:absolute;left:5910;top:2580;width:1635;height:2100;v-text-anchor:middle" arcsize="10923f" fillcolor="#c2d69b [1942]" strokecolor="#9bbb59 [3206]" strokeweight="1pt">
              <v:fill color2="#9bbb59 [3206]" focus="50%" type="gradient"/>
              <v:shadow color="#4e6128 [1606]" opacity=".5" offset="-6pt,-6pt"/>
              <v:textbox>
                <w:txbxContent>
                  <w:p w:rsidR="00341914" w:rsidRPr="009374B3" w:rsidRDefault="00341914" w:rsidP="009374B3">
                    <w:pPr>
                      <w:jc w:val="center"/>
                      <w:rPr>
                        <w:rFonts w:asciiTheme="majorBidi" w:hAnsiTheme="majorBidi" w:cstheme="majorBidi"/>
                        <w:sz w:val="36"/>
                        <w:szCs w:val="36"/>
                        <w:vertAlign w:val="subscript"/>
                      </w:rPr>
                    </w:pPr>
                    <w:proofErr w:type="spellStart"/>
                    <w:r w:rsidRPr="009374B3">
                      <w:rPr>
                        <w:rFonts w:asciiTheme="majorBidi" w:hAnsiTheme="majorBidi" w:cstheme="majorBidi"/>
                        <w:sz w:val="36"/>
                        <w:szCs w:val="36"/>
                      </w:rPr>
                      <w:t>BE</w:t>
                    </w:r>
                    <w:r w:rsidRPr="009374B3">
                      <w:rPr>
                        <w:rFonts w:asciiTheme="majorBidi" w:hAnsiTheme="majorBidi" w:cstheme="majorBidi"/>
                        <w:sz w:val="36"/>
                        <w:szCs w:val="36"/>
                        <w:vertAlign w:val="subscript"/>
                      </w:rPr>
                      <w:t>t</w:t>
                    </w:r>
                    <w:proofErr w:type="spellEnd"/>
                  </w:p>
                </w:txbxContent>
              </v:textbox>
            </v:roundrect>
          </v:group>
        </w:pict>
      </w:r>
    </w:p>
    <w:p w:rsidR="004B02FB" w:rsidRPr="00B011BB" w:rsidRDefault="004B02FB" w:rsidP="00334E7E">
      <w:pPr>
        <w:autoSpaceDE w:val="0"/>
        <w:autoSpaceDN w:val="0"/>
        <w:adjustRightInd w:val="0"/>
        <w:spacing w:after="0" w:line="360" w:lineRule="auto"/>
        <w:jc w:val="both"/>
        <w:rPr>
          <w:rFonts w:asciiTheme="majorBidi" w:hAnsiTheme="majorBidi" w:cstheme="majorBidi"/>
          <w:b/>
          <w:bCs/>
          <w:sz w:val="24"/>
          <w:szCs w:val="24"/>
        </w:rPr>
      </w:pPr>
    </w:p>
    <w:p w:rsidR="00B011BB" w:rsidRDefault="00B011BB" w:rsidP="009374B3">
      <w:pPr>
        <w:autoSpaceDE w:val="0"/>
        <w:autoSpaceDN w:val="0"/>
        <w:adjustRightInd w:val="0"/>
        <w:spacing w:after="0" w:line="360" w:lineRule="auto"/>
        <w:jc w:val="both"/>
        <w:rPr>
          <w:rFonts w:asciiTheme="majorBidi" w:hAnsiTheme="majorBidi" w:cstheme="majorBidi"/>
          <w:b/>
          <w:bCs/>
          <w:sz w:val="24"/>
          <w:szCs w:val="24"/>
        </w:rPr>
      </w:pPr>
    </w:p>
    <w:p w:rsidR="00B011BB" w:rsidRDefault="00B011BB" w:rsidP="00334E7E">
      <w:pPr>
        <w:autoSpaceDE w:val="0"/>
        <w:autoSpaceDN w:val="0"/>
        <w:adjustRightInd w:val="0"/>
        <w:spacing w:after="0" w:line="360" w:lineRule="auto"/>
        <w:jc w:val="both"/>
        <w:rPr>
          <w:rFonts w:asciiTheme="majorBidi" w:hAnsiTheme="majorBidi" w:cstheme="majorBidi"/>
          <w:b/>
          <w:bCs/>
          <w:sz w:val="24"/>
          <w:szCs w:val="24"/>
        </w:rPr>
      </w:pPr>
    </w:p>
    <w:p w:rsidR="00B011BB" w:rsidRDefault="00B011BB" w:rsidP="00334E7E">
      <w:pPr>
        <w:autoSpaceDE w:val="0"/>
        <w:autoSpaceDN w:val="0"/>
        <w:adjustRightInd w:val="0"/>
        <w:spacing w:after="0" w:line="360" w:lineRule="auto"/>
        <w:jc w:val="both"/>
        <w:rPr>
          <w:rFonts w:asciiTheme="majorBidi" w:hAnsiTheme="majorBidi" w:cstheme="majorBidi"/>
          <w:b/>
          <w:bCs/>
          <w:sz w:val="24"/>
          <w:szCs w:val="24"/>
        </w:rPr>
      </w:pPr>
    </w:p>
    <w:p w:rsidR="00B011BB" w:rsidRDefault="00B011BB" w:rsidP="00334E7E">
      <w:pPr>
        <w:autoSpaceDE w:val="0"/>
        <w:autoSpaceDN w:val="0"/>
        <w:adjustRightInd w:val="0"/>
        <w:spacing w:after="0" w:line="360" w:lineRule="auto"/>
        <w:jc w:val="both"/>
        <w:rPr>
          <w:rFonts w:asciiTheme="majorBidi" w:hAnsiTheme="majorBidi" w:cstheme="majorBidi"/>
          <w:b/>
          <w:bCs/>
          <w:sz w:val="24"/>
          <w:szCs w:val="24"/>
        </w:rPr>
      </w:pPr>
    </w:p>
    <w:p w:rsidR="00B011BB" w:rsidRDefault="00B011BB" w:rsidP="00334E7E">
      <w:pPr>
        <w:autoSpaceDE w:val="0"/>
        <w:autoSpaceDN w:val="0"/>
        <w:adjustRightInd w:val="0"/>
        <w:spacing w:after="0" w:line="360" w:lineRule="auto"/>
        <w:jc w:val="both"/>
        <w:rPr>
          <w:rFonts w:asciiTheme="majorBidi" w:hAnsiTheme="majorBidi" w:cstheme="majorBidi"/>
          <w:b/>
          <w:bCs/>
          <w:sz w:val="24"/>
          <w:szCs w:val="24"/>
        </w:rPr>
      </w:pPr>
    </w:p>
    <w:p w:rsidR="00B011BB" w:rsidRDefault="00B011BB" w:rsidP="00334E7E">
      <w:pPr>
        <w:autoSpaceDE w:val="0"/>
        <w:autoSpaceDN w:val="0"/>
        <w:adjustRightInd w:val="0"/>
        <w:spacing w:after="0" w:line="360" w:lineRule="auto"/>
        <w:jc w:val="both"/>
        <w:rPr>
          <w:rFonts w:asciiTheme="majorBidi" w:hAnsiTheme="majorBidi" w:cstheme="majorBidi"/>
          <w:b/>
          <w:bCs/>
          <w:sz w:val="24"/>
          <w:szCs w:val="24"/>
        </w:rPr>
      </w:pPr>
    </w:p>
    <w:p w:rsidR="00B011BB" w:rsidRDefault="00B011BB" w:rsidP="00334E7E">
      <w:pPr>
        <w:autoSpaceDE w:val="0"/>
        <w:autoSpaceDN w:val="0"/>
        <w:adjustRightInd w:val="0"/>
        <w:spacing w:after="0" w:line="360" w:lineRule="auto"/>
        <w:jc w:val="both"/>
        <w:rPr>
          <w:rFonts w:asciiTheme="majorBidi" w:hAnsiTheme="majorBidi" w:cstheme="majorBidi"/>
          <w:b/>
          <w:bCs/>
          <w:sz w:val="24"/>
          <w:szCs w:val="24"/>
        </w:rPr>
      </w:pPr>
    </w:p>
    <w:p w:rsidR="00B011BB" w:rsidRDefault="00B011BB" w:rsidP="00334E7E">
      <w:pPr>
        <w:autoSpaceDE w:val="0"/>
        <w:autoSpaceDN w:val="0"/>
        <w:adjustRightInd w:val="0"/>
        <w:spacing w:after="0" w:line="360" w:lineRule="auto"/>
        <w:jc w:val="both"/>
        <w:rPr>
          <w:rFonts w:asciiTheme="majorBidi" w:hAnsiTheme="majorBidi" w:cstheme="majorBidi"/>
          <w:b/>
          <w:bCs/>
          <w:sz w:val="24"/>
          <w:szCs w:val="24"/>
        </w:rPr>
      </w:pPr>
    </w:p>
    <w:p w:rsidR="009374B3" w:rsidRDefault="005C0832" w:rsidP="005C0832">
      <w:pPr>
        <w:autoSpaceDE w:val="0"/>
        <w:autoSpaceDN w:val="0"/>
        <w:adjustRightInd w:val="0"/>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Figure N°</w:t>
      </w:r>
      <w:r w:rsidR="00EE7241">
        <w:rPr>
          <w:rFonts w:asciiTheme="majorBidi" w:hAnsiTheme="majorBidi" w:cstheme="majorBidi"/>
          <w:b/>
          <w:bCs/>
          <w:sz w:val="24"/>
          <w:szCs w:val="24"/>
        </w:rPr>
        <w:t>6</w:t>
      </w:r>
      <w:r>
        <w:rPr>
          <w:rFonts w:asciiTheme="majorBidi" w:hAnsiTheme="majorBidi" w:cstheme="majorBidi"/>
          <w:b/>
          <w:bCs/>
          <w:sz w:val="24"/>
          <w:szCs w:val="24"/>
        </w:rPr>
        <w:t> : Le bilan économique</w:t>
      </w:r>
    </w:p>
    <w:p w:rsidR="005C0832" w:rsidRDefault="005C0832" w:rsidP="005C0832">
      <w:pPr>
        <w:pStyle w:val="Default"/>
        <w:spacing w:line="276" w:lineRule="auto"/>
        <w:rPr>
          <w:rFonts w:asciiTheme="majorBidi" w:hAnsiTheme="majorBidi" w:cstheme="majorBidi"/>
        </w:rPr>
      </w:pPr>
      <w:r>
        <w:rPr>
          <w:sz w:val="22"/>
          <w:szCs w:val="22"/>
        </w:rPr>
        <w:tab/>
      </w:r>
      <w:r>
        <w:rPr>
          <w:rFonts w:asciiTheme="majorBidi" w:hAnsiTheme="majorBidi" w:cstheme="majorBidi"/>
        </w:rPr>
        <w:t xml:space="preserve">Avec les notations </w:t>
      </w:r>
      <w:proofErr w:type="gramStart"/>
      <w:r>
        <w:rPr>
          <w:rFonts w:asciiTheme="majorBidi" w:hAnsiTheme="majorBidi" w:cstheme="majorBidi"/>
        </w:rPr>
        <w:t>suivantes</w:t>
      </w:r>
      <w:r w:rsidRPr="005C0832">
        <w:rPr>
          <w:rFonts w:asciiTheme="majorBidi" w:hAnsiTheme="majorBidi" w:cstheme="majorBidi"/>
        </w:rPr>
        <w:t>:</w:t>
      </w:r>
      <w:proofErr w:type="gramEnd"/>
      <w:r w:rsidRPr="005C0832">
        <w:rPr>
          <w:rFonts w:asciiTheme="majorBidi" w:hAnsiTheme="majorBidi" w:cstheme="majorBidi"/>
        </w:rPr>
        <w:t xml:space="preserve"> </w:t>
      </w:r>
    </w:p>
    <w:p w:rsidR="003A3AE2" w:rsidRPr="005C0832" w:rsidRDefault="003A3AE2" w:rsidP="003A3AE2">
      <w:pPr>
        <w:pStyle w:val="Default"/>
        <w:rPr>
          <w:rFonts w:asciiTheme="majorBidi" w:hAnsiTheme="majorBidi" w:cstheme="majorBidi"/>
        </w:rPr>
      </w:pPr>
    </w:p>
    <w:p w:rsidR="005C0832" w:rsidRPr="005C0832" w:rsidRDefault="005C0832" w:rsidP="005C0832">
      <w:pPr>
        <w:pStyle w:val="Default"/>
        <w:numPr>
          <w:ilvl w:val="0"/>
          <w:numId w:val="4"/>
        </w:numPr>
        <w:spacing w:line="276" w:lineRule="auto"/>
        <w:rPr>
          <w:rFonts w:asciiTheme="majorBidi" w:hAnsiTheme="majorBidi" w:cstheme="majorBidi"/>
        </w:rPr>
      </w:pPr>
      <w:bookmarkStart w:id="0" w:name="OLE_LINK1"/>
      <w:r w:rsidRPr="005C0832">
        <w:rPr>
          <w:rFonts w:ascii="Cambria Math" w:hAnsi="Cambria Math" w:cstheme="majorBidi"/>
          <w:b/>
          <w:bCs/>
        </w:rPr>
        <w:t>𝐴</w:t>
      </w:r>
      <w:r w:rsidRPr="005C0832">
        <w:rPr>
          <w:rFonts w:ascii="Cambria Math" w:hAnsi="Cambria Math" w:cstheme="majorBidi"/>
          <w:b/>
          <w:bCs/>
          <w:vertAlign w:val="subscript"/>
        </w:rPr>
        <w:t>t</w:t>
      </w:r>
      <w:bookmarkEnd w:id="0"/>
      <w:r w:rsidRPr="005C0832">
        <w:rPr>
          <w:rFonts w:asciiTheme="majorBidi" w:hAnsiTheme="majorBidi" w:cstheme="majorBidi"/>
        </w:rPr>
        <w:t xml:space="preserve"> : l’actif de l’assureur en valeur de marché, </w:t>
      </w:r>
    </w:p>
    <w:p w:rsidR="005C0832" w:rsidRPr="005C0832" w:rsidRDefault="005C0832" w:rsidP="005C0832">
      <w:pPr>
        <w:pStyle w:val="Default"/>
        <w:numPr>
          <w:ilvl w:val="0"/>
          <w:numId w:val="4"/>
        </w:numPr>
        <w:spacing w:line="276" w:lineRule="auto"/>
        <w:rPr>
          <w:rFonts w:asciiTheme="majorBidi" w:hAnsiTheme="majorBidi" w:cstheme="majorBidi"/>
        </w:rPr>
      </w:pPr>
      <w:r w:rsidRPr="005C0832">
        <w:rPr>
          <w:rFonts w:asciiTheme="majorBidi" w:hAnsiTheme="majorBidi" w:cstheme="majorBidi"/>
        </w:rPr>
        <w:t xml:space="preserve"> </w:t>
      </w:r>
      <w:r w:rsidRPr="005C0832">
        <w:rPr>
          <w:rFonts w:ascii="Cambria Math" w:hAnsi="Cambria Math" w:cstheme="majorBidi"/>
          <w:b/>
          <w:bCs/>
        </w:rPr>
        <w:t>𝐵𝐸</w:t>
      </w:r>
      <w:r w:rsidRPr="005C0832">
        <w:rPr>
          <w:rFonts w:ascii="Cambria Math" w:hAnsi="Cambria Math" w:cstheme="majorBidi"/>
          <w:b/>
          <w:bCs/>
          <w:vertAlign w:val="subscript"/>
        </w:rPr>
        <w:t>t</w:t>
      </w:r>
      <w:r w:rsidRPr="005C0832">
        <w:rPr>
          <w:rFonts w:asciiTheme="majorBidi" w:hAnsiTheme="majorBidi" w:cstheme="majorBidi"/>
        </w:rPr>
        <w:t xml:space="preserve"> : le Best </w:t>
      </w:r>
      <w:proofErr w:type="spellStart"/>
      <w:r w:rsidRPr="005C0832">
        <w:rPr>
          <w:rFonts w:asciiTheme="majorBidi" w:hAnsiTheme="majorBidi" w:cstheme="majorBidi"/>
        </w:rPr>
        <w:t>Estimate</w:t>
      </w:r>
      <w:proofErr w:type="spellEnd"/>
      <w:r w:rsidRPr="005C0832">
        <w:rPr>
          <w:rFonts w:asciiTheme="majorBidi" w:hAnsiTheme="majorBidi" w:cstheme="majorBidi"/>
        </w:rPr>
        <w:t xml:space="preserve"> soit la valeur économique des passifs, </w:t>
      </w:r>
    </w:p>
    <w:p w:rsidR="005C0832" w:rsidRPr="005C0832" w:rsidRDefault="005C0832" w:rsidP="005C0832">
      <w:pPr>
        <w:pStyle w:val="Default"/>
        <w:numPr>
          <w:ilvl w:val="0"/>
          <w:numId w:val="4"/>
        </w:numPr>
        <w:spacing w:line="276" w:lineRule="auto"/>
        <w:rPr>
          <w:rFonts w:asciiTheme="majorBidi" w:hAnsiTheme="majorBidi" w:cstheme="majorBidi"/>
        </w:rPr>
      </w:pPr>
      <w:r w:rsidRPr="005C0832">
        <w:rPr>
          <w:rFonts w:asciiTheme="majorBidi" w:hAnsiTheme="majorBidi" w:cstheme="majorBidi"/>
        </w:rPr>
        <w:t xml:space="preserve"> </w:t>
      </w:r>
      <w:r w:rsidRPr="005C0832">
        <w:rPr>
          <w:rFonts w:ascii="Cambria Math" w:hAnsi="Cambria Math" w:cstheme="majorBidi"/>
          <w:b/>
          <w:bCs/>
        </w:rPr>
        <w:t>𝑁𝐴𝑉</w:t>
      </w:r>
      <w:r w:rsidRPr="005C0832">
        <w:rPr>
          <w:rFonts w:ascii="Cambria Math" w:hAnsi="Cambria Math" w:cstheme="majorBidi"/>
          <w:b/>
          <w:bCs/>
          <w:vertAlign w:val="subscript"/>
        </w:rPr>
        <w:t>t</w:t>
      </w:r>
      <w:r w:rsidRPr="005C0832">
        <w:rPr>
          <w:rFonts w:asciiTheme="majorBidi" w:hAnsiTheme="majorBidi" w:cstheme="majorBidi"/>
          <w:b/>
          <w:bCs/>
        </w:rPr>
        <w:t xml:space="preserve"> (Net </w:t>
      </w:r>
      <w:proofErr w:type="spellStart"/>
      <w:r w:rsidRPr="005C0832">
        <w:rPr>
          <w:rFonts w:asciiTheme="majorBidi" w:hAnsiTheme="majorBidi" w:cstheme="majorBidi"/>
          <w:b/>
          <w:bCs/>
        </w:rPr>
        <w:t>Asset</w:t>
      </w:r>
      <w:proofErr w:type="spellEnd"/>
      <w:r w:rsidRPr="005C0832">
        <w:rPr>
          <w:rFonts w:asciiTheme="majorBidi" w:hAnsiTheme="majorBidi" w:cstheme="majorBidi"/>
          <w:b/>
          <w:bCs/>
        </w:rPr>
        <w:t xml:space="preserve"> Value)</w:t>
      </w:r>
      <w:r w:rsidR="00A516DC">
        <w:rPr>
          <w:rFonts w:asciiTheme="majorBidi" w:hAnsiTheme="majorBidi" w:cstheme="majorBidi"/>
        </w:rPr>
        <w:t xml:space="preserve"> : L</w:t>
      </w:r>
      <w:r w:rsidRPr="005C0832">
        <w:rPr>
          <w:rFonts w:asciiTheme="majorBidi" w:hAnsiTheme="majorBidi" w:cstheme="majorBidi"/>
        </w:rPr>
        <w:t xml:space="preserve">es fonds propres économiques qui sont définis en utilisant </w:t>
      </w:r>
      <w:r>
        <w:rPr>
          <w:rFonts w:asciiTheme="majorBidi" w:hAnsiTheme="majorBidi" w:cstheme="majorBidi"/>
        </w:rPr>
        <w:t xml:space="preserve">l’équation d’équilibre du </w:t>
      </w:r>
      <w:proofErr w:type="gramStart"/>
      <w:r>
        <w:rPr>
          <w:rFonts w:asciiTheme="majorBidi" w:hAnsiTheme="majorBidi" w:cstheme="majorBidi"/>
        </w:rPr>
        <w:t>bilan</w:t>
      </w:r>
      <w:r w:rsidRPr="005C0832">
        <w:rPr>
          <w:rFonts w:asciiTheme="majorBidi" w:hAnsiTheme="majorBidi" w:cstheme="majorBidi"/>
        </w:rPr>
        <w:t>:</w:t>
      </w:r>
      <w:proofErr w:type="gramEnd"/>
      <w:r w:rsidRPr="005C0832">
        <w:rPr>
          <w:rFonts w:asciiTheme="majorBidi" w:hAnsiTheme="majorBidi" w:cstheme="majorBidi"/>
        </w:rPr>
        <w:t xml:space="preserve"> </w:t>
      </w:r>
    </w:p>
    <w:p w:rsidR="005C0832" w:rsidRDefault="00B85085" w:rsidP="005C0832">
      <w:pPr>
        <w:pStyle w:val="Default"/>
        <w:rPr>
          <w:sz w:val="22"/>
          <w:szCs w:val="22"/>
        </w:rPr>
      </w:pPr>
      <w:r w:rsidRPr="00B85085">
        <w:rPr>
          <w:rFonts w:ascii="Cambria Math" w:hAnsi="Cambria Math" w:cs="Cambria Math"/>
          <w:noProof/>
        </w:rPr>
        <w:pict>
          <v:roundrect id="_x0000_s1050" style="position:absolute;margin-left:158.3pt;margin-top:9.55pt;width:136.5pt;height:31.5pt;z-index:251682816" arcsize="10923f" fillcolor="#b2a1c7 [1943]" strokecolor="#b2a1c7 [1943]" strokeweight="1pt">
            <v:fill color2="#e5dfec [663]" angle="-45" focus="-50%" type="gradient"/>
            <v:shadow on="t" type="perspective" color="#3f3151 [1607]" opacity=".5" offset="1pt" offset2="-3pt"/>
            <v:textbox>
              <w:txbxContent>
                <w:p w:rsidR="00341914" w:rsidRPr="005C0832" w:rsidRDefault="00341914" w:rsidP="005C0832">
                  <w:pPr>
                    <w:autoSpaceDE w:val="0"/>
                    <w:autoSpaceDN w:val="0"/>
                    <w:adjustRightInd w:val="0"/>
                    <w:spacing w:after="0" w:line="360" w:lineRule="auto"/>
                    <w:jc w:val="center"/>
                    <w:rPr>
                      <w:rFonts w:asciiTheme="majorBidi" w:hAnsiTheme="majorBidi" w:cstheme="majorBidi"/>
                      <w:b/>
                      <w:bCs/>
                      <w:sz w:val="24"/>
                      <w:szCs w:val="24"/>
                    </w:rPr>
                  </w:pPr>
                  <w:r w:rsidRPr="005C0832">
                    <w:rPr>
                      <w:rFonts w:ascii="Cambria Math" w:hAnsi="Cambria Math" w:cs="Cambria Math"/>
                      <w:b/>
                      <w:bCs/>
                    </w:rPr>
                    <w:t>𝑁𝐴𝑉</w:t>
                  </w:r>
                  <w:r w:rsidRPr="005C0832">
                    <w:rPr>
                      <w:rFonts w:ascii="Cambria Math" w:hAnsi="Cambria Math" w:cs="Cambria Math"/>
                      <w:b/>
                      <w:bCs/>
                      <w:sz w:val="16"/>
                      <w:szCs w:val="16"/>
                    </w:rPr>
                    <w:t>𝑡</w:t>
                  </w:r>
                  <w:r w:rsidRPr="005C0832">
                    <w:rPr>
                      <w:rFonts w:ascii="Cambria Math" w:hAnsi="Cambria Math" w:cs="Cambria Math"/>
                      <w:b/>
                      <w:bCs/>
                    </w:rPr>
                    <w:t>=𝐴</w:t>
                  </w:r>
                  <w:r w:rsidRPr="005C0832">
                    <w:rPr>
                      <w:rFonts w:ascii="Cambria Math" w:hAnsi="Cambria Math" w:cs="Cambria Math"/>
                      <w:b/>
                      <w:bCs/>
                      <w:sz w:val="16"/>
                      <w:szCs w:val="16"/>
                    </w:rPr>
                    <w:t>𝑡</w:t>
                  </w:r>
                  <w:r w:rsidRPr="005C0832">
                    <w:rPr>
                      <w:rFonts w:ascii="Cambria Math" w:hAnsi="Cambria Math" w:cs="Cambria Math"/>
                      <w:b/>
                      <w:bCs/>
                    </w:rPr>
                    <w:t>−𝐵𝐸</w:t>
                  </w:r>
                  <w:r w:rsidRPr="005C0832">
                    <w:rPr>
                      <w:rFonts w:ascii="Cambria Math" w:hAnsi="Cambria Math" w:cs="Cambria Math"/>
                      <w:b/>
                      <w:bCs/>
                      <w:sz w:val="16"/>
                      <w:szCs w:val="16"/>
                    </w:rPr>
                    <w:t>𝑡</w:t>
                  </w:r>
                </w:p>
                <w:p w:rsidR="00341914" w:rsidRDefault="00341914"/>
              </w:txbxContent>
            </v:textbox>
          </v:roundrect>
        </w:pict>
      </w:r>
    </w:p>
    <w:p w:rsidR="005C0832" w:rsidRDefault="005C0832" w:rsidP="005C0832">
      <w:pPr>
        <w:autoSpaceDE w:val="0"/>
        <w:autoSpaceDN w:val="0"/>
        <w:adjustRightInd w:val="0"/>
        <w:spacing w:after="0" w:line="360" w:lineRule="auto"/>
        <w:jc w:val="center"/>
        <w:rPr>
          <w:rFonts w:ascii="Cambria Math" w:hAnsi="Cambria Math" w:cs="Cambria Math"/>
        </w:rPr>
      </w:pPr>
    </w:p>
    <w:p w:rsidR="00B55D2C" w:rsidRDefault="00B55D2C" w:rsidP="00B55D2C">
      <w:pPr>
        <w:pStyle w:val="Paragraphedeliste"/>
        <w:autoSpaceDE w:val="0"/>
        <w:autoSpaceDN w:val="0"/>
        <w:adjustRightInd w:val="0"/>
        <w:spacing w:after="0" w:line="240" w:lineRule="auto"/>
        <w:ind w:left="578"/>
        <w:jc w:val="both"/>
        <w:rPr>
          <w:rFonts w:ascii="Cambria Math" w:hAnsi="Cambria Math" w:cs="Cambria Math"/>
        </w:rPr>
      </w:pPr>
    </w:p>
    <w:p w:rsidR="00E140D8" w:rsidRDefault="00E140D8" w:rsidP="00B55D2C">
      <w:pPr>
        <w:pStyle w:val="Paragraphedeliste"/>
        <w:autoSpaceDE w:val="0"/>
        <w:autoSpaceDN w:val="0"/>
        <w:adjustRightInd w:val="0"/>
        <w:spacing w:after="0" w:line="240" w:lineRule="auto"/>
        <w:ind w:left="578"/>
        <w:jc w:val="both"/>
        <w:rPr>
          <w:rFonts w:ascii="Cambria Math" w:hAnsi="Cambria Math" w:cs="Cambria Math"/>
        </w:rPr>
      </w:pPr>
    </w:p>
    <w:p w:rsidR="00B55D2C" w:rsidRPr="00B55D2C" w:rsidRDefault="00A0446A" w:rsidP="00B55D2C">
      <w:pPr>
        <w:pStyle w:val="Paragraphedeliste"/>
        <w:numPr>
          <w:ilvl w:val="3"/>
          <w:numId w:val="7"/>
        </w:numPr>
        <w:autoSpaceDE w:val="0"/>
        <w:autoSpaceDN w:val="0"/>
        <w:adjustRightInd w:val="0"/>
        <w:spacing w:after="0" w:line="360" w:lineRule="auto"/>
        <w:jc w:val="both"/>
        <w:rPr>
          <w:rFonts w:asciiTheme="majorBidi" w:hAnsiTheme="majorBidi" w:cstheme="majorBidi"/>
          <w:b/>
          <w:bCs/>
          <w:sz w:val="24"/>
          <w:szCs w:val="24"/>
        </w:rPr>
      </w:pPr>
      <w:r w:rsidRPr="00A0446A">
        <w:rPr>
          <w:rFonts w:asciiTheme="majorBidi" w:hAnsiTheme="majorBidi" w:cstheme="majorBidi"/>
          <w:b/>
          <w:bCs/>
          <w:sz w:val="24"/>
          <w:szCs w:val="24"/>
        </w:rPr>
        <w:t xml:space="preserve">L’actif en valeur de marché </w:t>
      </w:r>
    </w:p>
    <w:p w:rsidR="002502F8" w:rsidRDefault="00A0446A" w:rsidP="00566C9E">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sz w:val="24"/>
          <w:szCs w:val="24"/>
        </w:rPr>
        <w:tab/>
      </w:r>
      <w:r w:rsidR="00A516DC" w:rsidRPr="00A01274">
        <w:rPr>
          <w:rFonts w:asciiTheme="majorBidi" w:hAnsiTheme="majorBidi" w:cstheme="majorBidi"/>
          <w:sz w:val="24"/>
          <w:szCs w:val="24"/>
        </w:rPr>
        <w:t>On suppose que le portefeuille d’actif</w:t>
      </w:r>
      <w:r w:rsidR="00A516DC">
        <w:rPr>
          <w:rFonts w:asciiTheme="majorBidi" w:hAnsiTheme="majorBidi" w:cstheme="majorBidi"/>
          <w:b/>
          <w:bCs/>
          <w:sz w:val="24"/>
          <w:szCs w:val="24"/>
        </w:rPr>
        <w:t xml:space="preserve"> </w:t>
      </w:r>
      <w:r w:rsidR="00A516DC" w:rsidRPr="00A01274">
        <w:rPr>
          <w:rFonts w:asciiTheme="majorBidi" w:hAnsiTheme="majorBidi" w:cstheme="majorBidi"/>
          <w:sz w:val="24"/>
          <w:szCs w:val="24"/>
        </w:rPr>
        <w:t>ne</w:t>
      </w:r>
      <w:r w:rsidR="00A8739D">
        <w:rPr>
          <w:rFonts w:asciiTheme="majorBidi" w:hAnsiTheme="majorBidi" w:cstheme="majorBidi"/>
          <w:sz w:val="24"/>
          <w:szCs w:val="24"/>
        </w:rPr>
        <w:t xml:space="preserve"> présente pas de plus value, ni de moins value latente</w:t>
      </w:r>
      <w:r w:rsidR="00A01274">
        <w:rPr>
          <w:rFonts w:asciiTheme="majorBidi" w:hAnsiTheme="majorBidi" w:cstheme="majorBidi"/>
          <w:b/>
          <w:bCs/>
          <w:sz w:val="24"/>
          <w:szCs w:val="24"/>
        </w:rPr>
        <w:t xml:space="preserve"> </w:t>
      </w:r>
      <w:r w:rsidR="00390AF6" w:rsidRPr="00390AF6">
        <w:rPr>
          <w:rFonts w:asciiTheme="majorBidi" w:hAnsiTheme="majorBidi" w:cstheme="majorBidi"/>
          <w:sz w:val="24"/>
          <w:szCs w:val="24"/>
        </w:rPr>
        <w:t>c'est-à-dire</w:t>
      </w:r>
      <w:r w:rsidR="00390AF6">
        <w:rPr>
          <w:rFonts w:asciiTheme="majorBidi" w:hAnsiTheme="majorBidi" w:cstheme="majorBidi"/>
          <w:b/>
          <w:bCs/>
          <w:sz w:val="24"/>
          <w:szCs w:val="24"/>
        </w:rPr>
        <w:t xml:space="preserve"> </w:t>
      </w:r>
      <w:r w:rsidR="00390AF6" w:rsidRPr="00390AF6">
        <w:rPr>
          <w:rFonts w:asciiTheme="majorBidi" w:hAnsiTheme="majorBidi" w:cstheme="majorBidi"/>
          <w:sz w:val="24"/>
          <w:szCs w:val="24"/>
        </w:rPr>
        <w:t>que la valeur de marché est égale à la valeur nette</w:t>
      </w:r>
      <w:r w:rsidR="00390AF6">
        <w:rPr>
          <w:rFonts w:asciiTheme="majorBidi" w:hAnsiTheme="majorBidi" w:cstheme="majorBidi"/>
          <w:b/>
          <w:bCs/>
          <w:sz w:val="24"/>
          <w:szCs w:val="24"/>
        </w:rPr>
        <w:t xml:space="preserve"> </w:t>
      </w:r>
      <w:r w:rsidR="00390AF6" w:rsidRPr="00390AF6">
        <w:rPr>
          <w:rFonts w:asciiTheme="majorBidi" w:hAnsiTheme="majorBidi" w:cstheme="majorBidi"/>
          <w:sz w:val="24"/>
          <w:szCs w:val="24"/>
        </w:rPr>
        <w:t>comptable</w:t>
      </w:r>
      <w:r w:rsidR="00390AF6">
        <w:rPr>
          <w:rFonts w:asciiTheme="majorBidi" w:hAnsiTheme="majorBidi" w:cstheme="majorBidi"/>
          <w:sz w:val="24"/>
          <w:szCs w:val="24"/>
        </w:rPr>
        <w:t xml:space="preserve"> qui s’élève </w:t>
      </w:r>
      <w:proofErr w:type="gramStart"/>
      <w:r w:rsidR="00390AF6">
        <w:rPr>
          <w:rFonts w:asciiTheme="majorBidi" w:hAnsiTheme="majorBidi" w:cstheme="majorBidi"/>
          <w:sz w:val="24"/>
          <w:szCs w:val="24"/>
        </w:rPr>
        <w:t>à</w:t>
      </w:r>
      <w:r w:rsidR="00842EAB">
        <w:rPr>
          <w:rFonts w:asciiTheme="majorBidi" w:hAnsiTheme="majorBidi" w:cstheme="majorBidi"/>
          <w:sz w:val="24"/>
          <w:szCs w:val="24"/>
        </w:rPr>
        <w:t>:</w:t>
      </w:r>
      <w:proofErr w:type="gramEnd"/>
      <w:r w:rsidR="00842EAB">
        <w:rPr>
          <w:rFonts w:asciiTheme="majorBidi" w:hAnsiTheme="majorBidi" w:cstheme="majorBidi"/>
          <w:sz w:val="24"/>
          <w:szCs w:val="24"/>
        </w:rPr>
        <w:t xml:space="preserve"> </w:t>
      </w:r>
      <w:r w:rsidR="002502F8" w:rsidRPr="005C0832">
        <w:rPr>
          <w:rFonts w:ascii="Cambria Math" w:hAnsi="Cambria Math" w:cstheme="majorBidi"/>
          <w:b/>
          <w:bCs/>
        </w:rPr>
        <w:t>𝐴</w:t>
      </w:r>
      <w:r w:rsidR="002502F8" w:rsidRPr="005C0832">
        <w:rPr>
          <w:rFonts w:ascii="Cambria Math" w:hAnsi="Cambria Math" w:cstheme="majorBidi"/>
          <w:b/>
          <w:bCs/>
          <w:vertAlign w:val="subscript"/>
        </w:rPr>
        <w:t>t</w:t>
      </w:r>
      <w:r w:rsidR="00566C9E">
        <w:rPr>
          <w:rFonts w:ascii="Cambria Math" w:hAnsi="Cambria Math" w:cstheme="majorBidi"/>
          <w:b/>
          <w:bCs/>
          <w:vertAlign w:val="subscript"/>
        </w:rPr>
        <w:t>=</w:t>
      </w:r>
      <w:r w:rsidR="002502F8" w:rsidRPr="00AB475A">
        <w:rPr>
          <w:rFonts w:asciiTheme="majorBidi" w:hAnsiTheme="majorBidi" w:cstheme="majorBidi"/>
          <w:b/>
          <w:bCs/>
          <w:sz w:val="24"/>
          <w:szCs w:val="24"/>
        </w:rPr>
        <w:t xml:space="preserve"> </w:t>
      </w:r>
      <w:r w:rsidR="00566C9E">
        <w:rPr>
          <w:rFonts w:asciiTheme="majorBidi" w:hAnsiTheme="majorBidi" w:cstheme="majorBidi"/>
          <w:b/>
          <w:bCs/>
          <w:sz w:val="24"/>
          <w:szCs w:val="24"/>
        </w:rPr>
        <w:t>10</w:t>
      </w:r>
      <w:r w:rsidR="00FD1A40">
        <w:rPr>
          <w:rFonts w:asciiTheme="majorBidi" w:hAnsiTheme="majorBidi" w:cstheme="majorBidi"/>
          <w:b/>
          <w:bCs/>
          <w:sz w:val="24"/>
          <w:szCs w:val="24"/>
        </w:rPr>
        <w:t> </w:t>
      </w:r>
      <w:r w:rsidR="00566C9E">
        <w:rPr>
          <w:rFonts w:asciiTheme="majorBidi" w:hAnsiTheme="majorBidi" w:cstheme="majorBidi"/>
          <w:b/>
          <w:bCs/>
          <w:sz w:val="24"/>
          <w:szCs w:val="24"/>
        </w:rPr>
        <w:t>106</w:t>
      </w:r>
      <w:r w:rsidR="00FD1A40">
        <w:rPr>
          <w:rFonts w:asciiTheme="majorBidi" w:hAnsiTheme="majorBidi" w:cstheme="majorBidi"/>
          <w:b/>
          <w:bCs/>
          <w:sz w:val="24"/>
          <w:szCs w:val="24"/>
        </w:rPr>
        <w:t> </w:t>
      </w:r>
      <w:r w:rsidR="00566C9E">
        <w:rPr>
          <w:rFonts w:asciiTheme="majorBidi" w:hAnsiTheme="majorBidi" w:cstheme="majorBidi"/>
          <w:b/>
          <w:bCs/>
          <w:sz w:val="24"/>
          <w:szCs w:val="24"/>
        </w:rPr>
        <w:t>514</w:t>
      </w:r>
      <w:r w:rsidR="00FD1A40">
        <w:rPr>
          <w:rFonts w:asciiTheme="majorBidi" w:hAnsiTheme="majorBidi" w:cstheme="majorBidi"/>
          <w:b/>
          <w:bCs/>
          <w:sz w:val="24"/>
          <w:szCs w:val="24"/>
        </w:rPr>
        <w:t xml:space="preserve"> </w:t>
      </w:r>
      <w:r w:rsidR="00566C9E">
        <w:rPr>
          <w:rFonts w:asciiTheme="majorBidi" w:hAnsiTheme="majorBidi" w:cstheme="majorBidi"/>
          <w:b/>
          <w:bCs/>
          <w:sz w:val="24"/>
          <w:szCs w:val="24"/>
        </w:rPr>
        <w:t>21</w:t>
      </w:r>
      <w:r w:rsidR="00FD1A40">
        <w:rPr>
          <w:rFonts w:asciiTheme="majorBidi" w:hAnsiTheme="majorBidi" w:cstheme="majorBidi"/>
          <w:b/>
          <w:bCs/>
          <w:sz w:val="24"/>
          <w:szCs w:val="24"/>
        </w:rPr>
        <w:t>0</w:t>
      </w:r>
      <w:r w:rsidR="00566C9E">
        <w:rPr>
          <w:rFonts w:asciiTheme="majorBidi" w:hAnsiTheme="majorBidi" w:cstheme="majorBidi"/>
          <w:b/>
          <w:bCs/>
          <w:sz w:val="24"/>
          <w:szCs w:val="24"/>
        </w:rPr>
        <w:t xml:space="preserve"> </w:t>
      </w:r>
      <w:r w:rsidR="00AB475A">
        <w:rPr>
          <w:rFonts w:asciiTheme="majorBidi" w:hAnsiTheme="majorBidi" w:cstheme="majorBidi"/>
          <w:b/>
          <w:bCs/>
          <w:sz w:val="24"/>
          <w:szCs w:val="24"/>
        </w:rPr>
        <w:t>DA.</w:t>
      </w:r>
    </w:p>
    <w:p w:rsidR="00A23F2A" w:rsidRDefault="00A23F2A" w:rsidP="00A23F2A">
      <w:pPr>
        <w:autoSpaceDE w:val="0"/>
        <w:autoSpaceDN w:val="0"/>
        <w:adjustRightInd w:val="0"/>
        <w:spacing w:after="0" w:line="240" w:lineRule="auto"/>
        <w:jc w:val="both"/>
        <w:rPr>
          <w:rFonts w:asciiTheme="majorBidi" w:hAnsiTheme="majorBidi" w:cstheme="majorBidi"/>
          <w:b/>
          <w:bCs/>
          <w:sz w:val="24"/>
          <w:szCs w:val="24"/>
        </w:rPr>
      </w:pPr>
    </w:p>
    <w:p w:rsidR="00B55D2C" w:rsidRDefault="002502F8" w:rsidP="00507E53">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sidR="00AB475A">
        <w:rPr>
          <w:rFonts w:asciiTheme="majorBidi" w:hAnsiTheme="majorBidi" w:cstheme="majorBidi"/>
          <w:b/>
          <w:bCs/>
          <w:sz w:val="24"/>
          <w:szCs w:val="24"/>
        </w:rPr>
        <w:t xml:space="preserve"> </w:t>
      </w:r>
      <w:r w:rsidR="00AB475A" w:rsidRPr="00AB475A">
        <w:rPr>
          <w:rFonts w:asciiTheme="majorBidi" w:hAnsiTheme="majorBidi" w:cstheme="majorBidi"/>
          <w:sz w:val="24"/>
          <w:szCs w:val="24"/>
        </w:rPr>
        <w:t>Par soucie de simplification</w:t>
      </w:r>
      <w:r w:rsidR="008C00B7">
        <w:rPr>
          <w:rFonts w:asciiTheme="majorBidi" w:hAnsiTheme="majorBidi" w:cstheme="majorBidi"/>
          <w:sz w:val="24"/>
          <w:szCs w:val="24"/>
        </w:rPr>
        <w:t xml:space="preserve">, et vu </w:t>
      </w:r>
      <w:r w:rsidR="00566C9E">
        <w:rPr>
          <w:rFonts w:asciiTheme="majorBidi" w:hAnsiTheme="majorBidi" w:cstheme="majorBidi"/>
          <w:sz w:val="24"/>
          <w:szCs w:val="24"/>
        </w:rPr>
        <w:t>qu’on n’a</w:t>
      </w:r>
      <w:r w:rsidR="008C00B7">
        <w:rPr>
          <w:rFonts w:asciiTheme="majorBidi" w:hAnsiTheme="majorBidi" w:cstheme="majorBidi"/>
          <w:sz w:val="24"/>
          <w:szCs w:val="24"/>
        </w:rPr>
        <w:t xml:space="preserve"> pas la valeur exacte</w:t>
      </w:r>
      <w:r w:rsidR="00566C9E">
        <w:rPr>
          <w:rFonts w:asciiTheme="majorBidi" w:hAnsiTheme="majorBidi" w:cstheme="majorBidi"/>
          <w:sz w:val="24"/>
          <w:szCs w:val="24"/>
        </w:rPr>
        <w:t xml:space="preserve"> de l’actif qui représente les engagements de notre portefeuille,</w:t>
      </w:r>
      <w:r w:rsidR="00AB475A">
        <w:rPr>
          <w:rFonts w:asciiTheme="majorBidi" w:hAnsiTheme="majorBidi" w:cstheme="majorBidi"/>
          <w:sz w:val="24"/>
          <w:szCs w:val="24"/>
        </w:rPr>
        <w:t xml:space="preserve"> nous supposons que</w:t>
      </w:r>
      <w:r>
        <w:rPr>
          <w:rFonts w:asciiTheme="majorBidi" w:hAnsiTheme="majorBidi" w:cstheme="majorBidi"/>
          <w:sz w:val="24"/>
          <w:szCs w:val="24"/>
        </w:rPr>
        <w:t xml:space="preserve"> les obligations d’état d’échéance un an couvrent la totali</w:t>
      </w:r>
      <w:r w:rsidR="00566C9E">
        <w:rPr>
          <w:rFonts w:asciiTheme="majorBidi" w:hAnsiTheme="majorBidi" w:cstheme="majorBidi"/>
          <w:sz w:val="24"/>
          <w:szCs w:val="24"/>
        </w:rPr>
        <w:t>té des engagements</w:t>
      </w:r>
      <w:r>
        <w:rPr>
          <w:rFonts w:asciiTheme="majorBidi" w:hAnsiTheme="majorBidi" w:cstheme="majorBidi"/>
          <w:sz w:val="24"/>
          <w:szCs w:val="24"/>
        </w:rPr>
        <w:t>.</w:t>
      </w:r>
      <w:r w:rsidR="00AB475A">
        <w:rPr>
          <w:rFonts w:asciiTheme="majorBidi" w:hAnsiTheme="majorBidi" w:cstheme="majorBidi"/>
          <w:sz w:val="24"/>
          <w:szCs w:val="24"/>
        </w:rPr>
        <w:t xml:space="preserve"> </w:t>
      </w:r>
    </w:p>
    <w:p w:rsidR="00E140D8" w:rsidRDefault="00E140D8" w:rsidP="00B55D2C">
      <w:pPr>
        <w:autoSpaceDE w:val="0"/>
        <w:autoSpaceDN w:val="0"/>
        <w:adjustRightInd w:val="0"/>
        <w:spacing w:after="0" w:line="240" w:lineRule="auto"/>
        <w:jc w:val="both"/>
        <w:rPr>
          <w:rFonts w:asciiTheme="majorBidi" w:hAnsiTheme="majorBidi" w:cstheme="majorBidi"/>
          <w:sz w:val="24"/>
          <w:szCs w:val="24"/>
        </w:rPr>
      </w:pPr>
    </w:p>
    <w:p w:rsidR="00A23F2A" w:rsidRDefault="00A23F2A" w:rsidP="00B55D2C">
      <w:pPr>
        <w:autoSpaceDE w:val="0"/>
        <w:autoSpaceDN w:val="0"/>
        <w:adjustRightInd w:val="0"/>
        <w:spacing w:after="0" w:line="240" w:lineRule="auto"/>
        <w:jc w:val="both"/>
        <w:rPr>
          <w:rFonts w:asciiTheme="majorBidi" w:hAnsiTheme="majorBidi" w:cstheme="majorBidi"/>
          <w:sz w:val="24"/>
          <w:szCs w:val="24"/>
        </w:rPr>
      </w:pPr>
    </w:p>
    <w:p w:rsidR="002502F8" w:rsidRPr="00FF69D1" w:rsidRDefault="00A0446A" w:rsidP="00FF69D1">
      <w:pPr>
        <w:pStyle w:val="Paragraphedeliste"/>
        <w:numPr>
          <w:ilvl w:val="3"/>
          <w:numId w:val="7"/>
        </w:numPr>
        <w:autoSpaceDE w:val="0"/>
        <w:autoSpaceDN w:val="0"/>
        <w:adjustRightInd w:val="0"/>
        <w:spacing w:after="0" w:line="360" w:lineRule="auto"/>
        <w:jc w:val="both"/>
        <w:rPr>
          <w:rFonts w:asciiTheme="majorBidi" w:hAnsiTheme="majorBidi" w:cstheme="majorBidi"/>
          <w:sz w:val="24"/>
          <w:szCs w:val="24"/>
        </w:rPr>
      </w:pPr>
      <w:r w:rsidRPr="00FF69D1">
        <w:rPr>
          <w:rFonts w:asciiTheme="majorBidi" w:hAnsiTheme="majorBidi" w:cstheme="majorBidi"/>
          <w:b/>
          <w:bCs/>
          <w:sz w:val="24"/>
          <w:szCs w:val="24"/>
        </w:rPr>
        <w:lastRenderedPageBreak/>
        <w:t xml:space="preserve">Le Best </w:t>
      </w:r>
      <w:proofErr w:type="spellStart"/>
      <w:r w:rsidRPr="00FF69D1">
        <w:rPr>
          <w:rFonts w:asciiTheme="majorBidi" w:hAnsiTheme="majorBidi" w:cstheme="majorBidi"/>
          <w:b/>
          <w:bCs/>
          <w:sz w:val="24"/>
          <w:szCs w:val="24"/>
        </w:rPr>
        <w:t>Estimate</w:t>
      </w:r>
      <w:proofErr w:type="spellEnd"/>
      <w:r w:rsidRPr="00FF69D1">
        <w:rPr>
          <w:rFonts w:asciiTheme="majorBidi" w:hAnsiTheme="majorBidi" w:cstheme="majorBidi"/>
          <w:b/>
          <w:bCs/>
          <w:sz w:val="24"/>
          <w:szCs w:val="24"/>
        </w:rPr>
        <w:t xml:space="preserve"> </w:t>
      </w:r>
    </w:p>
    <w:p w:rsidR="00E140D8" w:rsidRDefault="00A71856" w:rsidP="006A09FF">
      <w:pPr>
        <w:pStyle w:val="Default"/>
        <w:spacing w:line="360" w:lineRule="auto"/>
        <w:jc w:val="both"/>
        <w:rPr>
          <w:rFonts w:ascii="Times New Roman" w:hAnsi="Times New Roman" w:cs="Times New Roman"/>
          <w:sz w:val="23"/>
          <w:szCs w:val="23"/>
        </w:rPr>
      </w:pPr>
      <w:r>
        <w:rPr>
          <w:rFonts w:asciiTheme="majorBidi" w:hAnsiTheme="majorBidi" w:cstheme="majorBidi"/>
        </w:rPr>
        <w:tab/>
      </w:r>
      <w:r w:rsidR="00FC627D" w:rsidRPr="00FC627D">
        <w:rPr>
          <w:rFonts w:asciiTheme="majorBidi" w:hAnsiTheme="majorBidi" w:cstheme="majorBidi"/>
        </w:rPr>
        <w:t xml:space="preserve">Dans ce qui suit seul le Best </w:t>
      </w:r>
      <w:proofErr w:type="spellStart"/>
      <w:r w:rsidR="00FC627D" w:rsidRPr="00FC627D">
        <w:rPr>
          <w:rFonts w:asciiTheme="majorBidi" w:hAnsiTheme="majorBidi" w:cstheme="majorBidi"/>
        </w:rPr>
        <w:t>estimate</w:t>
      </w:r>
      <w:proofErr w:type="spellEnd"/>
      <w:r w:rsidR="00FC627D" w:rsidRPr="00FC627D">
        <w:rPr>
          <w:rFonts w:asciiTheme="majorBidi" w:hAnsiTheme="majorBidi" w:cstheme="majorBidi"/>
        </w:rPr>
        <w:t xml:space="preserve"> de</w:t>
      </w:r>
      <w:r w:rsidR="00730A98">
        <w:rPr>
          <w:rFonts w:asciiTheme="majorBidi" w:hAnsiTheme="majorBidi" w:cstheme="majorBidi"/>
        </w:rPr>
        <w:t>s</w:t>
      </w:r>
      <w:r w:rsidR="00FC627D" w:rsidRPr="00FC627D">
        <w:rPr>
          <w:rFonts w:asciiTheme="majorBidi" w:hAnsiTheme="majorBidi" w:cstheme="majorBidi"/>
        </w:rPr>
        <w:t xml:space="preserve"> primes sera traité</w:t>
      </w:r>
      <w:r w:rsidR="00730A98">
        <w:rPr>
          <w:rFonts w:asciiTheme="majorBidi" w:hAnsiTheme="majorBidi" w:cstheme="majorBidi"/>
        </w:rPr>
        <w:t xml:space="preserve">. Car </w:t>
      </w:r>
      <w:r w:rsidR="00730A98" w:rsidRPr="00730A98">
        <w:rPr>
          <w:rFonts w:ascii="Times New Roman" w:hAnsi="Times New Roman" w:cs="Times New Roman"/>
          <w:sz w:val="23"/>
          <w:szCs w:val="23"/>
        </w:rPr>
        <w:t>La nature et la qualité</w:t>
      </w:r>
      <w:r>
        <w:rPr>
          <w:rFonts w:ascii="Times New Roman" w:hAnsi="Times New Roman" w:cs="Times New Roman"/>
          <w:sz w:val="23"/>
          <w:szCs w:val="23"/>
        </w:rPr>
        <w:t xml:space="preserve"> des données</w:t>
      </w:r>
      <w:r w:rsidR="00730A98" w:rsidRPr="00730A98">
        <w:rPr>
          <w:rFonts w:ascii="Times New Roman" w:hAnsi="Times New Roman" w:cs="Times New Roman"/>
          <w:sz w:val="23"/>
          <w:szCs w:val="23"/>
        </w:rPr>
        <w:t xml:space="preserve"> nécessaires aux calculs du </w:t>
      </w:r>
      <w:r w:rsidR="00730A98">
        <w:rPr>
          <w:rFonts w:ascii="Times New Roman" w:hAnsi="Times New Roman" w:cs="Times New Roman"/>
          <w:sz w:val="23"/>
          <w:szCs w:val="23"/>
        </w:rPr>
        <w:t xml:space="preserve">Best </w:t>
      </w:r>
      <w:proofErr w:type="spellStart"/>
      <w:r w:rsidR="00730A98">
        <w:rPr>
          <w:rFonts w:ascii="Times New Roman" w:hAnsi="Times New Roman" w:cs="Times New Roman"/>
          <w:sz w:val="23"/>
          <w:szCs w:val="23"/>
        </w:rPr>
        <w:t>E</w:t>
      </w:r>
      <w:r w:rsidR="00730A98" w:rsidRPr="00730A98">
        <w:rPr>
          <w:rFonts w:ascii="Times New Roman" w:hAnsi="Times New Roman" w:cs="Times New Roman"/>
          <w:sz w:val="23"/>
          <w:szCs w:val="23"/>
        </w:rPr>
        <w:t>stimate</w:t>
      </w:r>
      <w:proofErr w:type="spellEnd"/>
      <w:r>
        <w:rPr>
          <w:rFonts w:ascii="Times New Roman" w:hAnsi="Times New Roman" w:cs="Times New Roman"/>
          <w:sz w:val="23"/>
          <w:szCs w:val="23"/>
        </w:rPr>
        <w:t xml:space="preserve"> des sinistres sont</w:t>
      </w:r>
      <w:r w:rsidR="00730A98">
        <w:rPr>
          <w:rFonts w:ascii="Times New Roman" w:hAnsi="Times New Roman" w:cs="Times New Roman"/>
          <w:sz w:val="23"/>
          <w:szCs w:val="23"/>
        </w:rPr>
        <w:t xml:space="preserve"> </w:t>
      </w:r>
      <w:r>
        <w:rPr>
          <w:rFonts w:ascii="Times New Roman" w:hAnsi="Times New Roman" w:cs="Times New Roman"/>
          <w:sz w:val="23"/>
          <w:szCs w:val="23"/>
        </w:rPr>
        <w:t>très importantes et appréciables par branche, et il doit y avoir des outils de gestion de données</w:t>
      </w:r>
      <w:r w:rsidRPr="00A71856">
        <w:t xml:space="preserve"> </w:t>
      </w:r>
      <w:r w:rsidRPr="00A71856">
        <w:rPr>
          <w:rFonts w:ascii="Times New Roman" w:hAnsi="Times New Roman" w:cs="Times New Roman"/>
          <w:sz w:val="23"/>
          <w:szCs w:val="23"/>
        </w:rPr>
        <w:t>permettant de disposer d’un historique de données fiables</w:t>
      </w:r>
      <w:r w:rsidR="00B55D2C">
        <w:rPr>
          <w:rFonts w:ascii="Times New Roman" w:hAnsi="Times New Roman" w:cs="Times New Roman"/>
          <w:sz w:val="23"/>
          <w:szCs w:val="23"/>
        </w:rPr>
        <w:t xml:space="preserve"> et</w:t>
      </w:r>
      <w:r w:rsidRPr="00A71856">
        <w:rPr>
          <w:rFonts w:ascii="Times New Roman" w:hAnsi="Times New Roman" w:cs="Times New Roman"/>
          <w:sz w:val="23"/>
          <w:szCs w:val="23"/>
        </w:rPr>
        <w:t xml:space="preserve"> suffisant</w:t>
      </w:r>
      <w:r>
        <w:rPr>
          <w:rFonts w:ascii="Times New Roman" w:hAnsi="Times New Roman" w:cs="Times New Roman"/>
          <w:sz w:val="23"/>
          <w:szCs w:val="23"/>
        </w:rPr>
        <w:t>es</w:t>
      </w:r>
      <w:r w:rsidRPr="00A71856">
        <w:rPr>
          <w:rFonts w:ascii="Times New Roman" w:hAnsi="Times New Roman" w:cs="Times New Roman"/>
          <w:sz w:val="23"/>
          <w:szCs w:val="23"/>
        </w:rPr>
        <w:t xml:space="preserve"> pour les branches</w:t>
      </w:r>
      <w:r>
        <w:rPr>
          <w:rFonts w:ascii="Times New Roman" w:hAnsi="Times New Roman" w:cs="Times New Roman"/>
          <w:sz w:val="23"/>
          <w:szCs w:val="23"/>
        </w:rPr>
        <w:t xml:space="preserve"> pratiquées.</w:t>
      </w:r>
      <w:r w:rsidRPr="00A71856">
        <w:rPr>
          <w:rFonts w:ascii="Times New Roman" w:hAnsi="Times New Roman" w:cs="Times New Roman"/>
          <w:sz w:val="23"/>
          <w:szCs w:val="23"/>
        </w:rPr>
        <w:t xml:space="preserve"> </w:t>
      </w:r>
    </w:p>
    <w:p w:rsidR="00A23F2A" w:rsidRDefault="00A23F2A" w:rsidP="00A23F2A">
      <w:pPr>
        <w:pStyle w:val="Default"/>
        <w:jc w:val="both"/>
        <w:rPr>
          <w:rFonts w:ascii="Times New Roman" w:hAnsi="Times New Roman" w:cs="Times New Roman"/>
          <w:sz w:val="23"/>
          <w:szCs w:val="23"/>
        </w:rPr>
      </w:pPr>
    </w:p>
    <w:p w:rsidR="00B55D2C" w:rsidRPr="00A23F2A" w:rsidRDefault="00FF69D1" w:rsidP="00B55D2C">
      <w:pPr>
        <w:pStyle w:val="Default"/>
        <w:numPr>
          <w:ilvl w:val="0"/>
          <w:numId w:val="6"/>
        </w:numPr>
        <w:spacing w:line="360" w:lineRule="auto"/>
        <w:jc w:val="both"/>
        <w:rPr>
          <w:rFonts w:ascii="Times New Roman" w:hAnsi="Times New Roman" w:cs="Times New Roman"/>
          <w:b/>
          <w:bCs/>
        </w:rPr>
      </w:pPr>
      <w:r w:rsidRPr="00487CC2">
        <w:rPr>
          <w:rFonts w:ascii="Times New Roman" w:hAnsi="Times New Roman" w:cs="Times New Roman"/>
          <w:b/>
          <w:bCs/>
          <w:sz w:val="23"/>
          <w:szCs w:val="23"/>
        </w:rPr>
        <w:t xml:space="preserve">Le </w:t>
      </w:r>
      <w:r w:rsidR="00487CC2" w:rsidRPr="00487CC2">
        <w:rPr>
          <w:rFonts w:ascii="Times New Roman" w:hAnsi="Times New Roman" w:cs="Times New Roman"/>
          <w:b/>
          <w:bCs/>
          <w:sz w:val="23"/>
          <w:szCs w:val="23"/>
        </w:rPr>
        <w:t xml:space="preserve">Best </w:t>
      </w:r>
      <w:proofErr w:type="spellStart"/>
      <w:r w:rsidR="00487CC2" w:rsidRPr="00487CC2">
        <w:rPr>
          <w:rFonts w:ascii="Times New Roman" w:hAnsi="Times New Roman" w:cs="Times New Roman"/>
          <w:b/>
          <w:bCs/>
          <w:sz w:val="23"/>
          <w:szCs w:val="23"/>
        </w:rPr>
        <w:t>E</w:t>
      </w:r>
      <w:r w:rsidRPr="00487CC2">
        <w:rPr>
          <w:rFonts w:ascii="Times New Roman" w:hAnsi="Times New Roman" w:cs="Times New Roman"/>
          <w:b/>
          <w:bCs/>
          <w:sz w:val="23"/>
          <w:szCs w:val="23"/>
        </w:rPr>
        <w:t>stimate</w:t>
      </w:r>
      <w:proofErr w:type="spellEnd"/>
      <w:r w:rsidRPr="00487CC2">
        <w:rPr>
          <w:rFonts w:ascii="Times New Roman" w:hAnsi="Times New Roman" w:cs="Times New Roman"/>
          <w:b/>
          <w:bCs/>
          <w:sz w:val="23"/>
          <w:szCs w:val="23"/>
        </w:rPr>
        <w:t xml:space="preserve"> des</w:t>
      </w:r>
      <w:r w:rsidR="001B6AAA">
        <w:rPr>
          <w:rFonts w:ascii="Times New Roman" w:hAnsi="Times New Roman" w:cs="Times New Roman"/>
          <w:b/>
          <w:bCs/>
          <w:sz w:val="23"/>
          <w:szCs w:val="23"/>
        </w:rPr>
        <w:t xml:space="preserve"> provisions des</w:t>
      </w:r>
      <w:r w:rsidRPr="00487CC2">
        <w:rPr>
          <w:rFonts w:ascii="Times New Roman" w:hAnsi="Times New Roman" w:cs="Times New Roman"/>
          <w:b/>
          <w:bCs/>
          <w:sz w:val="23"/>
          <w:szCs w:val="23"/>
        </w:rPr>
        <w:t xml:space="preserve"> primes</w:t>
      </w:r>
    </w:p>
    <w:p w:rsidR="00A23F2A" w:rsidRDefault="00A23F2A" w:rsidP="00A23F2A">
      <w:pPr>
        <w:pStyle w:val="Default"/>
        <w:ind w:left="578"/>
        <w:jc w:val="both"/>
        <w:rPr>
          <w:rFonts w:ascii="Times New Roman" w:hAnsi="Times New Roman" w:cs="Times New Roman"/>
          <w:b/>
          <w:bCs/>
        </w:rPr>
      </w:pPr>
    </w:p>
    <w:p w:rsidR="00FF69D1" w:rsidRPr="00B55D2C" w:rsidRDefault="00B55D2C" w:rsidP="00B55D2C">
      <w:pPr>
        <w:pStyle w:val="Default"/>
        <w:spacing w:line="360" w:lineRule="auto"/>
        <w:jc w:val="both"/>
        <w:rPr>
          <w:rFonts w:ascii="Times New Roman" w:hAnsi="Times New Roman" w:cs="Times New Roman"/>
          <w:b/>
          <w:bCs/>
        </w:rPr>
      </w:pPr>
      <w:r>
        <w:rPr>
          <w:rFonts w:ascii="Times New Roman" w:hAnsi="Times New Roman" w:cs="Times New Roman"/>
        </w:rPr>
        <w:tab/>
      </w:r>
      <w:r w:rsidR="001B6AAA" w:rsidRPr="00B55D2C">
        <w:rPr>
          <w:rFonts w:ascii="Times New Roman" w:hAnsi="Times New Roman" w:cs="Times New Roman"/>
        </w:rPr>
        <w:t xml:space="preserve">La directive solvabilité II </w:t>
      </w:r>
      <w:r w:rsidR="00293708" w:rsidRPr="00B55D2C">
        <w:rPr>
          <w:rFonts w:ascii="Times New Roman" w:hAnsi="Times New Roman" w:cs="Times New Roman"/>
        </w:rPr>
        <w:t xml:space="preserve">considère le Best </w:t>
      </w:r>
      <w:proofErr w:type="spellStart"/>
      <w:r w:rsidR="00293708" w:rsidRPr="00B55D2C">
        <w:rPr>
          <w:rFonts w:ascii="Times New Roman" w:hAnsi="Times New Roman" w:cs="Times New Roman"/>
        </w:rPr>
        <w:t>E</w:t>
      </w:r>
      <w:r w:rsidR="001B6AAA" w:rsidRPr="00B55D2C">
        <w:rPr>
          <w:rFonts w:ascii="Times New Roman" w:hAnsi="Times New Roman" w:cs="Times New Roman"/>
        </w:rPr>
        <w:t>stimate</w:t>
      </w:r>
      <w:proofErr w:type="spellEnd"/>
      <w:r w:rsidR="001B6AAA" w:rsidRPr="00B55D2C">
        <w:rPr>
          <w:rFonts w:ascii="Times New Roman" w:hAnsi="Times New Roman" w:cs="Times New Roman"/>
        </w:rPr>
        <w:t xml:space="preserve"> des provisions de primes </w:t>
      </w:r>
      <w:r w:rsidR="00293708" w:rsidRPr="00B55D2C">
        <w:rPr>
          <w:rFonts w:ascii="Times New Roman" w:hAnsi="Times New Roman" w:cs="Times New Roman"/>
        </w:rPr>
        <w:t xml:space="preserve">autant qu’alternatif des provisions pour primes non acquises et les provisions pour risque en cours. Le calcul se fait par branche d’assurance en utilisant la formule </w:t>
      </w:r>
      <w:proofErr w:type="gramStart"/>
      <w:r w:rsidR="00293708" w:rsidRPr="00B55D2C">
        <w:rPr>
          <w:rFonts w:ascii="Times New Roman" w:hAnsi="Times New Roman" w:cs="Times New Roman"/>
        </w:rPr>
        <w:t>suivante:</w:t>
      </w:r>
      <w:proofErr w:type="gramEnd"/>
      <w:r w:rsidR="00293708" w:rsidRPr="00B55D2C">
        <w:rPr>
          <w:rFonts w:ascii="Times New Roman" w:hAnsi="Times New Roman" w:cs="Times New Roman"/>
        </w:rPr>
        <w:t xml:space="preserve"> </w:t>
      </w:r>
      <w:r w:rsidR="001B6AAA" w:rsidRPr="00B55D2C">
        <w:rPr>
          <w:rFonts w:ascii="Times New Roman" w:hAnsi="Times New Roman" w:cs="Times New Roman"/>
        </w:rPr>
        <w:t xml:space="preserve"> </w:t>
      </w:r>
      <w:r w:rsidR="00FF69D1" w:rsidRPr="00B55D2C">
        <w:rPr>
          <w:rFonts w:ascii="Times New Roman" w:hAnsi="Times New Roman" w:cs="Times New Roman"/>
          <w:sz w:val="23"/>
          <w:szCs w:val="23"/>
        </w:rPr>
        <w:t xml:space="preserve"> </w:t>
      </w:r>
    </w:p>
    <w:p w:rsidR="001F7041" w:rsidRDefault="00B85085" w:rsidP="001F7041">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noProof/>
          <w:sz w:val="24"/>
          <w:szCs w:val="24"/>
        </w:rPr>
        <w:pict>
          <v:roundrect id="_x0000_s1052" style="position:absolute;left:0;text-align:left;margin-left:0;margin-top:4.9pt;width:270.75pt;height:34.5pt;z-index:251683840;mso-position-horizontal:center;v-text-anchor:middle" arcsize="10923f" fillcolor="white [3201]" strokecolor="#b2a1c7 [1943]" strokeweight="1pt">
            <v:fill color2="#ccc0d9 [1303]" focusposition="1" focussize="" focus="100%" type="gradient"/>
            <v:shadow on="t" type="perspective" color="#3f3151 [1607]" opacity=".5" offset="1pt" offset2="-3pt"/>
            <v:textbox>
              <w:txbxContent>
                <w:p w:rsidR="00341914" w:rsidRPr="001F7041" w:rsidRDefault="00341914" w:rsidP="001F7041">
                  <w:pPr>
                    <w:spacing w:after="0" w:line="240" w:lineRule="auto"/>
                    <w:jc w:val="center"/>
                    <w:rPr>
                      <w:rFonts w:asciiTheme="majorBidi" w:eastAsia="Times New Roman" w:hAnsiTheme="majorBidi" w:cstheme="majorBidi"/>
                      <w:sz w:val="24"/>
                      <w:szCs w:val="24"/>
                    </w:rPr>
                  </w:pPr>
                  <w:proofErr w:type="spellStart"/>
                  <w:r w:rsidRPr="001F7041">
                    <w:rPr>
                      <w:rFonts w:asciiTheme="majorBidi" w:eastAsia="Times New Roman" w:hAnsiTheme="majorBidi" w:cstheme="majorBidi"/>
                      <w:sz w:val="24"/>
                      <w:szCs w:val="24"/>
                    </w:rPr>
                    <w:t>BE</w:t>
                  </w:r>
                  <w:r>
                    <w:rPr>
                      <w:rFonts w:asciiTheme="majorBidi" w:eastAsia="Times New Roman" w:hAnsiTheme="majorBidi" w:cstheme="majorBidi"/>
                      <w:sz w:val="24"/>
                      <w:szCs w:val="24"/>
                      <w:vertAlign w:val="subscript"/>
                    </w:rPr>
                    <w:t>lob</w:t>
                  </w:r>
                  <w:proofErr w:type="spellEnd"/>
                  <w:r w:rsidRPr="001F7041">
                    <w:rPr>
                      <w:rFonts w:asciiTheme="majorBidi" w:eastAsia="Times New Roman" w:hAnsiTheme="majorBidi" w:cstheme="majorBidi"/>
                      <w:sz w:val="24"/>
                      <w:szCs w:val="24"/>
                    </w:rPr>
                    <w:t xml:space="preserve"> = CR • UPR + (CR − 1) • PVFP</w:t>
                  </w:r>
                </w:p>
                <w:p w:rsidR="00341914" w:rsidRDefault="00341914"/>
              </w:txbxContent>
            </v:textbox>
          </v:roundrect>
        </w:pict>
      </w:r>
    </w:p>
    <w:p w:rsidR="001F7041" w:rsidRDefault="001F7041" w:rsidP="001F7041">
      <w:pPr>
        <w:spacing w:after="0" w:line="240" w:lineRule="auto"/>
        <w:jc w:val="both"/>
        <w:rPr>
          <w:rFonts w:asciiTheme="majorBidi" w:eastAsia="Times New Roman" w:hAnsiTheme="majorBidi" w:cstheme="majorBidi"/>
          <w:sz w:val="24"/>
          <w:szCs w:val="24"/>
        </w:rPr>
      </w:pPr>
    </w:p>
    <w:p w:rsidR="001F7041" w:rsidRDefault="001F7041" w:rsidP="001F7041">
      <w:pPr>
        <w:spacing w:after="0" w:line="240" w:lineRule="auto"/>
        <w:jc w:val="both"/>
        <w:rPr>
          <w:rFonts w:asciiTheme="majorBidi" w:eastAsia="Times New Roman" w:hAnsiTheme="majorBidi" w:cstheme="majorBidi"/>
          <w:sz w:val="24"/>
          <w:szCs w:val="24"/>
        </w:rPr>
      </w:pPr>
    </w:p>
    <w:p w:rsidR="00FA13AD" w:rsidRDefault="00FA13AD" w:rsidP="001F7041">
      <w:pPr>
        <w:spacing w:after="0" w:line="240" w:lineRule="auto"/>
        <w:jc w:val="both"/>
        <w:rPr>
          <w:rFonts w:asciiTheme="majorBidi" w:eastAsia="Times New Roman" w:hAnsiTheme="majorBidi" w:cstheme="majorBidi"/>
          <w:sz w:val="24"/>
          <w:szCs w:val="24"/>
        </w:rPr>
      </w:pPr>
    </w:p>
    <w:p w:rsidR="00FA13AD" w:rsidRPr="00D06D28" w:rsidRDefault="001F7041" w:rsidP="00D06D28">
      <w:pPr>
        <w:spacing w:after="0" w:line="360" w:lineRule="auto"/>
        <w:jc w:val="both"/>
        <w:rPr>
          <w:rFonts w:asciiTheme="majorBidi" w:eastAsia="Times New Roman" w:hAnsiTheme="majorBidi" w:cstheme="majorBidi"/>
          <w:sz w:val="24"/>
          <w:szCs w:val="24"/>
        </w:rPr>
      </w:pPr>
      <w:proofErr w:type="spellStart"/>
      <w:proofErr w:type="gramStart"/>
      <w:r w:rsidRPr="00D06D28">
        <w:rPr>
          <w:rFonts w:asciiTheme="majorBidi" w:eastAsia="Times New Roman" w:hAnsiTheme="majorBidi" w:cstheme="majorBidi"/>
          <w:b/>
          <w:bCs/>
          <w:sz w:val="24"/>
          <w:szCs w:val="24"/>
        </w:rPr>
        <w:t>BE</w:t>
      </w:r>
      <w:r w:rsidR="00016F07">
        <w:rPr>
          <w:rFonts w:asciiTheme="majorBidi" w:eastAsia="Times New Roman" w:hAnsiTheme="majorBidi" w:cstheme="majorBidi"/>
          <w:b/>
          <w:bCs/>
          <w:sz w:val="24"/>
          <w:szCs w:val="24"/>
          <w:vertAlign w:val="subscript"/>
        </w:rPr>
        <w:t>lob</w:t>
      </w:r>
      <w:proofErr w:type="spellEnd"/>
      <w:r w:rsidRPr="00D06D28">
        <w:rPr>
          <w:rFonts w:asciiTheme="majorBidi" w:eastAsia="Times New Roman" w:hAnsiTheme="majorBidi" w:cstheme="majorBidi"/>
          <w:sz w:val="24"/>
          <w:szCs w:val="24"/>
        </w:rPr>
        <w:t>:</w:t>
      </w:r>
      <w:proofErr w:type="gramEnd"/>
      <w:r w:rsidRPr="00D06D28">
        <w:rPr>
          <w:rFonts w:asciiTheme="majorBidi" w:eastAsia="Times New Roman" w:hAnsiTheme="majorBidi" w:cstheme="majorBidi"/>
          <w:sz w:val="24"/>
          <w:szCs w:val="24"/>
        </w:rPr>
        <w:t xml:space="preserve"> le</w:t>
      </w:r>
      <w:r w:rsidR="00845D55" w:rsidRPr="00D06D28">
        <w:rPr>
          <w:rFonts w:asciiTheme="majorBidi" w:eastAsia="Times New Roman" w:hAnsiTheme="majorBidi" w:cstheme="majorBidi"/>
          <w:sz w:val="24"/>
          <w:szCs w:val="24"/>
        </w:rPr>
        <w:t xml:space="preserve"> </w:t>
      </w:r>
      <w:r w:rsidR="00FA13AD" w:rsidRPr="00D06D28">
        <w:rPr>
          <w:rFonts w:asciiTheme="majorBidi" w:eastAsia="Times New Roman" w:hAnsiTheme="majorBidi" w:cstheme="majorBidi"/>
          <w:sz w:val="24"/>
          <w:szCs w:val="24"/>
        </w:rPr>
        <w:t xml:space="preserve">Best </w:t>
      </w:r>
      <w:proofErr w:type="spellStart"/>
      <w:r w:rsidR="00FA13AD" w:rsidRPr="00D06D28">
        <w:rPr>
          <w:rFonts w:asciiTheme="majorBidi" w:eastAsia="Times New Roman" w:hAnsiTheme="majorBidi" w:cstheme="majorBidi"/>
          <w:sz w:val="24"/>
          <w:szCs w:val="24"/>
        </w:rPr>
        <w:t>Estimate</w:t>
      </w:r>
      <w:proofErr w:type="spellEnd"/>
      <w:r w:rsidR="00FA13AD" w:rsidRPr="00D06D28">
        <w:rPr>
          <w:rFonts w:asciiTheme="majorBidi" w:eastAsia="Times New Roman" w:hAnsiTheme="majorBidi" w:cstheme="majorBidi"/>
          <w:sz w:val="24"/>
          <w:szCs w:val="24"/>
        </w:rPr>
        <w:t xml:space="preserve"> des provisions de primes</w:t>
      </w:r>
      <w:r w:rsidR="00016F07">
        <w:rPr>
          <w:rFonts w:asciiTheme="majorBidi" w:eastAsia="Times New Roman" w:hAnsiTheme="majorBidi" w:cstheme="majorBidi"/>
          <w:sz w:val="24"/>
          <w:szCs w:val="24"/>
        </w:rPr>
        <w:t xml:space="preserve"> de la branche </w:t>
      </w:r>
    </w:p>
    <w:p w:rsidR="008C0BBA" w:rsidRPr="00D06D28" w:rsidRDefault="00FA13AD" w:rsidP="00630B2C">
      <w:pPr>
        <w:spacing w:after="0" w:line="360" w:lineRule="auto"/>
        <w:jc w:val="both"/>
        <w:rPr>
          <w:rFonts w:asciiTheme="majorBidi" w:eastAsia="Times New Roman" w:hAnsiTheme="majorBidi" w:cstheme="majorBidi"/>
          <w:b/>
          <w:bCs/>
          <w:sz w:val="24"/>
          <w:szCs w:val="24"/>
        </w:rPr>
      </w:pPr>
      <w:r w:rsidRPr="00D06D28">
        <w:rPr>
          <w:rFonts w:asciiTheme="majorBidi" w:eastAsia="Times New Roman" w:hAnsiTheme="majorBidi" w:cstheme="majorBidi"/>
          <w:b/>
          <w:bCs/>
          <w:sz w:val="24"/>
          <w:szCs w:val="24"/>
        </w:rPr>
        <w:t>CR :</w:t>
      </w:r>
      <w:r w:rsidR="008C0BBA" w:rsidRPr="00D06D28">
        <w:rPr>
          <w:rFonts w:asciiTheme="majorBidi" w:eastAsia="Times New Roman" w:hAnsiTheme="majorBidi" w:cstheme="majorBidi"/>
          <w:b/>
          <w:bCs/>
          <w:sz w:val="24"/>
          <w:szCs w:val="24"/>
        </w:rPr>
        <w:t xml:space="preserve"> </w:t>
      </w:r>
      <w:r w:rsidR="008C0BBA" w:rsidRPr="00D06D28">
        <w:rPr>
          <w:rFonts w:asciiTheme="majorBidi" w:eastAsia="Times New Roman" w:hAnsiTheme="majorBidi" w:cstheme="majorBidi"/>
          <w:sz w:val="24"/>
          <w:szCs w:val="24"/>
        </w:rPr>
        <w:t>le ratio</w:t>
      </w:r>
      <w:r w:rsidRPr="00D06D28">
        <w:rPr>
          <w:rFonts w:asciiTheme="majorBidi" w:eastAsia="Times New Roman" w:hAnsiTheme="majorBidi" w:cstheme="majorBidi"/>
          <w:sz w:val="24"/>
          <w:szCs w:val="24"/>
        </w:rPr>
        <w:t xml:space="preserve"> combiné</w:t>
      </w:r>
      <w:r w:rsidR="00341914" w:rsidRPr="00341914">
        <w:rPr>
          <w:rStyle w:val="Appelnotedebasdep"/>
          <w:rFonts w:asciiTheme="majorBidi" w:eastAsia="Times New Roman" w:hAnsiTheme="majorBidi" w:cstheme="majorBidi"/>
          <w:sz w:val="24"/>
          <w:szCs w:val="24"/>
        </w:rPr>
        <w:footnoteReference w:customMarkFollows="1" w:id="2"/>
        <w:sym w:font="Symbol" w:char="F02A"/>
      </w:r>
      <w:r w:rsidRPr="00D06D28">
        <w:rPr>
          <w:rFonts w:asciiTheme="majorBidi" w:eastAsia="Times New Roman" w:hAnsiTheme="majorBidi" w:cstheme="majorBidi"/>
          <w:sz w:val="24"/>
          <w:szCs w:val="24"/>
        </w:rPr>
        <w:t xml:space="preserve"> de la branche en question</w:t>
      </w:r>
    </w:p>
    <w:p w:rsidR="008C0BBA" w:rsidRPr="00D06D28" w:rsidRDefault="008C0BBA" w:rsidP="00D06D28">
      <w:pPr>
        <w:spacing w:after="0" w:line="360" w:lineRule="auto"/>
        <w:jc w:val="both"/>
        <w:rPr>
          <w:rFonts w:asciiTheme="majorBidi" w:eastAsia="Times New Roman" w:hAnsiTheme="majorBidi" w:cstheme="majorBidi"/>
          <w:sz w:val="24"/>
          <w:szCs w:val="24"/>
        </w:rPr>
      </w:pPr>
      <w:r w:rsidRPr="00D06D28">
        <w:rPr>
          <w:rFonts w:asciiTheme="majorBidi" w:eastAsia="Times New Roman" w:hAnsiTheme="majorBidi" w:cstheme="majorBidi"/>
          <w:b/>
          <w:bCs/>
          <w:sz w:val="24"/>
          <w:szCs w:val="24"/>
        </w:rPr>
        <w:t>UPR </w:t>
      </w:r>
      <w:r w:rsidR="00D06D28" w:rsidRPr="00D06D28">
        <w:rPr>
          <w:rFonts w:asciiTheme="majorBidi" w:eastAsia="Times New Roman" w:hAnsiTheme="majorBidi" w:cstheme="majorBidi"/>
          <w:sz w:val="24"/>
          <w:szCs w:val="24"/>
        </w:rPr>
        <w:t>: les</w:t>
      </w:r>
      <w:r w:rsidRPr="00D06D28">
        <w:rPr>
          <w:rFonts w:asciiTheme="majorBidi" w:eastAsia="Times New Roman" w:hAnsiTheme="majorBidi" w:cstheme="majorBidi"/>
          <w:sz w:val="24"/>
          <w:szCs w:val="24"/>
        </w:rPr>
        <w:t xml:space="preserve"> provisions pour primes non acquises</w:t>
      </w:r>
    </w:p>
    <w:p w:rsidR="003F15BC" w:rsidRDefault="008C0BBA" w:rsidP="003F15BC">
      <w:pPr>
        <w:spacing w:after="0" w:line="360" w:lineRule="auto"/>
        <w:jc w:val="both"/>
        <w:rPr>
          <w:rFonts w:asciiTheme="majorBidi" w:eastAsia="Times New Roman" w:hAnsiTheme="majorBidi" w:cstheme="majorBidi"/>
          <w:sz w:val="24"/>
          <w:szCs w:val="24"/>
        </w:rPr>
      </w:pPr>
      <w:r w:rsidRPr="00D06D28">
        <w:rPr>
          <w:rFonts w:asciiTheme="majorBidi" w:eastAsia="Times New Roman" w:hAnsiTheme="majorBidi" w:cstheme="majorBidi"/>
          <w:b/>
          <w:bCs/>
          <w:sz w:val="24"/>
          <w:szCs w:val="24"/>
        </w:rPr>
        <w:t>PVFP</w:t>
      </w:r>
      <w:r w:rsidR="00833E4D">
        <w:rPr>
          <w:rFonts w:asciiTheme="majorBidi" w:eastAsia="Times New Roman" w:hAnsiTheme="majorBidi" w:cstheme="majorBidi"/>
          <w:sz w:val="24"/>
          <w:szCs w:val="24"/>
        </w:rPr>
        <w:t> : la valeur actuelle des primes futures (on actualisant avec le taux sans risque)</w:t>
      </w:r>
      <w:r w:rsidR="00FA13AD">
        <w:rPr>
          <w:rFonts w:asciiTheme="majorBidi" w:eastAsia="Times New Roman" w:hAnsiTheme="majorBidi" w:cstheme="majorBidi"/>
          <w:sz w:val="24"/>
          <w:szCs w:val="24"/>
        </w:rPr>
        <w:t xml:space="preserve">  </w:t>
      </w:r>
    </w:p>
    <w:p w:rsidR="00A23F2A" w:rsidRDefault="00A23F2A" w:rsidP="00A23F2A">
      <w:pPr>
        <w:spacing w:after="0" w:line="240" w:lineRule="auto"/>
        <w:jc w:val="both"/>
        <w:rPr>
          <w:rFonts w:asciiTheme="majorBidi" w:eastAsia="Times New Roman" w:hAnsiTheme="majorBidi" w:cstheme="majorBidi"/>
          <w:sz w:val="24"/>
          <w:szCs w:val="24"/>
        </w:rPr>
      </w:pPr>
    </w:p>
    <w:p w:rsidR="00817A09" w:rsidRPr="001411F1" w:rsidRDefault="001411F1" w:rsidP="00817A09">
      <w:pPr>
        <w:spacing w:after="0" w:line="240" w:lineRule="auto"/>
        <w:jc w:val="both"/>
        <w:rPr>
          <w:rFonts w:asciiTheme="majorBidi" w:eastAsia="Times New Roman" w:hAnsiTheme="majorBidi" w:cstheme="majorBidi"/>
          <w:b/>
          <w:bCs/>
          <w:sz w:val="20"/>
          <w:szCs w:val="20"/>
        </w:rPr>
      </w:pPr>
      <w:r>
        <w:rPr>
          <w:rFonts w:asciiTheme="majorBidi" w:eastAsia="Times New Roman" w:hAnsiTheme="majorBidi" w:cstheme="majorBidi"/>
          <w:sz w:val="20"/>
          <w:szCs w:val="20"/>
        </w:rPr>
        <w:t xml:space="preserve">                                                                                                                      (</w:t>
      </w:r>
      <w:r w:rsidRPr="001411F1">
        <w:rPr>
          <w:rFonts w:asciiTheme="majorBidi" w:eastAsia="Times New Roman" w:hAnsiTheme="majorBidi" w:cstheme="majorBidi"/>
          <w:b/>
          <w:bCs/>
          <w:sz w:val="20"/>
          <w:szCs w:val="20"/>
        </w:rPr>
        <w:t>Montant exprimé en milliers de DA</w:t>
      </w:r>
      <w:r>
        <w:rPr>
          <w:rFonts w:asciiTheme="majorBidi" w:eastAsia="Times New Roman" w:hAnsiTheme="majorBidi" w:cstheme="majorBidi"/>
          <w:b/>
          <w:bCs/>
          <w:sz w:val="20"/>
          <w:szCs w:val="20"/>
        </w:rPr>
        <w:t>)</w:t>
      </w:r>
    </w:p>
    <w:tbl>
      <w:tblPr>
        <w:tblW w:w="9214" w:type="dxa"/>
        <w:tblCellMar>
          <w:left w:w="70" w:type="dxa"/>
          <w:right w:w="70" w:type="dxa"/>
        </w:tblCellMar>
        <w:tblLook w:val="04A0"/>
      </w:tblPr>
      <w:tblGrid>
        <w:gridCol w:w="3079"/>
        <w:gridCol w:w="1457"/>
        <w:gridCol w:w="851"/>
        <w:gridCol w:w="1984"/>
        <w:gridCol w:w="1843"/>
      </w:tblGrid>
      <w:tr w:rsidR="004A6F3B" w:rsidRPr="004A6F3B" w:rsidTr="009D14D2">
        <w:trPr>
          <w:trHeight w:val="300"/>
        </w:trPr>
        <w:tc>
          <w:tcPr>
            <w:tcW w:w="3079" w:type="dxa"/>
            <w:tcBorders>
              <w:top w:val="single" w:sz="8" w:space="0" w:color="9F8AB9"/>
              <w:left w:val="single" w:sz="8" w:space="0" w:color="9F8AB9"/>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b/>
                <w:bCs/>
              </w:rPr>
            </w:pPr>
            <w:r w:rsidRPr="004A6F3B">
              <w:rPr>
                <w:rFonts w:ascii="Times New Roman" w:eastAsia="Times New Roman" w:hAnsi="Times New Roman" w:cs="Times New Roman"/>
                <w:b/>
                <w:bCs/>
              </w:rPr>
              <w:t xml:space="preserve">LOB </w:t>
            </w:r>
          </w:p>
        </w:tc>
        <w:tc>
          <w:tcPr>
            <w:tcW w:w="1457" w:type="dxa"/>
            <w:tcBorders>
              <w:top w:val="single" w:sz="8" w:space="0" w:color="9F8AB9"/>
              <w:left w:val="nil"/>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b/>
                <w:bCs/>
              </w:rPr>
            </w:pPr>
            <w:r w:rsidRPr="004A6F3B">
              <w:rPr>
                <w:rFonts w:ascii="Times New Roman" w:eastAsia="Times New Roman" w:hAnsi="Times New Roman" w:cs="Times New Roman"/>
                <w:b/>
                <w:bCs/>
              </w:rPr>
              <w:t xml:space="preserve"> BE </w:t>
            </w:r>
          </w:p>
        </w:tc>
        <w:tc>
          <w:tcPr>
            <w:tcW w:w="851" w:type="dxa"/>
            <w:tcBorders>
              <w:top w:val="single" w:sz="8" w:space="0" w:color="9F8AB9"/>
              <w:left w:val="nil"/>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b/>
                <w:bCs/>
              </w:rPr>
            </w:pPr>
            <w:r w:rsidRPr="004A6F3B">
              <w:rPr>
                <w:rFonts w:ascii="Times New Roman" w:eastAsia="Times New Roman" w:hAnsi="Times New Roman" w:cs="Times New Roman"/>
                <w:b/>
                <w:bCs/>
              </w:rPr>
              <w:t xml:space="preserve"> CR </w:t>
            </w:r>
          </w:p>
        </w:tc>
        <w:tc>
          <w:tcPr>
            <w:tcW w:w="1984" w:type="dxa"/>
            <w:tcBorders>
              <w:top w:val="single" w:sz="8" w:space="0" w:color="9F8AB9"/>
              <w:left w:val="nil"/>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b/>
                <w:bCs/>
              </w:rPr>
            </w:pPr>
            <w:r w:rsidRPr="004A6F3B">
              <w:rPr>
                <w:rFonts w:ascii="Times New Roman" w:eastAsia="Times New Roman" w:hAnsi="Times New Roman" w:cs="Times New Roman"/>
                <w:b/>
                <w:bCs/>
              </w:rPr>
              <w:t xml:space="preserve"> UPR </w:t>
            </w:r>
          </w:p>
        </w:tc>
        <w:tc>
          <w:tcPr>
            <w:tcW w:w="1843" w:type="dxa"/>
            <w:tcBorders>
              <w:top w:val="single" w:sz="8" w:space="0" w:color="9F8AB9"/>
              <w:left w:val="nil"/>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b/>
                <w:bCs/>
              </w:rPr>
            </w:pPr>
            <w:r w:rsidRPr="004A6F3B">
              <w:rPr>
                <w:rFonts w:ascii="Times New Roman" w:eastAsia="Times New Roman" w:hAnsi="Times New Roman" w:cs="Times New Roman"/>
                <w:b/>
                <w:bCs/>
              </w:rPr>
              <w:t xml:space="preserve"> PVFP </w:t>
            </w:r>
          </w:p>
        </w:tc>
      </w:tr>
      <w:tr w:rsidR="004A6F3B" w:rsidRPr="004A6F3B" w:rsidTr="009D14D2">
        <w:trPr>
          <w:trHeight w:val="315"/>
        </w:trPr>
        <w:tc>
          <w:tcPr>
            <w:tcW w:w="3079" w:type="dxa"/>
            <w:tcBorders>
              <w:top w:val="nil"/>
              <w:left w:val="single" w:sz="8" w:space="0" w:color="9F8AB9"/>
              <w:bottom w:val="single" w:sz="8" w:space="0" w:color="9F8AB9"/>
              <w:right w:val="single" w:sz="8" w:space="0" w:color="9F8AB9"/>
            </w:tcBorders>
            <w:shd w:val="clear" w:color="000000" w:fill="BFB1D0"/>
            <w:noWrap/>
            <w:hideMark/>
          </w:tcPr>
          <w:p w:rsidR="004A6F3B" w:rsidRPr="004A6F3B" w:rsidRDefault="004A6F3B" w:rsidP="004A6F3B">
            <w:pPr>
              <w:spacing w:after="0" w:line="240" w:lineRule="auto"/>
              <w:jc w:val="center"/>
              <w:rPr>
                <w:rFonts w:ascii="Times New Roman" w:eastAsia="Times New Roman" w:hAnsi="Times New Roman" w:cs="Times New Roman"/>
                <w:b/>
                <w:bCs/>
              </w:rPr>
            </w:pPr>
            <w:r w:rsidRPr="004A6F3B">
              <w:rPr>
                <w:rFonts w:ascii="Times New Roman" w:eastAsia="Times New Roman" w:hAnsi="Times New Roman" w:cs="Times New Roman"/>
                <w:b/>
                <w:bCs/>
              </w:rPr>
              <w:t>RC automobile</w:t>
            </w:r>
          </w:p>
        </w:tc>
        <w:tc>
          <w:tcPr>
            <w:tcW w:w="1457" w:type="dxa"/>
            <w:tcBorders>
              <w:top w:val="nil"/>
              <w:left w:val="nil"/>
              <w:bottom w:val="single" w:sz="8" w:space="0" w:color="9F8AB9"/>
              <w:right w:val="single" w:sz="8" w:space="0" w:color="9F8AB9"/>
            </w:tcBorders>
            <w:shd w:val="clear" w:color="000000" w:fill="BFB1D0"/>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104 590.00</w:t>
            </w:r>
          </w:p>
        </w:tc>
        <w:tc>
          <w:tcPr>
            <w:tcW w:w="851" w:type="dxa"/>
            <w:tcBorders>
              <w:top w:val="nil"/>
              <w:left w:val="nil"/>
              <w:bottom w:val="single" w:sz="8" w:space="0" w:color="9F8AB9"/>
              <w:right w:val="single" w:sz="8" w:space="0" w:color="9F8AB9"/>
            </w:tcBorders>
            <w:shd w:val="clear" w:color="000000" w:fill="BFB1D0"/>
            <w:noWrap/>
            <w:hideMark/>
          </w:tcPr>
          <w:p w:rsidR="004A6F3B" w:rsidRPr="004A6F3B" w:rsidRDefault="004A6F3B" w:rsidP="004A6F3B">
            <w:pPr>
              <w:spacing w:after="0" w:line="240" w:lineRule="auto"/>
              <w:jc w:val="right"/>
              <w:rPr>
                <w:rFonts w:ascii="Times New Roman" w:eastAsia="Times New Roman" w:hAnsi="Times New Roman" w:cs="Times New Roman"/>
              </w:rPr>
            </w:pPr>
            <w:r w:rsidRPr="004A6F3B">
              <w:rPr>
                <w:rFonts w:ascii="Times New Roman" w:eastAsia="Times New Roman" w:hAnsi="Times New Roman" w:cs="Times New Roman"/>
              </w:rPr>
              <w:t>0.86</w:t>
            </w:r>
          </w:p>
        </w:tc>
        <w:tc>
          <w:tcPr>
            <w:tcW w:w="1984" w:type="dxa"/>
            <w:tcBorders>
              <w:top w:val="nil"/>
              <w:left w:val="nil"/>
              <w:bottom w:val="single" w:sz="8" w:space="0" w:color="9F8AB9"/>
              <w:right w:val="single" w:sz="8" w:space="0" w:color="9F8AB9"/>
            </w:tcBorders>
            <w:shd w:val="clear" w:color="000000" w:fill="BFB1D0"/>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312 512.06</w:t>
            </w:r>
          </w:p>
        </w:tc>
        <w:tc>
          <w:tcPr>
            <w:tcW w:w="1843" w:type="dxa"/>
            <w:tcBorders>
              <w:top w:val="nil"/>
              <w:left w:val="nil"/>
              <w:bottom w:val="single" w:sz="8" w:space="0" w:color="9F8AB9"/>
              <w:right w:val="single" w:sz="8" w:space="0" w:color="9F8AB9"/>
            </w:tcBorders>
            <w:shd w:val="clear" w:color="000000" w:fill="BFB1D0"/>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1 121 650.49</w:t>
            </w:r>
          </w:p>
        </w:tc>
      </w:tr>
      <w:tr w:rsidR="004A6F3B" w:rsidRPr="004A6F3B" w:rsidTr="009D14D2">
        <w:trPr>
          <w:trHeight w:val="315"/>
        </w:trPr>
        <w:tc>
          <w:tcPr>
            <w:tcW w:w="3079" w:type="dxa"/>
            <w:tcBorders>
              <w:top w:val="nil"/>
              <w:left w:val="single" w:sz="8" w:space="0" w:color="9F8AB9"/>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b/>
                <w:bCs/>
              </w:rPr>
            </w:pPr>
            <w:r w:rsidRPr="004A6F3B">
              <w:rPr>
                <w:rFonts w:ascii="Times New Roman" w:eastAsia="Times New Roman" w:hAnsi="Times New Roman" w:cs="Times New Roman"/>
                <w:b/>
                <w:bCs/>
              </w:rPr>
              <w:t xml:space="preserve">Corps de véhicule terrestre </w:t>
            </w:r>
          </w:p>
        </w:tc>
        <w:tc>
          <w:tcPr>
            <w:tcW w:w="1457" w:type="dxa"/>
            <w:tcBorders>
              <w:top w:val="nil"/>
              <w:left w:val="nil"/>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654 662.18</w:t>
            </w:r>
          </w:p>
        </w:tc>
        <w:tc>
          <w:tcPr>
            <w:tcW w:w="851" w:type="dxa"/>
            <w:tcBorders>
              <w:top w:val="nil"/>
              <w:left w:val="nil"/>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right"/>
              <w:rPr>
                <w:rFonts w:ascii="Times New Roman" w:eastAsia="Times New Roman" w:hAnsi="Times New Roman" w:cs="Times New Roman"/>
              </w:rPr>
            </w:pPr>
            <w:r w:rsidRPr="004A6F3B">
              <w:rPr>
                <w:rFonts w:ascii="Times New Roman" w:eastAsia="Times New Roman" w:hAnsi="Times New Roman" w:cs="Times New Roman"/>
              </w:rPr>
              <w:t>0.9</w:t>
            </w:r>
          </w:p>
        </w:tc>
        <w:tc>
          <w:tcPr>
            <w:tcW w:w="1984" w:type="dxa"/>
            <w:tcBorders>
              <w:top w:val="nil"/>
              <w:left w:val="nil"/>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1 173 370.16</w:t>
            </w:r>
          </w:p>
        </w:tc>
        <w:tc>
          <w:tcPr>
            <w:tcW w:w="1843" w:type="dxa"/>
            <w:tcBorders>
              <w:top w:val="nil"/>
              <w:left w:val="nil"/>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4 086 990.29</w:t>
            </w:r>
          </w:p>
        </w:tc>
      </w:tr>
      <w:tr w:rsidR="004A6F3B" w:rsidRPr="004A6F3B" w:rsidTr="009D14D2">
        <w:trPr>
          <w:trHeight w:val="315"/>
        </w:trPr>
        <w:tc>
          <w:tcPr>
            <w:tcW w:w="3079" w:type="dxa"/>
            <w:tcBorders>
              <w:top w:val="nil"/>
              <w:left w:val="single" w:sz="8" w:space="0" w:color="9F8AB9"/>
              <w:bottom w:val="single" w:sz="8" w:space="0" w:color="9F8AB9"/>
              <w:right w:val="single" w:sz="8" w:space="0" w:color="9F8AB9"/>
            </w:tcBorders>
            <w:shd w:val="clear" w:color="000000" w:fill="BFB1D0"/>
            <w:noWrap/>
            <w:hideMark/>
          </w:tcPr>
          <w:p w:rsidR="004A6F3B" w:rsidRPr="004A6F3B" w:rsidRDefault="004A6F3B" w:rsidP="004A6F3B">
            <w:pPr>
              <w:spacing w:after="0" w:line="240" w:lineRule="auto"/>
              <w:jc w:val="center"/>
              <w:rPr>
                <w:rFonts w:ascii="Times New Roman" w:eastAsia="Times New Roman" w:hAnsi="Times New Roman" w:cs="Times New Roman"/>
                <w:b/>
                <w:bCs/>
              </w:rPr>
            </w:pPr>
            <w:r w:rsidRPr="004A6F3B">
              <w:rPr>
                <w:rFonts w:ascii="Times New Roman" w:eastAsia="Times New Roman" w:hAnsi="Times New Roman" w:cs="Times New Roman"/>
                <w:b/>
                <w:bCs/>
              </w:rPr>
              <w:t xml:space="preserve">Transport </w:t>
            </w:r>
          </w:p>
        </w:tc>
        <w:tc>
          <w:tcPr>
            <w:tcW w:w="1457" w:type="dxa"/>
            <w:tcBorders>
              <w:top w:val="nil"/>
              <w:left w:val="nil"/>
              <w:bottom w:val="single" w:sz="8" w:space="0" w:color="9F8AB9"/>
              <w:right w:val="single" w:sz="8" w:space="0" w:color="9F8AB9"/>
            </w:tcBorders>
            <w:shd w:val="clear" w:color="000000" w:fill="BFB1D0"/>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-556 281.32</w:t>
            </w:r>
          </w:p>
        </w:tc>
        <w:tc>
          <w:tcPr>
            <w:tcW w:w="851" w:type="dxa"/>
            <w:tcBorders>
              <w:top w:val="nil"/>
              <w:left w:val="nil"/>
              <w:bottom w:val="single" w:sz="8" w:space="0" w:color="9F8AB9"/>
              <w:right w:val="single" w:sz="8" w:space="0" w:color="9F8AB9"/>
            </w:tcBorders>
            <w:shd w:val="clear" w:color="000000" w:fill="BFB1D0"/>
            <w:noWrap/>
            <w:hideMark/>
          </w:tcPr>
          <w:p w:rsidR="004A6F3B" w:rsidRPr="004A6F3B" w:rsidRDefault="004A6F3B" w:rsidP="004A6F3B">
            <w:pPr>
              <w:spacing w:after="0" w:line="240" w:lineRule="auto"/>
              <w:jc w:val="right"/>
              <w:rPr>
                <w:rFonts w:ascii="Times New Roman" w:eastAsia="Times New Roman" w:hAnsi="Times New Roman" w:cs="Times New Roman"/>
              </w:rPr>
            </w:pPr>
            <w:r w:rsidRPr="004A6F3B">
              <w:rPr>
                <w:rFonts w:ascii="Times New Roman" w:eastAsia="Times New Roman" w:hAnsi="Times New Roman" w:cs="Times New Roman"/>
              </w:rPr>
              <w:t>0.46</w:t>
            </w:r>
          </w:p>
        </w:tc>
        <w:tc>
          <w:tcPr>
            <w:tcW w:w="1984" w:type="dxa"/>
            <w:tcBorders>
              <w:top w:val="nil"/>
              <w:left w:val="nil"/>
              <w:bottom w:val="single" w:sz="8" w:space="0" w:color="9F8AB9"/>
              <w:right w:val="single" w:sz="8" w:space="0" w:color="9F8AB9"/>
            </w:tcBorders>
            <w:shd w:val="clear" w:color="000000" w:fill="BFB1D0"/>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528 903.10</w:t>
            </w:r>
          </w:p>
        </w:tc>
        <w:tc>
          <w:tcPr>
            <w:tcW w:w="1843" w:type="dxa"/>
            <w:tcBorders>
              <w:top w:val="nil"/>
              <w:left w:val="nil"/>
              <w:bottom w:val="single" w:sz="8" w:space="0" w:color="9F8AB9"/>
              <w:right w:val="single" w:sz="8" w:space="0" w:color="9F8AB9"/>
            </w:tcBorders>
            <w:shd w:val="clear" w:color="000000" w:fill="BFB1D0"/>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1 446 990.51</w:t>
            </w:r>
          </w:p>
        </w:tc>
      </w:tr>
      <w:tr w:rsidR="004A6F3B" w:rsidRPr="004A6F3B" w:rsidTr="009D14D2">
        <w:trPr>
          <w:trHeight w:val="315"/>
        </w:trPr>
        <w:tc>
          <w:tcPr>
            <w:tcW w:w="3079" w:type="dxa"/>
            <w:tcBorders>
              <w:top w:val="nil"/>
              <w:left w:val="single" w:sz="8" w:space="0" w:color="9F8AB9"/>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b/>
                <w:bCs/>
              </w:rPr>
            </w:pPr>
            <w:r w:rsidRPr="004A6F3B">
              <w:rPr>
                <w:rFonts w:ascii="Times New Roman" w:eastAsia="Times New Roman" w:hAnsi="Times New Roman" w:cs="Times New Roman"/>
                <w:b/>
                <w:bCs/>
              </w:rPr>
              <w:t>Incendie et autres dommages aux biens</w:t>
            </w:r>
          </w:p>
        </w:tc>
        <w:tc>
          <w:tcPr>
            <w:tcW w:w="1457" w:type="dxa"/>
            <w:tcBorders>
              <w:top w:val="nil"/>
              <w:left w:val="nil"/>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-4 364 122.37</w:t>
            </w:r>
          </w:p>
        </w:tc>
        <w:tc>
          <w:tcPr>
            <w:tcW w:w="851" w:type="dxa"/>
            <w:tcBorders>
              <w:top w:val="nil"/>
              <w:left w:val="nil"/>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right"/>
              <w:rPr>
                <w:rFonts w:ascii="Times New Roman" w:eastAsia="Times New Roman" w:hAnsi="Times New Roman" w:cs="Times New Roman"/>
              </w:rPr>
            </w:pPr>
            <w:r w:rsidRPr="004A6F3B">
              <w:rPr>
                <w:rFonts w:ascii="Times New Roman" w:eastAsia="Times New Roman" w:hAnsi="Times New Roman" w:cs="Times New Roman"/>
              </w:rPr>
              <w:t>0.33</w:t>
            </w:r>
          </w:p>
        </w:tc>
        <w:tc>
          <w:tcPr>
            <w:tcW w:w="1984" w:type="dxa"/>
            <w:tcBorders>
              <w:top w:val="nil"/>
              <w:left w:val="nil"/>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2 018 652.51</w:t>
            </w:r>
          </w:p>
        </w:tc>
        <w:tc>
          <w:tcPr>
            <w:tcW w:w="1843" w:type="dxa"/>
            <w:tcBorders>
              <w:top w:val="nil"/>
              <w:left w:val="nil"/>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7 306 213.59</w:t>
            </w:r>
          </w:p>
        </w:tc>
      </w:tr>
      <w:tr w:rsidR="004A6F3B" w:rsidRPr="004A6F3B" w:rsidTr="009D14D2">
        <w:trPr>
          <w:trHeight w:val="315"/>
        </w:trPr>
        <w:tc>
          <w:tcPr>
            <w:tcW w:w="3079" w:type="dxa"/>
            <w:tcBorders>
              <w:top w:val="nil"/>
              <w:left w:val="single" w:sz="8" w:space="0" w:color="9F8AB9"/>
              <w:bottom w:val="single" w:sz="8" w:space="0" w:color="9F8AB9"/>
              <w:right w:val="single" w:sz="8" w:space="0" w:color="9F8AB9"/>
            </w:tcBorders>
            <w:shd w:val="clear" w:color="000000" w:fill="BFB1D0"/>
            <w:noWrap/>
            <w:hideMark/>
          </w:tcPr>
          <w:p w:rsidR="004A6F3B" w:rsidRPr="004A6F3B" w:rsidRDefault="004A6F3B" w:rsidP="004A6F3B">
            <w:pPr>
              <w:spacing w:after="0" w:line="240" w:lineRule="auto"/>
              <w:jc w:val="center"/>
              <w:rPr>
                <w:rFonts w:ascii="Times New Roman" w:eastAsia="Times New Roman" w:hAnsi="Times New Roman" w:cs="Times New Roman"/>
                <w:b/>
                <w:bCs/>
              </w:rPr>
            </w:pPr>
            <w:r w:rsidRPr="004A6F3B">
              <w:rPr>
                <w:rFonts w:ascii="Times New Roman" w:eastAsia="Times New Roman" w:hAnsi="Times New Roman" w:cs="Times New Roman"/>
                <w:b/>
                <w:bCs/>
              </w:rPr>
              <w:t xml:space="preserve">RC générale </w:t>
            </w:r>
          </w:p>
        </w:tc>
        <w:tc>
          <w:tcPr>
            <w:tcW w:w="1457" w:type="dxa"/>
            <w:tcBorders>
              <w:top w:val="nil"/>
              <w:left w:val="nil"/>
              <w:bottom w:val="single" w:sz="8" w:space="0" w:color="9F8AB9"/>
              <w:right w:val="single" w:sz="8" w:space="0" w:color="9F8AB9"/>
            </w:tcBorders>
            <w:shd w:val="clear" w:color="000000" w:fill="BFB1D0"/>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-562 058.37</w:t>
            </w:r>
          </w:p>
        </w:tc>
        <w:tc>
          <w:tcPr>
            <w:tcW w:w="851" w:type="dxa"/>
            <w:tcBorders>
              <w:top w:val="nil"/>
              <w:left w:val="nil"/>
              <w:bottom w:val="single" w:sz="8" w:space="0" w:color="9F8AB9"/>
              <w:right w:val="single" w:sz="8" w:space="0" w:color="9F8AB9"/>
            </w:tcBorders>
            <w:shd w:val="clear" w:color="000000" w:fill="BFB1D0"/>
            <w:noWrap/>
            <w:hideMark/>
          </w:tcPr>
          <w:p w:rsidR="004A6F3B" w:rsidRPr="004A6F3B" w:rsidRDefault="004A6F3B" w:rsidP="004A6F3B">
            <w:pPr>
              <w:spacing w:after="0" w:line="240" w:lineRule="auto"/>
              <w:jc w:val="right"/>
              <w:rPr>
                <w:rFonts w:ascii="Times New Roman" w:eastAsia="Times New Roman" w:hAnsi="Times New Roman" w:cs="Times New Roman"/>
              </w:rPr>
            </w:pPr>
            <w:r w:rsidRPr="004A6F3B">
              <w:rPr>
                <w:rFonts w:ascii="Times New Roman" w:eastAsia="Times New Roman" w:hAnsi="Times New Roman" w:cs="Times New Roman"/>
              </w:rPr>
              <w:t>0.14</w:t>
            </w:r>
          </w:p>
        </w:tc>
        <w:tc>
          <w:tcPr>
            <w:tcW w:w="1984" w:type="dxa"/>
            <w:tcBorders>
              <w:top w:val="nil"/>
              <w:left w:val="nil"/>
              <w:bottom w:val="single" w:sz="8" w:space="0" w:color="9F8AB9"/>
              <w:right w:val="single" w:sz="8" w:space="0" w:color="9F8AB9"/>
            </w:tcBorders>
            <w:shd w:val="clear" w:color="000000" w:fill="BFB1D0"/>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227 962.22</w:t>
            </w:r>
          </w:p>
        </w:tc>
        <w:tc>
          <w:tcPr>
            <w:tcW w:w="1843" w:type="dxa"/>
            <w:tcBorders>
              <w:top w:val="nil"/>
              <w:left w:val="nil"/>
              <w:bottom w:val="single" w:sz="8" w:space="0" w:color="9F8AB9"/>
              <w:right w:val="single" w:sz="8" w:space="0" w:color="9F8AB9"/>
            </w:tcBorders>
            <w:shd w:val="clear" w:color="000000" w:fill="BFB1D0"/>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695 242.72</w:t>
            </w:r>
          </w:p>
        </w:tc>
      </w:tr>
      <w:tr w:rsidR="004A6F3B" w:rsidRPr="004A6F3B" w:rsidTr="009D14D2">
        <w:trPr>
          <w:trHeight w:val="315"/>
        </w:trPr>
        <w:tc>
          <w:tcPr>
            <w:tcW w:w="3079" w:type="dxa"/>
            <w:tcBorders>
              <w:top w:val="nil"/>
              <w:left w:val="single" w:sz="8" w:space="0" w:color="9F8AB9"/>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b/>
                <w:bCs/>
              </w:rPr>
            </w:pPr>
            <w:r w:rsidRPr="004A6F3B">
              <w:rPr>
                <w:rFonts w:ascii="Times New Roman" w:eastAsia="Times New Roman" w:hAnsi="Times New Roman" w:cs="Times New Roman"/>
                <w:b/>
                <w:bCs/>
              </w:rPr>
              <w:t xml:space="preserve">Crédit </w:t>
            </w:r>
          </w:p>
        </w:tc>
        <w:tc>
          <w:tcPr>
            <w:tcW w:w="1457" w:type="dxa"/>
            <w:tcBorders>
              <w:top w:val="nil"/>
              <w:left w:val="nil"/>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70 499.90</w:t>
            </w:r>
          </w:p>
        </w:tc>
        <w:tc>
          <w:tcPr>
            <w:tcW w:w="851" w:type="dxa"/>
            <w:tcBorders>
              <w:top w:val="nil"/>
              <w:left w:val="nil"/>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right"/>
              <w:rPr>
                <w:rFonts w:ascii="Times New Roman" w:eastAsia="Times New Roman" w:hAnsi="Times New Roman" w:cs="Times New Roman"/>
              </w:rPr>
            </w:pPr>
            <w:r w:rsidRPr="004A6F3B">
              <w:rPr>
                <w:rFonts w:ascii="Times New Roman" w:eastAsia="Times New Roman" w:hAnsi="Times New Roman" w:cs="Times New Roman"/>
              </w:rPr>
              <w:t>3.59</w:t>
            </w:r>
          </w:p>
        </w:tc>
        <w:tc>
          <w:tcPr>
            <w:tcW w:w="1984" w:type="dxa"/>
            <w:tcBorders>
              <w:top w:val="nil"/>
              <w:left w:val="nil"/>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3621.04007</w:t>
            </w:r>
          </w:p>
        </w:tc>
        <w:tc>
          <w:tcPr>
            <w:tcW w:w="1843" w:type="dxa"/>
            <w:tcBorders>
              <w:top w:val="nil"/>
              <w:left w:val="nil"/>
              <w:bottom w:val="single" w:sz="8" w:space="0" w:color="9F8AB9"/>
              <w:right w:val="single" w:sz="8" w:space="0" w:color="9F8AB9"/>
            </w:tcBorders>
            <w:shd w:val="clear" w:color="000000" w:fill="DFD8E8"/>
            <w:noWrap/>
            <w:hideMark/>
          </w:tcPr>
          <w:p w:rsidR="004A6F3B" w:rsidRPr="004A6F3B" w:rsidRDefault="004A6F3B" w:rsidP="004A6F3B">
            <w:pPr>
              <w:spacing w:after="0" w:line="240" w:lineRule="auto"/>
              <w:jc w:val="center"/>
              <w:rPr>
                <w:rFonts w:ascii="Times New Roman" w:eastAsia="Times New Roman" w:hAnsi="Times New Roman" w:cs="Times New Roman"/>
              </w:rPr>
            </w:pPr>
            <w:r w:rsidRPr="004A6F3B">
              <w:rPr>
                <w:rFonts w:ascii="Times New Roman" w:eastAsia="Times New Roman" w:hAnsi="Times New Roman" w:cs="Times New Roman"/>
              </w:rPr>
              <w:t>22 233.01</w:t>
            </w:r>
          </w:p>
        </w:tc>
      </w:tr>
    </w:tbl>
    <w:p w:rsidR="001F7041" w:rsidRPr="0052409A" w:rsidRDefault="00756DC3" w:rsidP="00D06D28">
      <w:pPr>
        <w:spacing w:line="360" w:lineRule="auto"/>
        <w:jc w:val="both"/>
        <w:rPr>
          <w:rFonts w:asciiTheme="majorBidi" w:eastAsia="Times New Roman" w:hAnsiTheme="majorBidi" w:cstheme="majorBidi"/>
          <w:b/>
          <w:bCs/>
          <w:sz w:val="24"/>
          <w:szCs w:val="24"/>
        </w:rPr>
      </w:pPr>
      <w:r w:rsidRPr="0052409A">
        <w:rPr>
          <w:rFonts w:asciiTheme="majorBidi" w:eastAsia="Times New Roman" w:hAnsiTheme="majorBidi" w:cstheme="majorBidi"/>
          <w:b/>
          <w:bCs/>
          <w:sz w:val="24"/>
          <w:szCs w:val="24"/>
        </w:rPr>
        <w:t>Tableau N°</w:t>
      </w:r>
      <w:proofErr w:type="gramStart"/>
      <w:r w:rsidR="00B73BA9">
        <w:rPr>
          <w:rFonts w:asciiTheme="majorBidi" w:eastAsia="Times New Roman" w:hAnsiTheme="majorBidi" w:cstheme="majorBidi"/>
          <w:b/>
          <w:bCs/>
          <w:sz w:val="24"/>
          <w:szCs w:val="24"/>
        </w:rPr>
        <w:t>13</w:t>
      </w:r>
      <w:r w:rsidRPr="0052409A">
        <w:rPr>
          <w:rFonts w:asciiTheme="majorBidi" w:eastAsia="Times New Roman" w:hAnsiTheme="majorBidi" w:cstheme="majorBidi"/>
          <w:b/>
          <w:bCs/>
          <w:sz w:val="24"/>
          <w:szCs w:val="24"/>
        </w:rPr>
        <w:t>:</w:t>
      </w:r>
      <w:proofErr w:type="gramEnd"/>
      <w:r w:rsidR="00016F07">
        <w:rPr>
          <w:rFonts w:asciiTheme="majorBidi" w:eastAsia="Times New Roman" w:hAnsiTheme="majorBidi" w:cstheme="majorBidi"/>
          <w:b/>
          <w:bCs/>
          <w:sz w:val="24"/>
          <w:szCs w:val="24"/>
        </w:rPr>
        <w:t xml:space="preserve"> L</w:t>
      </w:r>
      <w:r w:rsidRPr="0052409A">
        <w:rPr>
          <w:rFonts w:asciiTheme="majorBidi" w:eastAsia="Times New Roman" w:hAnsiTheme="majorBidi" w:cstheme="majorBidi"/>
          <w:b/>
          <w:bCs/>
          <w:sz w:val="24"/>
          <w:szCs w:val="24"/>
        </w:rPr>
        <w:t xml:space="preserve">e calcul du </w:t>
      </w:r>
      <w:r w:rsidR="0052409A" w:rsidRPr="0052409A">
        <w:rPr>
          <w:rFonts w:asciiTheme="majorBidi" w:eastAsia="Times New Roman" w:hAnsiTheme="majorBidi" w:cstheme="majorBidi"/>
          <w:b/>
          <w:bCs/>
          <w:sz w:val="24"/>
          <w:szCs w:val="24"/>
        </w:rPr>
        <w:t xml:space="preserve">Best </w:t>
      </w:r>
      <w:proofErr w:type="spellStart"/>
      <w:r w:rsidR="0052409A" w:rsidRPr="0052409A">
        <w:rPr>
          <w:rFonts w:asciiTheme="majorBidi" w:eastAsia="Times New Roman" w:hAnsiTheme="majorBidi" w:cstheme="majorBidi"/>
          <w:b/>
          <w:bCs/>
          <w:sz w:val="24"/>
          <w:szCs w:val="24"/>
        </w:rPr>
        <w:t>E</w:t>
      </w:r>
      <w:r w:rsidRPr="0052409A">
        <w:rPr>
          <w:rFonts w:asciiTheme="majorBidi" w:eastAsia="Times New Roman" w:hAnsiTheme="majorBidi" w:cstheme="majorBidi"/>
          <w:b/>
          <w:bCs/>
          <w:sz w:val="24"/>
          <w:szCs w:val="24"/>
        </w:rPr>
        <w:t>stimate</w:t>
      </w:r>
      <w:proofErr w:type="spellEnd"/>
      <w:r w:rsidRPr="0052409A">
        <w:rPr>
          <w:rFonts w:asciiTheme="majorBidi" w:eastAsia="Times New Roman" w:hAnsiTheme="majorBidi" w:cstheme="majorBidi"/>
          <w:b/>
          <w:bCs/>
          <w:sz w:val="24"/>
          <w:szCs w:val="24"/>
        </w:rPr>
        <w:t xml:space="preserve"> des provisions de primes </w:t>
      </w:r>
    </w:p>
    <w:p w:rsidR="006321E0" w:rsidRDefault="005B41E7" w:rsidP="001F5543">
      <w:pPr>
        <w:pStyle w:val="Default"/>
        <w:spacing w:line="360" w:lineRule="auto"/>
        <w:jc w:val="both"/>
        <w:rPr>
          <w:rFonts w:ascii="Times New Roman" w:hAnsi="Times New Roman" w:cs="Times New Roman"/>
        </w:rPr>
      </w:pPr>
      <w:r>
        <w:rPr>
          <w:rFonts w:ascii="Times New Roman" w:hAnsi="Times New Roman" w:cs="Times New Roman"/>
        </w:rPr>
        <w:tab/>
      </w:r>
      <w:r w:rsidR="00E567A7" w:rsidRPr="00E567A7">
        <w:rPr>
          <w:rFonts w:ascii="Times New Roman" w:hAnsi="Times New Roman" w:cs="Times New Roman"/>
        </w:rPr>
        <w:t xml:space="preserve">Nous remarquons que le BE est négatif pour </w:t>
      </w:r>
      <w:r w:rsidR="001F5543">
        <w:rPr>
          <w:rFonts w:ascii="Times New Roman" w:hAnsi="Times New Roman" w:cs="Times New Roman"/>
        </w:rPr>
        <w:t>la majorité des</w:t>
      </w:r>
      <w:r w:rsidR="00E567A7" w:rsidRPr="00E567A7">
        <w:rPr>
          <w:rFonts w:ascii="Times New Roman" w:hAnsi="Times New Roman" w:cs="Times New Roman"/>
        </w:rPr>
        <w:t xml:space="preserve"> branches</w:t>
      </w:r>
      <w:r w:rsidR="00F633A2">
        <w:rPr>
          <w:rFonts w:ascii="Times New Roman" w:hAnsi="Times New Roman" w:cs="Times New Roman"/>
        </w:rPr>
        <w:t xml:space="preserve">, et ça se traduit par un ratio combiné </w:t>
      </w:r>
      <w:r>
        <w:rPr>
          <w:rFonts w:ascii="Times New Roman" w:hAnsi="Times New Roman" w:cs="Times New Roman"/>
        </w:rPr>
        <w:t>inférieur à 100%.</w:t>
      </w:r>
    </w:p>
    <w:p w:rsidR="006321E0" w:rsidRPr="00653B18" w:rsidRDefault="005B41E7" w:rsidP="009D14D2">
      <w:pPr>
        <w:jc w:val="center"/>
        <w:rPr>
          <w:rFonts w:ascii="Arial" w:eastAsia="Times New Roman" w:hAnsi="Arial" w:cs="Arial"/>
          <w:sz w:val="20"/>
          <w:szCs w:val="20"/>
        </w:rPr>
      </w:pPr>
      <w:r w:rsidRPr="006321E0">
        <w:rPr>
          <w:rFonts w:ascii="Times New Roman" w:hAnsi="Times New Roman" w:cs="Times New Roman"/>
          <w:b/>
          <w:bCs/>
        </w:rPr>
        <w:t>BE</w:t>
      </w:r>
      <w:r w:rsidRPr="006321E0">
        <w:rPr>
          <w:rFonts w:ascii="Times New Roman" w:hAnsi="Times New Roman" w:cs="Times New Roman"/>
          <w:b/>
          <w:bCs/>
          <w:vertAlign w:val="subscript"/>
        </w:rPr>
        <w:t>P</w:t>
      </w:r>
      <w:r w:rsidRPr="006321E0">
        <w:rPr>
          <w:rFonts w:ascii="Times New Roman" w:hAnsi="Times New Roman" w:cs="Times New Roman"/>
          <w:b/>
          <w:bCs/>
        </w:rPr>
        <w:t>=</w:t>
      </w:r>
      <w:r w:rsidR="00E567A7" w:rsidRPr="006321E0">
        <w:rPr>
          <w:rFonts w:ascii="Times New Roman" w:hAnsi="Times New Roman" w:cs="Times New Roman"/>
          <w:b/>
          <w:bCs/>
        </w:rPr>
        <w:t xml:space="preserve"> </w:t>
      </w:r>
      <w:r w:rsidR="00016F07" w:rsidRPr="006321E0">
        <w:rPr>
          <w:rFonts w:ascii="Times New Roman" w:hAnsi="Times New Roman" w:cs="Times New Roman"/>
          <w:b/>
          <w:bCs/>
        </w:rPr>
        <w:t>∑</w:t>
      </w:r>
      <w:proofErr w:type="spellStart"/>
      <w:r w:rsidR="00016F07" w:rsidRPr="006321E0">
        <w:rPr>
          <w:rFonts w:ascii="Times New Roman" w:hAnsi="Times New Roman" w:cs="Times New Roman"/>
          <w:b/>
          <w:bCs/>
        </w:rPr>
        <w:t>BE</w:t>
      </w:r>
      <w:r w:rsidR="00016F07" w:rsidRPr="006321E0">
        <w:rPr>
          <w:rFonts w:ascii="Times New Roman" w:hAnsi="Times New Roman" w:cs="Times New Roman"/>
          <w:b/>
          <w:bCs/>
          <w:vertAlign w:val="subscript"/>
        </w:rPr>
        <w:t>lob</w:t>
      </w:r>
      <w:proofErr w:type="spellEnd"/>
      <w:r w:rsidR="00016F07" w:rsidRPr="006321E0">
        <w:rPr>
          <w:rFonts w:ascii="Times New Roman" w:hAnsi="Times New Roman" w:cs="Times New Roman"/>
          <w:b/>
          <w:bCs/>
        </w:rPr>
        <w:t xml:space="preserve"> =</w:t>
      </w:r>
      <w:r w:rsidR="00016F07">
        <w:rPr>
          <w:rFonts w:ascii="Times New Roman" w:hAnsi="Times New Roman" w:cs="Times New Roman"/>
        </w:rPr>
        <w:t xml:space="preserve"> </w:t>
      </w:r>
      <w:r w:rsidR="009D14D2" w:rsidRPr="009D14D2">
        <w:rPr>
          <w:rFonts w:ascii="Times New Roman" w:hAnsi="Times New Roman" w:cs="Times New Roman"/>
        </w:rPr>
        <w:t>-</w:t>
      </w:r>
      <w:r w:rsidR="009D14D2">
        <w:rPr>
          <w:rFonts w:ascii="Times New Roman" w:hAnsi="Times New Roman" w:cs="Times New Roman"/>
        </w:rPr>
        <w:t xml:space="preserve"> </w:t>
      </w:r>
      <w:r w:rsidR="009D14D2" w:rsidRPr="009D14D2">
        <w:rPr>
          <w:rFonts w:asciiTheme="majorBidi" w:eastAsia="Times New Roman" w:hAnsiTheme="majorBidi" w:cstheme="majorBidi"/>
          <w:b/>
          <w:bCs/>
          <w:i/>
          <w:iCs/>
          <w:sz w:val="28"/>
          <w:szCs w:val="28"/>
        </w:rPr>
        <w:t>4 652 709 982</w:t>
      </w:r>
      <w:r w:rsidR="009D14D2" w:rsidRPr="009D14D2">
        <w:rPr>
          <w:rFonts w:ascii="Times New Roman" w:hAnsi="Times New Roman" w:cs="Times New Roman"/>
        </w:rPr>
        <w:t xml:space="preserve">   </w:t>
      </w:r>
      <w:r w:rsidR="00975782" w:rsidRPr="00653B18">
        <w:rPr>
          <w:rFonts w:asciiTheme="majorBidi" w:eastAsia="Times New Roman" w:hAnsiTheme="majorBidi" w:cstheme="majorBidi"/>
          <w:b/>
          <w:bCs/>
          <w:i/>
          <w:iCs/>
          <w:sz w:val="28"/>
          <w:szCs w:val="28"/>
        </w:rPr>
        <w:t>DA</w:t>
      </w:r>
      <w:r w:rsidR="00016F07">
        <w:rPr>
          <w:rFonts w:asciiTheme="majorBidi" w:eastAsia="Times New Roman" w:hAnsiTheme="majorBidi" w:cstheme="majorBidi"/>
          <w:b/>
          <w:bCs/>
          <w:i/>
          <w:iCs/>
        </w:rPr>
        <w:t xml:space="preserve"> </w:t>
      </w:r>
    </w:p>
    <w:p w:rsidR="00AC1BEB" w:rsidRDefault="00856E5B" w:rsidP="005726D5">
      <w:pPr>
        <w:jc w:val="both"/>
        <w:rPr>
          <w:rFonts w:asciiTheme="majorBidi" w:eastAsia="Times New Roman" w:hAnsiTheme="majorBidi" w:cstheme="majorBidi"/>
        </w:rPr>
      </w:pPr>
      <w:r>
        <w:rPr>
          <w:rFonts w:asciiTheme="majorBidi" w:eastAsia="Times New Roman" w:hAnsiTheme="majorBidi" w:cstheme="majorBidi"/>
        </w:rPr>
        <w:tab/>
      </w:r>
      <w:r w:rsidR="00895551">
        <w:rPr>
          <w:rFonts w:asciiTheme="majorBidi" w:eastAsia="Times New Roman" w:hAnsiTheme="majorBidi" w:cstheme="majorBidi"/>
        </w:rPr>
        <w:t xml:space="preserve">On suppose que les provisions de sinistre sont estimées </w:t>
      </w:r>
      <w:r w:rsidR="002C4DE0">
        <w:rPr>
          <w:rFonts w:asciiTheme="majorBidi" w:eastAsia="Times New Roman" w:hAnsiTheme="majorBidi" w:cstheme="majorBidi"/>
        </w:rPr>
        <w:t xml:space="preserve">en Best </w:t>
      </w:r>
      <w:proofErr w:type="spellStart"/>
      <w:r w:rsidR="002C4DE0">
        <w:rPr>
          <w:rFonts w:asciiTheme="majorBidi" w:eastAsia="Times New Roman" w:hAnsiTheme="majorBidi" w:cstheme="majorBidi"/>
        </w:rPr>
        <w:t>Estimate</w:t>
      </w:r>
      <w:proofErr w:type="spellEnd"/>
      <w:r w:rsidR="00975782">
        <w:rPr>
          <w:rFonts w:asciiTheme="majorBidi" w:eastAsia="Times New Roman" w:hAnsiTheme="majorBidi" w:cstheme="majorBidi"/>
        </w:rPr>
        <w:t xml:space="preserve"> et s’élève à </w:t>
      </w:r>
      <w:r w:rsidR="00975782" w:rsidRPr="00975782">
        <w:rPr>
          <w:rFonts w:asciiTheme="majorBidi" w:eastAsia="Times New Roman" w:hAnsiTheme="majorBidi" w:cstheme="majorBidi"/>
          <w:b/>
          <w:bCs/>
          <w:i/>
          <w:iCs/>
        </w:rPr>
        <w:t>12 173 198</w:t>
      </w:r>
      <w:r w:rsidR="00975782">
        <w:rPr>
          <w:rFonts w:asciiTheme="majorBidi" w:eastAsia="Times New Roman" w:hAnsiTheme="majorBidi" w:cstheme="majorBidi"/>
          <w:b/>
          <w:bCs/>
          <w:i/>
          <w:iCs/>
        </w:rPr>
        <w:t> </w:t>
      </w:r>
      <w:r w:rsidR="00975782" w:rsidRPr="00975782">
        <w:rPr>
          <w:rFonts w:asciiTheme="majorBidi" w:eastAsia="Times New Roman" w:hAnsiTheme="majorBidi" w:cstheme="majorBidi"/>
          <w:b/>
          <w:bCs/>
          <w:i/>
          <w:iCs/>
        </w:rPr>
        <w:t>384</w:t>
      </w:r>
      <w:r w:rsidR="00975782">
        <w:rPr>
          <w:rFonts w:asciiTheme="majorBidi" w:eastAsia="Times New Roman" w:hAnsiTheme="majorBidi" w:cstheme="majorBidi"/>
          <w:b/>
          <w:bCs/>
          <w:i/>
          <w:iCs/>
        </w:rPr>
        <w:t xml:space="preserve"> </w:t>
      </w:r>
      <w:r w:rsidR="00975782" w:rsidRPr="00975782">
        <w:rPr>
          <w:rFonts w:asciiTheme="majorBidi" w:eastAsia="Times New Roman" w:hAnsiTheme="majorBidi" w:cstheme="majorBidi"/>
          <w:b/>
          <w:bCs/>
        </w:rPr>
        <w:t>DA</w:t>
      </w:r>
      <w:r w:rsidR="00817A09">
        <w:rPr>
          <w:rFonts w:asciiTheme="majorBidi" w:eastAsia="Times New Roman" w:hAnsiTheme="majorBidi" w:cstheme="majorBidi"/>
          <w:b/>
          <w:bCs/>
        </w:rPr>
        <w:t xml:space="preserve"> ; </w:t>
      </w:r>
      <w:r w:rsidR="00AC1BEB">
        <w:rPr>
          <w:rFonts w:asciiTheme="majorBidi" w:eastAsia="Times New Roman" w:hAnsiTheme="majorBidi" w:cstheme="majorBidi"/>
          <w:sz w:val="24"/>
          <w:szCs w:val="24"/>
        </w:rPr>
        <w:t xml:space="preserve">la provision ainsi obtenue pour notre portefeuille au 31/12/2011 est </w:t>
      </w:r>
      <w:proofErr w:type="gramStart"/>
      <w:r w:rsidR="00817A09">
        <w:rPr>
          <w:rFonts w:asciiTheme="majorBidi" w:eastAsia="Times New Roman" w:hAnsiTheme="majorBidi" w:cstheme="majorBidi"/>
        </w:rPr>
        <w:t>de:</w:t>
      </w:r>
      <w:proofErr w:type="gramEnd"/>
      <w:r w:rsidR="00AC1BEB">
        <w:rPr>
          <w:rFonts w:asciiTheme="majorBidi" w:eastAsia="Times New Roman" w:hAnsiTheme="majorBidi" w:cstheme="majorBidi"/>
        </w:rPr>
        <w:t xml:space="preserve">                      </w:t>
      </w:r>
    </w:p>
    <w:p w:rsidR="00817A09" w:rsidRDefault="00817A09" w:rsidP="00AC1BEB">
      <w:pPr>
        <w:jc w:val="center"/>
        <w:rPr>
          <w:rFonts w:asciiTheme="majorBidi" w:eastAsia="Times New Roman" w:hAnsiTheme="majorBidi" w:cstheme="majorBidi"/>
          <w:b/>
          <w:bCs/>
          <w:i/>
          <w:iCs/>
          <w:sz w:val="28"/>
          <w:szCs w:val="28"/>
        </w:rPr>
      </w:pPr>
      <w:r w:rsidRPr="00817A09">
        <w:rPr>
          <w:rFonts w:asciiTheme="majorBidi" w:eastAsia="Times New Roman" w:hAnsiTheme="majorBidi" w:cstheme="majorBidi"/>
          <w:b/>
          <w:bCs/>
          <w:i/>
          <w:iCs/>
          <w:sz w:val="28"/>
          <w:szCs w:val="28"/>
        </w:rPr>
        <w:t xml:space="preserve">BE= </w:t>
      </w:r>
      <w:r w:rsidR="009D14D2">
        <w:rPr>
          <w:rFonts w:asciiTheme="majorBidi" w:eastAsia="Times New Roman" w:hAnsiTheme="majorBidi" w:cstheme="majorBidi"/>
          <w:b/>
          <w:bCs/>
          <w:i/>
          <w:iCs/>
          <w:sz w:val="28"/>
          <w:szCs w:val="28"/>
        </w:rPr>
        <w:t xml:space="preserve"> </w:t>
      </w:r>
      <w:r w:rsidR="00FE346D">
        <w:rPr>
          <w:rFonts w:asciiTheme="majorBidi" w:eastAsia="Times New Roman" w:hAnsiTheme="majorBidi" w:cstheme="majorBidi"/>
          <w:b/>
          <w:bCs/>
          <w:i/>
          <w:iCs/>
          <w:sz w:val="28"/>
          <w:szCs w:val="28"/>
        </w:rPr>
        <w:t xml:space="preserve"> 7 520 488 402</w:t>
      </w:r>
      <w:r w:rsidR="00D533C9" w:rsidRPr="00D533C9">
        <w:rPr>
          <w:rFonts w:asciiTheme="majorBidi" w:eastAsia="Times New Roman" w:hAnsiTheme="majorBidi" w:cstheme="majorBidi"/>
          <w:b/>
          <w:bCs/>
          <w:i/>
          <w:iCs/>
          <w:sz w:val="28"/>
          <w:szCs w:val="28"/>
        </w:rPr>
        <w:t xml:space="preserve">   </w:t>
      </w:r>
      <w:r w:rsidR="001411F1">
        <w:rPr>
          <w:rFonts w:asciiTheme="majorBidi" w:eastAsia="Times New Roman" w:hAnsiTheme="majorBidi" w:cstheme="majorBidi"/>
          <w:b/>
          <w:bCs/>
          <w:i/>
          <w:iCs/>
          <w:sz w:val="28"/>
          <w:szCs w:val="28"/>
        </w:rPr>
        <w:t>DA</w:t>
      </w:r>
    </w:p>
    <w:p w:rsidR="008E688A" w:rsidRPr="00AC1BEB" w:rsidRDefault="00AC1BEB" w:rsidP="008E688A">
      <w:pPr>
        <w:rPr>
          <w:rFonts w:asciiTheme="majorBidi" w:eastAsia="Times New Roman" w:hAnsiTheme="majorBidi" w:cstheme="majorBidi"/>
          <w:sz w:val="28"/>
          <w:szCs w:val="28"/>
        </w:rPr>
      </w:pPr>
      <w:r w:rsidRPr="00AC1BEB">
        <w:rPr>
          <w:rFonts w:asciiTheme="majorBidi" w:eastAsia="Times New Roman" w:hAnsiTheme="majorBidi" w:cstheme="majorBidi"/>
          <w:sz w:val="24"/>
          <w:szCs w:val="24"/>
        </w:rPr>
        <w:lastRenderedPageBreak/>
        <w:t xml:space="preserve">Ce </w:t>
      </w:r>
      <w:proofErr w:type="gramStart"/>
      <w:r w:rsidRPr="00AC1BEB">
        <w:rPr>
          <w:rFonts w:asciiTheme="majorBidi" w:eastAsia="Times New Roman" w:hAnsiTheme="majorBidi" w:cstheme="majorBidi"/>
          <w:sz w:val="24"/>
          <w:szCs w:val="24"/>
        </w:rPr>
        <w:t>qui  donne</w:t>
      </w:r>
      <w:proofErr w:type="gramEnd"/>
      <w:r w:rsidRPr="00AC1BEB">
        <w:rPr>
          <w:rFonts w:asciiTheme="majorBidi" w:eastAsia="Times New Roman" w:hAnsiTheme="majorBidi" w:cstheme="majorBidi"/>
          <w:sz w:val="24"/>
          <w:szCs w:val="24"/>
        </w:rPr>
        <w:t xml:space="preserve"> une valeur économique des fonds propres de</w:t>
      </w:r>
      <w:r w:rsidR="008E688A">
        <w:rPr>
          <w:rFonts w:asciiTheme="majorBidi" w:eastAsia="Times New Roman" w:hAnsiTheme="majorBidi" w:cstheme="majorBidi"/>
          <w:sz w:val="28"/>
          <w:szCs w:val="28"/>
        </w:rPr>
        <w:t>:</w:t>
      </w:r>
    </w:p>
    <w:tbl>
      <w:tblPr>
        <w:tblStyle w:val="Grillemoyenne1-Accent4"/>
        <w:tblW w:w="4328" w:type="dxa"/>
        <w:tblInd w:w="2383" w:type="dxa"/>
        <w:tblLook w:val="04A0"/>
      </w:tblPr>
      <w:tblGrid>
        <w:gridCol w:w="1635"/>
        <w:gridCol w:w="2693"/>
      </w:tblGrid>
      <w:tr w:rsidR="001411F1" w:rsidRPr="001411F1" w:rsidTr="00856E5B">
        <w:trPr>
          <w:cnfStyle w:val="100000000000"/>
          <w:trHeight w:val="315"/>
        </w:trPr>
        <w:tc>
          <w:tcPr>
            <w:cnfStyle w:val="001000000000"/>
            <w:tcW w:w="1635" w:type="dxa"/>
            <w:noWrap/>
            <w:hideMark/>
          </w:tcPr>
          <w:p w:rsidR="001411F1" w:rsidRPr="001411F1" w:rsidRDefault="001411F1" w:rsidP="001411F1">
            <w:pPr>
              <w:rPr>
                <w:rFonts w:asciiTheme="majorBidi" w:eastAsia="Times New Roman" w:hAnsiTheme="majorBidi" w:cstheme="majorBidi"/>
                <w:sz w:val="24"/>
                <w:szCs w:val="24"/>
              </w:rPr>
            </w:pPr>
            <w:r w:rsidRPr="001411F1">
              <w:rPr>
                <w:rFonts w:ascii="Cambria Math" w:eastAsia="Times New Roman" w:hAnsi="Cambria Math" w:cstheme="majorBidi"/>
                <w:sz w:val="24"/>
                <w:szCs w:val="24"/>
              </w:rPr>
              <w:t>𝐴</w:t>
            </w:r>
            <w:r w:rsidRPr="001411F1">
              <w:rPr>
                <w:rFonts w:asciiTheme="majorBidi" w:eastAsia="Times New Roman" w:hAnsiTheme="majorBidi" w:cstheme="majorBidi"/>
                <w:sz w:val="24"/>
                <w:szCs w:val="24"/>
                <w:vertAlign w:val="subscript"/>
              </w:rPr>
              <w:t>t</w:t>
            </w:r>
            <w:r w:rsidRPr="001411F1">
              <w:rPr>
                <w:rFonts w:asciiTheme="majorBidi" w:eastAsia="Times New Roman" w:hAnsiTheme="majorBidi" w:cstheme="majorBidi"/>
                <w:sz w:val="24"/>
                <w:szCs w:val="24"/>
              </w:rPr>
              <w:t xml:space="preserve"> </w:t>
            </w:r>
          </w:p>
        </w:tc>
        <w:tc>
          <w:tcPr>
            <w:tcW w:w="2693" w:type="dxa"/>
            <w:noWrap/>
            <w:hideMark/>
          </w:tcPr>
          <w:p w:rsidR="001411F1" w:rsidRPr="001411F1" w:rsidRDefault="006737F9" w:rsidP="006737F9">
            <w:pPr>
              <w:jc w:val="center"/>
              <w:cnfStyle w:val="100000000000"/>
              <w:rPr>
                <w:rFonts w:asciiTheme="majorBidi" w:eastAsia="Times New Roman" w:hAnsiTheme="majorBidi" w:cstheme="majorBidi"/>
                <w:sz w:val="24"/>
                <w:szCs w:val="24"/>
              </w:rPr>
            </w:pPr>
            <w:r>
              <w:rPr>
                <w:rFonts w:asciiTheme="majorBidi" w:eastAsia="Times New Roman" w:hAnsiTheme="majorBidi" w:cstheme="majorBidi"/>
                <w:sz w:val="24"/>
                <w:szCs w:val="24"/>
              </w:rPr>
              <w:t>10 106 514 210</w:t>
            </w:r>
          </w:p>
        </w:tc>
      </w:tr>
      <w:tr w:rsidR="001411F1" w:rsidRPr="001411F1" w:rsidTr="00856E5B">
        <w:trPr>
          <w:cnfStyle w:val="000000100000"/>
          <w:trHeight w:val="315"/>
        </w:trPr>
        <w:tc>
          <w:tcPr>
            <w:cnfStyle w:val="001000000000"/>
            <w:tcW w:w="1635" w:type="dxa"/>
            <w:noWrap/>
            <w:hideMark/>
          </w:tcPr>
          <w:p w:rsidR="001411F1" w:rsidRPr="001411F1" w:rsidRDefault="001411F1" w:rsidP="001411F1">
            <w:pPr>
              <w:rPr>
                <w:rFonts w:asciiTheme="majorBidi" w:eastAsia="Times New Roman" w:hAnsiTheme="majorBidi" w:cstheme="majorBidi"/>
                <w:sz w:val="24"/>
                <w:szCs w:val="24"/>
              </w:rPr>
            </w:pPr>
            <w:r w:rsidRPr="001411F1">
              <w:rPr>
                <w:rFonts w:asciiTheme="majorBidi" w:eastAsia="Times New Roman" w:hAnsiTheme="majorBidi" w:cstheme="majorBidi"/>
                <w:sz w:val="24"/>
                <w:szCs w:val="24"/>
              </w:rPr>
              <w:t xml:space="preserve"> </w:t>
            </w:r>
            <w:proofErr w:type="spellStart"/>
            <w:r w:rsidRPr="001411F1">
              <w:rPr>
                <w:rFonts w:asciiTheme="majorBidi" w:eastAsia="Times New Roman" w:hAnsiTheme="majorBidi" w:cstheme="majorBidi"/>
                <w:sz w:val="24"/>
                <w:szCs w:val="24"/>
              </w:rPr>
              <w:t>BE</w:t>
            </w:r>
            <w:r w:rsidRPr="001411F1">
              <w:rPr>
                <w:rFonts w:asciiTheme="majorBidi" w:eastAsia="Times New Roman" w:hAnsiTheme="majorBidi" w:cstheme="majorBidi"/>
                <w:sz w:val="24"/>
                <w:szCs w:val="24"/>
                <w:vertAlign w:val="subscript"/>
              </w:rPr>
              <w:t>t</w:t>
            </w:r>
            <w:proofErr w:type="spellEnd"/>
            <w:r w:rsidRPr="001411F1">
              <w:rPr>
                <w:rFonts w:asciiTheme="majorBidi" w:eastAsia="Times New Roman" w:hAnsiTheme="majorBidi" w:cstheme="majorBidi"/>
                <w:sz w:val="24"/>
                <w:szCs w:val="24"/>
              </w:rPr>
              <w:t xml:space="preserve"> </w:t>
            </w:r>
          </w:p>
        </w:tc>
        <w:tc>
          <w:tcPr>
            <w:tcW w:w="2693" w:type="dxa"/>
            <w:noWrap/>
            <w:hideMark/>
          </w:tcPr>
          <w:p w:rsidR="001411F1" w:rsidRPr="001411F1" w:rsidRDefault="00FE346D" w:rsidP="006737F9">
            <w:pPr>
              <w:jc w:val="center"/>
              <w:cnfStyle w:val="00000010000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7 520 488 402</w:t>
            </w:r>
          </w:p>
        </w:tc>
      </w:tr>
      <w:tr w:rsidR="001411F1" w:rsidRPr="001411F1" w:rsidTr="00856E5B">
        <w:trPr>
          <w:trHeight w:val="255"/>
        </w:trPr>
        <w:tc>
          <w:tcPr>
            <w:cnfStyle w:val="001000000000"/>
            <w:tcW w:w="1635" w:type="dxa"/>
            <w:noWrap/>
            <w:hideMark/>
          </w:tcPr>
          <w:p w:rsidR="001411F1" w:rsidRPr="001411F1" w:rsidRDefault="001411F1" w:rsidP="001411F1">
            <w:pPr>
              <w:rPr>
                <w:rFonts w:asciiTheme="majorBidi" w:eastAsia="Times New Roman" w:hAnsiTheme="majorBidi" w:cstheme="majorBidi"/>
                <w:sz w:val="24"/>
                <w:szCs w:val="24"/>
              </w:rPr>
            </w:pPr>
            <w:r w:rsidRPr="001411F1">
              <w:rPr>
                <w:rFonts w:asciiTheme="majorBidi" w:eastAsia="Times New Roman" w:hAnsiTheme="majorBidi" w:cstheme="majorBidi"/>
                <w:sz w:val="24"/>
                <w:szCs w:val="24"/>
              </w:rPr>
              <w:t xml:space="preserve"> </w:t>
            </w:r>
            <w:proofErr w:type="spellStart"/>
            <w:r w:rsidRPr="001411F1">
              <w:rPr>
                <w:rFonts w:asciiTheme="majorBidi" w:eastAsia="Times New Roman" w:hAnsiTheme="majorBidi" w:cstheme="majorBidi"/>
                <w:sz w:val="24"/>
                <w:szCs w:val="24"/>
              </w:rPr>
              <w:t>NAV</w:t>
            </w:r>
            <w:r w:rsidRPr="001411F1">
              <w:rPr>
                <w:rFonts w:asciiTheme="majorBidi" w:eastAsia="Times New Roman" w:hAnsiTheme="majorBidi" w:cstheme="majorBidi"/>
                <w:sz w:val="24"/>
                <w:szCs w:val="24"/>
                <w:vertAlign w:val="subscript"/>
              </w:rPr>
              <w:t>t</w:t>
            </w:r>
            <w:proofErr w:type="spellEnd"/>
            <w:r w:rsidRPr="001411F1">
              <w:rPr>
                <w:rFonts w:asciiTheme="majorBidi" w:eastAsia="Times New Roman" w:hAnsiTheme="majorBidi" w:cstheme="majorBidi"/>
                <w:sz w:val="24"/>
                <w:szCs w:val="24"/>
              </w:rPr>
              <w:t xml:space="preserve"> </w:t>
            </w:r>
          </w:p>
        </w:tc>
        <w:tc>
          <w:tcPr>
            <w:tcW w:w="2693" w:type="dxa"/>
            <w:noWrap/>
            <w:hideMark/>
          </w:tcPr>
          <w:p w:rsidR="001411F1" w:rsidRPr="001411F1" w:rsidRDefault="00FE346D" w:rsidP="006737F9">
            <w:pPr>
              <w:jc w:val="center"/>
              <w:cnfStyle w:val="000000000000"/>
              <w:rPr>
                <w:rFonts w:asciiTheme="majorBidi" w:eastAsia="Times New Roman" w:hAnsiTheme="majorBidi" w:cstheme="majorBidi"/>
                <w:b/>
                <w:bCs/>
                <w:sz w:val="24"/>
                <w:szCs w:val="24"/>
              </w:rPr>
            </w:pPr>
            <w:r w:rsidRPr="00FE346D">
              <w:rPr>
                <w:rFonts w:asciiTheme="majorBidi" w:eastAsia="Times New Roman" w:hAnsiTheme="majorBidi" w:cstheme="majorBidi"/>
                <w:b/>
                <w:bCs/>
                <w:sz w:val="24"/>
                <w:szCs w:val="24"/>
              </w:rPr>
              <w:t>2 586 025 808</w:t>
            </w:r>
          </w:p>
        </w:tc>
      </w:tr>
    </w:tbl>
    <w:p w:rsidR="006A09FF" w:rsidRDefault="006A09FF" w:rsidP="00A23F2A">
      <w:pPr>
        <w:autoSpaceDE w:val="0"/>
        <w:autoSpaceDN w:val="0"/>
        <w:adjustRightInd w:val="0"/>
        <w:spacing w:after="0" w:line="240" w:lineRule="auto"/>
        <w:jc w:val="both"/>
        <w:rPr>
          <w:rFonts w:asciiTheme="majorBidi" w:hAnsiTheme="majorBidi" w:cstheme="majorBidi"/>
          <w:b/>
          <w:bCs/>
          <w:sz w:val="28"/>
          <w:szCs w:val="28"/>
        </w:rPr>
      </w:pPr>
    </w:p>
    <w:p w:rsidR="00015E00" w:rsidRPr="00EB3674" w:rsidRDefault="006E5784" w:rsidP="00856E5B">
      <w:pPr>
        <w:autoSpaceDE w:val="0"/>
        <w:autoSpaceDN w:val="0"/>
        <w:adjustRightInd w:val="0"/>
        <w:spacing w:after="0" w:line="360" w:lineRule="auto"/>
        <w:jc w:val="both"/>
        <w:rPr>
          <w:rFonts w:asciiTheme="majorBidi" w:hAnsiTheme="majorBidi" w:cstheme="majorBidi"/>
          <w:b/>
          <w:bCs/>
          <w:sz w:val="28"/>
          <w:szCs w:val="28"/>
        </w:rPr>
      </w:pPr>
      <w:r w:rsidRPr="00EB3674">
        <w:rPr>
          <w:rFonts w:asciiTheme="majorBidi" w:hAnsiTheme="majorBidi" w:cstheme="majorBidi"/>
          <w:b/>
          <w:bCs/>
          <w:sz w:val="28"/>
          <w:szCs w:val="28"/>
        </w:rPr>
        <w:t>3-1-</w:t>
      </w:r>
      <w:r w:rsidR="00EB3674" w:rsidRPr="00EB3674">
        <w:rPr>
          <w:rFonts w:asciiTheme="majorBidi" w:hAnsiTheme="majorBidi" w:cstheme="majorBidi"/>
          <w:b/>
          <w:bCs/>
          <w:sz w:val="28"/>
          <w:szCs w:val="28"/>
        </w:rPr>
        <w:t>3</w:t>
      </w:r>
      <w:r w:rsidRPr="00EB3674">
        <w:rPr>
          <w:rFonts w:asciiTheme="majorBidi" w:hAnsiTheme="majorBidi" w:cstheme="majorBidi"/>
          <w:sz w:val="28"/>
          <w:szCs w:val="28"/>
        </w:rPr>
        <w:t xml:space="preserve">- </w:t>
      </w:r>
      <w:r w:rsidRPr="00EB3674">
        <w:rPr>
          <w:rFonts w:asciiTheme="majorBidi" w:hAnsiTheme="majorBidi" w:cstheme="majorBidi"/>
          <w:b/>
          <w:bCs/>
          <w:sz w:val="28"/>
          <w:szCs w:val="28"/>
        </w:rPr>
        <w:t>L</w:t>
      </w:r>
      <w:r w:rsidR="008B3A40" w:rsidRPr="00EB3674">
        <w:rPr>
          <w:rFonts w:asciiTheme="majorBidi" w:hAnsiTheme="majorBidi" w:cstheme="majorBidi"/>
          <w:b/>
          <w:bCs/>
          <w:sz w:val="28"/>
          <w:szCs w:val="28"/>
        </w:rPr>
        <w:t>e calcul du</w:t>
      </w:r>
      <w:r w:rsidR="00A108E3" w:rsidRPr="00EB3674">
        <w:rPr>
          <w:rFonts w:asciiTheme="majorBidi" w:hAnsiTheme="majorBidi" w:cstheme="majorBidi"/>
          <w:b/>
          <w:bCs/>
          <w:sz w:val="28"/>
          <w:szCs w:val="28"/>
        </w:rPr>
        <w:t xml:space="preserve"> SCR de base (BSCR)</w:t>
      </w:r>
      <w:r w:rsidR="00C61DFA" w:rsidRPr="00EB3674">
        <w:rPr>
          <w:rFonts w:asciiTheme="majorBidi" w:hAnsiTheme="majorBidi" w:cstheme="majorBidi"/>
          <w:b/>
          <w:bCs/>
          <w:sz w:val="28"/>
          <w:szCs w:val="28"/>
        </w:rPr>
        <w:t xml:space="preserve"> </w:t>
      </w:r>
    </w:p>
    <w:p w:rsidR="00F91E2B" w:rsidRDefault="00015E00" w:rsidP="00F91E2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015E00">
        <w:rPr>
          <w:rFonts w:asciiTheme="majorBidi" w:hAnsiTheme="majorBidi" w:cstheme="majorBidi"/>
          <w:sz w:val="24"/>
          <w:szCs w:val="24"/>
        </w:rPr>
        <w:t xml:space="preserve">Comme nous l’avons déjà indiqué, pour calculer le SCR de base (BSCR) il faut d’abord estimer la charge de capital pour les 2 sous modules de </w:t>
      </w:r>
      <w:proofErr w:type="gramStart"/>
      <w:r w:rsidRPr="00015E00">
        <w:rPr>
          <w:rFonts w:asciiTheme="majorBidi" w:hAnsiTheme="majorBidi" w:cstheme="majorBidi"/>
          <w:sz w:val="24"/>
          <w:szCs w:val="24"/>
        </w:rPr>
        <w:t>risques:</w:t>
      </w:r>
      <w:proofErr w:type="gramEnd"/>
      <w:r w:rsidRPr="00015E00">
        <w:rPr>
          <w:rFonts w:asciiTheme="majorBidi" w:hAnsiTheme="majorBidi" w:cstheme="majorBidi"/>
          <w:sz w:val="24"/>
          <w:szCs w:val="24"/>
        </w:rPr>
        <w:t xml:space="preserve"> risque de marché et risque de souscription non vie</w:t>
      </w:r>
      <w:r>
        <w:rPr>
          <w:rFonts w:asciiTheme="majorBidi" w:hAnsiTheme="majorBidi" w:cstheme="majorBidi"/>
          <w:sz w:val="24"/>
          <w:szCs w:val="24"/>
        </w:rPr>
        <w:t>.</w:t>
      </w:r>
      <w:r w:rsidRPr="00015E00">
        <w:rPr>
          <w:rFonts w:asciiTheme="majorBidi" w:hAnsiTheme="majorBidi" w:cstheme="majorBidi"/>
          <w:sz w:val="24"/>
          <w:szCs w:val="24"/>
        </w:rPr>
        <w:t xml:space="preserve">  </w:t>
      </w:r>
    </w:p>
    <w:p w:rsidR="00367A62" w:rsidRDefault="00367A62" w:rsidP="00367A62">
      <w:pPr>
        <w:autoSpaceDE w:val="0"/>
        <w:autoSpaceDN w:val="0"/>
        <w:adjustRightInd w:val="0"/>
        <w:spacing w:after="0" w:line="240" w:lineRule="auto"/>
        <w:jc w:val="both"/>
        <w:rPr>
          <w:rFonts w:asciiTheme="majorBidi" w:hAnsiTheme="majorBidi" w:cstheme="majorBidi"/>
          <w:sz w:val="24"/>
          <w:szCs w:val="24"/>
        </w:rPr>
      </w:pPr>
    </w:p>
    <w:p w:rsidR="00067697" w:rsidRDefault="00EB3674" w:rsidP="00F91E2B">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3-1-3</w:t>
      </w:r>
      <w:r w:rsidR="00C1142D">
        <w:rPr>
          <w:rFonts w:asciiTheme="majorBidi" w:hAnsiTheme="majorBidi" w:cstheme="majorBidi"/>
          <w:b/>
          <w:bCs/>
          <w:sz w:val="24"/>
          <w:szCs w:val="24"/>
        </w:rPr>
        <w:t>-1</w:t>
      </w:r>
      <w:proofErr w:type="gramStart"/>
      <w:r w:rsidR="00C1142D">
        <w:rPr>
          <w:rFonts w:asciiTheme="majorBidi" w:hAnsiTheme="majorBidi" w:cstheme="majorBidi"/>
          <w:b/>
          <w:bCs/>
          <w:sz w:val="24"/>
          <w:szCs w:val="24"/>
        </w:rPr>
        <w:t>-</w:t>
      </w:r>
      <w:r w:rsidR="00015E00">
        <w:rPr>
          <w:rFonts w:asciiTheme="majorBidi" w:hAnsiTheme="majorBidi" w:cstheme="majorBidi"/>
          <w:b/>
          <w:bCs/>
          <w:sz w:val="24"/>
          <w:szCs w:val="24"/>
        </w:rPr>
        <w:t xml:space="preserve"> </w:t>
      </w:r>
      <w:r w:rsidR="00C1142D">
        <w:rPr>
          <w:rFonts w:asciiTheme="majorBidi" w:hAnsiTheme="majorBidi" w:cstheme="majorBidi"/>
          <w:b/>
          <w:bCs/>
          <w:sz w:val="24"/>
          <w:szCs w:val="24"/>
        </w:rPr>
        <w:t xml:space="preserve"> La</w:t>
      </w:r>
      <w:proofErr w:type="gramEnd"/>
      <w:r w:rsidR="00C1142D">
        <w:rPr>
          <w:rFonts w:asciiTheme="majorBidi" w:hAnsiTheme="majorBidi" w:cstheme="majorBidi"/>
          <w:b/>
          <w:bCs/>
          <w:sz w:val="24"/>
          <w:szCs w:val="24"/>
        </w:rPr>
        <w:t xml:space="preserve"> charge de capital pour le risque de marché </w:t>
      </w:r>
    </w:p>
    <w:p w:rsidR="00A23F2A" w:rsidRPr="00F91E2B" w:rsidRDefault="00A23F2A" w:rsidP="00A23F2A">
      <w:pPr>
        <w:autoSpaceDE w:val="0"/>
        <w:autoSpaceDN w:val="0"/>
        <w:adjustRightInd w:val="0"/>
        <w:spacing w:after="0" w:line="240" w:lineRule="auto"/>
        <w:jc w:val="both"/>
        <w:rPr>
          <w:rFonts w:asciiTheme="majorBidi" w:hAnsiTheme="majorBidi" w:cstheme="majorBidi"/>
          <w:sz w:val="24"/>
          <w:szCs w:val="24"/>
        </w:rPr>
      </w:pPr>
    </w:p>
    <w:p w:rsidR="00AE21D8" w:rsidRDefault="00AE21D8" w:rsidP="00AE21D8">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AE21D8">
        <w:rPr>
          <w:rFonts w:asciiTheme="majorBidi" w:hAnsiTheme="majorBidi" w:cstheme="majorBidi"/>
          <w:sz w:val="24"/>
          <w:szCs w:val="24"/>
        </w:rPr>
        <w:t>Le risque de marché (SCR</w:t>
      </w:r>
      <w:r w:rsidR="00452CEB">
        <w:rPr>
          <w:rFonts w:asciiTheme="majorBidi" w:hAnsiTheme="majorBidi" w:cstheme="majorBidi"/>
          <w:sz w:val="24"/>
          <w:szCs w:val="24"/>
        </w:rPr>
        <w:t xml:space="preserve"> </w:t>
      </w:r>
      <w:proofErr w:type="spellStart"/>
      <w:r w:rsidRPr="00452CEB">
        <w:rPr>
          <w:rFonts w:asciiTheme="majorBidi" w:hAnsiTheme="majorBidi" w:cstheme="majorBidi"/>
          <w:sz w:val="24"/>
          <w:szCs w:val="24"/>
          <w:vertAlign w:val="subscript"/>
        </w:rPr>
        <w:t>mkt</w:t>
      </w:r>
      <w:proofErr w:type="spellEnd"/>
      <w:r w:rsidRPr="00AE21D8">
        <w:rPr>
          <w:rFonts w:asciiTheme="majorBidi" w:hAnsiTheme="majorBidi" w:cstheme="majorBidi"/>
          <w:sz w:val="24"/>
          <w:szCs w:val="24"/>
        </w:rPr>
        <w:t xml:space="preserve">) résulte du niveau ou de la volatilité des cours de marché des instruments financiers. L’exposition au risque de marché est mesurée par l'impact des mouvements dans le niveau des variables financières tel que les cours des actions, les taux d'intérêt, les cours de l'immobilier et les taux de change (CEIOPS, les spécifications techniques QIS5). </w:t>
      </w:r>
    </w:p>
    <w:p w:rsidR="00AE21D8" w:rsidRDefault="00AE21D8" w:rsidP="00AE21D8">
      <w:pPr>
        <w:autoSpaceDE w:val="0"/>
        <w:autoSpaceDN w:val="0"/>
        <w:adjustRightInd w:val="0"/>
        <w:spacing w:after="0" w:line="240" w:lineRule="auto"/>
        <w:jc w:val="both"/>
        <w:rPr>
          <w:rFonts w:asciiTheme="majorBidi" w:hAnsiTheme="majorBidi" w:cstheme="majorBidi"/>
          <w:sz w:val="24"/>
          <w:szCs w:val="24"/>
        </w:rPr>
      </w:pPr>
    </w:p>
    <w:p w:rsidR="00AE21D8" w:rsidRDefault="00AE21D8" w:rsidP="00AE21D8">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t>Dans ce</w:t>
      </w:r>
      <w:r w:rsidR="00AD7099">
        <w:rPr>
          <w:rFonts w:asciiTheme="majorBidi" w:hAnsiTheme="majorBidi" w:cstheme="majorBidi"/>
          <w:sz w:val="24"/>
          <w:szCs w:val="24"/>
        </w:rPr>
        <w:t>tte étude</w:t>
      </w:r>
      <w:r>
        <w:rPr>
          <w:rFonts w:asciiTheme="majorBidi" w:hAnsiTheme="majorBidi" w:cstheme="majorBidi"/>
          <w:sz w:val="24"/>
          <w:szCs w:val="24"/>
        </w:rPr>
        <w:t xml:space="preserve"> seul le risque de taux d’intérêt qui sera traité car les engagements de notre portefeuille sont supposés couvert totalement par des obligations émises par l’état. </w:t>
      </w:r>
      <w:r w:rsidRPr="00AE21D8">
        <w:rPr>
          <w:rFonts w:asciiTheme="majorBidi" w:hAnsiTheme="majorBidi" w:cstheme="majorBidi"/>
          <w:b/>
          <w:bCs/>
          <w:sz w:val="24"/>
          <w:szCs w:val="24"/>
        </w:rPr>
        <w:t xml:space="preserve"> </w:t>
      </w:r>
    </w:p>
    <w:p w:rsidR="00AE21D8" w:rsidRPr="00AE21D8" w:rsidRDefault="00AE21D8" w:rsidP="00AE21D8">
      <w:pPr>
        <w:autoSpaceDE w:val="0"/>
        <w:autoSpaceDN w:val="0"/>
        <w:adjustRightInd w:val="0"/>
        <w:spacing w:after="0" w:line="240" w:lineRule="auto"/>
        <w:jc w:val="both"/>
        <w:rPr>
          <w:rFonts w:asciiTheme="majorBidi" w:hAnsiTheme="majorBidi" w:cstheme="majorBidi"/>
          <w:sz w:val="24"/>
          <w:szCs w:val="24"/>
        </w:rPr>
      </w:pPr>
    </w:p>
    <w:p w:rsidR="001C6FAE" w:rsidRDefault="00460661" w:rsidP="00460661">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AC31BB" w:rsidRPr="00460661">
        <w:rPr>
          <w:rFonts w:asciiTheme="majorBidi" w:hAnsiTheme="majorBidi" w:cstheme="majorBidi"/>
          <w:sz w:val="24"/>
          <w:szCs w:val="24"/>
        </w:rPr>
        <w:t>Pour avoir la charge de c</w:t>
      </w:r>
      <w:r w:rsidR="008C1367" w:rsidRPr="00460661">
        <w:rPr>
          <w:rFonts w:asciiTheme="majorBidi" w:hAnsiTheme="majorBidi" w:cstheme="majorBidi"/>
          <w:sz w:val="24"/>
          <w:szCs w:val="24"/>
        </w:rPr>
        <w:t>apital pour le risque de marché,</w:t>
      </w:r>
      <w:r w:rsidR="00AC31BB" w:rsidRPr="00460661">
        <w:rPr>
          <w:rFonts w:asciiTheme="majorBidi" w:hAnsiTheme="majorBidi" w:cstheme="majorBidi"/>
          <w:sz w:val="24"/>
          <w:szCs w:val="24"/>
        </w:rPr>
        <w:t xml:space="preserve"> Nous calculons en premier lieu</w:t>
      </w:r>
      <w:r w:rsidR="008C1367" w:rsidRPr="00460661">
        <w:rPr>
          <w:rFonts w:asciiTheme="majorBidi" w:hAnsiTheme="majorBidi" w:cstheme="majorBidi"/>
          <w:sz w:val="24"/>
          <w:szCs w:val="24"/>
        </w:rPr>
        <w:t>,</w:t>
      </w:r>
      <w:r w:rsidR="00AC31BB" w:rsidRPr="00460661">
        <w:rPr>
          <w:rFonts w:asciiTheme="majorBidi" w:hAnsiTheme="majorBidi" w:cstheme="majorBidi"/>
          <w:sz w:val="24"/>
          <w:szCs w:val="24"/>
        </w:rPr>
        <w:t xml:space="preserve"> l</w:t>
      </w:r>
      <w:r w:rsidR="001C6FAE" w:rsidRPr="00460661">
        <w:rPr>
          <w:rFonts w:asciiTheme="majorBidi" w:hAnsiTheme="majorBidi" w:cstheme="majorBidi"/>
          <w:sz w:val="24"/>
          <w:szCs w:val="24"/>
        </w:rPr>
        <w:t xml:space="preserve">a variation de la Net </w:t>
      </w:r>
      <w:proofErr w:type="spellStart"/>
      <w:r w:rsidR="001C6FAE" w:rsidRPr="00460661">
        <w:rPr>
          <w:rFonts w:asciiTheme="majorBidi" w:hAnsiTheme="majorBidi" w:cstheme="majorBidi"/>
          <w:sz w:val="24"/>
          <w:szCs w:val="24"/>
        </w:rPr>
        <w:t>Asset</w:t>
      </w:r>
      <w:proofErr w:type="spellEnd"/>
      <w:r w:rsidR="001C6FAE" w:rsidRPr="00460661">
        <w:rPr>
          <w:rFonts w:asciiTheme="majorBidi" w:hAnsiTheme="majorBidi" w:cstheme="majorBidi"/>
          <w:sz w:val="24"/>
          <w:szCs w:val="24"/>
        </w:rPr>
        <w:t xml:space="preserve"> Value (</w:t>
      </w:r>
      <w:r w:rsidR="00220FE8" w:rsidRPr="00220FE8">
        <w:rPr>
          <w:rFonts w:asciiTheme="majorBidi" w:hAnsiTheme="majorBidi" w:cstheme="majorBidi"/>
          <w:b/>
          <w:bCs/>
        </w:rPr>
        <w:t>∆</w:t>
      </w:r>
      <w:r w:rsidR="00FE406C" w:rsidRPr="00460661">
        <w:rPr>
          <w:rFonts w:asciiTheme="majorBidi" w:hAnsiTheme="majorBidi" w:cstheme="majorBidi"/>
          <w:sz w:val="24"/>
          <w:szCs w:val="24"/>
        </w:rPr>
        <w:t>NAV</w:t>
      </w:r>
      <w:r w:rsidR="001C6FAE" w:rsidRPr="00460661">
        <w:rPr>
          <w:rFonts w:asciiTheme="majorBidi" w:hAnsiTheme="majorBidi" w:cstheme="majorBidi"/>
          <w:sz w:val="24"/>
          <w:szCs w:val="24"/>
        </w:rPr>
        <w:t>)</w:t>
      </w:r>
      <w:r w:rsidR="00AF6DCC">
        <w:rPr>
          <w:rFonts w:asciiTheme="majorBidi" w:hAnsiTheme="majorBidi" w:cstheme="majorBidi"/>
          <w:sz w:val="24"/>
          <w:szCs w:val="24"/>
        </w:rPr>
        <w:t>, qui</w:t>
      </w:r>
      <w:r w:rsidR="001C6FAE" w:rsidRPr="00460661">
        <w:rPr>
          <w:rFonts w:asciiTheme="majorBidi" w:hAnsiTheme="majorBidi" w:cstheme="majorBidi"/>
          <w:sz w:val="24"/>
          <w:szCs w:val="24"/>
        </w:rPr>
        <w:t xml:space="preserve"> est la différence entre la NAV avec taux non choqués et la NAV avec taux choqués à la hausse et à la baisse. Le SCR de marché sera alors égal à la plus grande variation de la NAV</w:t>
      </w:r>
      <w:r w:rsidR="00922F19">
        <w:rPr>
          <w:rFonts w:asciiTheme="majorBidi" w:hAnsiTheme="majorBidi" w:cstheme="majorBidi"/>
          <w:sz w:val="24"/>
          <w:szCs w:val="24"/>
        </w:rPr>
        <w:t>.</w:t>
      </w:r>
    </w:p>
    <w:p w:rsidR="00AE21D8" w:rsidRDefault="00AE21D8" w:rsidP="00AE21D8">
      <w:pPr>
        <w:autoSpaceDE w:val="0"/>
        <w:autoSpaceDN w:val="0"/>
        <w:adjustRightInd w:val="0"/>
        <w:spacing w:after="0" w:line="240" w:lineRule="auto"/>
        <w:jc w:val="both"/>
        <w:rPr>
          <w:rFonts w:asciiTheme="majorBidi" w:hAnsiTheme="majorBidi" w:cstheme="majorBidi"/>
          <w:sz w:val="24"/>
          <w:szCs w:val="24"/>
        </w:rPr>
      </w:pPr>
    </w:p>
    <w:p w:rsidR="00AF6DCC" w:rsidRPr="006E3267" w:rsidRDefault="00AF6DCC" w:rsidP="006E3267">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AF6DCC">
        <w:rPr>
          <w:rFonts w:asciiTheme="majorBidi" w:hAnsiTheme="majorBidi" w:cstheme="majorBidi"/>
          <w:sz w:val="24"/>
          <w:szCs w:val="24"/>
        </w:rPr>
        <w:t>L’actif « taux choqué » correspond à la valeur des actifs en valeur de marché suite à une hausse ou une baisse des taux d’intérêt. Le nombre d’obligations composant le portefeuille reste le même, cependant le prix de l’obligation diffère.</w:t>
      </w:r>
      <w:r w:rsidR="00015E00">
        <w:rPr>
          <w:rFonts w:asciiTheme="majorBidi" w:hAnsiTheme="majorBidi" w:cstheme="majorBidi"/>
          <w:sz w:val="24"/>
          <w:szCs w:val="24"/>
        </w:rPr>
        <w:t xml:space="preserve"> </w:t>
      </w:r>
      <w:r w:rsidRPr="00AF6DCC">
        <w:rPr>
          <w:rFonts w:asciiTheme="majorBidi" w:hAnsiTheme="majorBidi" w:cstheme="majorBidi"/>
          <w:sz w:val="24"/>
          <w:szCs w:val="24"/>
        </w:rPr>
        <w:t xml:space="preserve">Celui-ci est obtenu par la formule </w:t>
      </w:r>
      <w:proofErr w:type="gramStart"/>
      <w:r w:rsidRPr="00AF6DCC">
        <w:rPr>
          <w:rFonts w:asciiTheme="majorBidi" w:hAnsiTheme="majorBidi" w:cstheme="majorBidi"/>
          <w:sz w:val="24"/>
          <w:szCs w:val="24"/>
        </w:rPr>
        <w:t>suivante:</w:t>
      </w:r>
      <w:proofErr w:type="gramEnd"/>
      <w:r w:rsidRPr="00AF6DCC">
        <w:rPr>
          <w:rFonts w:asciiTheme="majorBidi" w:hAnsiTheme="majorBidi" w:cstheme="majorBidi"/>
          <w:b/>
          <w:bCs/>
          <w:sz w:val="28"/>
          <w:szCs w:val="28"/>
        </w:rPr>
        <w:t xml:space="preserve"> </w:t>
      </w:r>
      <m:oMath>
        <m:r>
          <m:rPr>
            <m:sty m:val="bi"/>
          </m:rPr>
          <w:rPr>
            <w:rFonts w:ascii="Cambria Math" w:hAnsi="Cambria Math" w:cs="Cambria Math"/>
            <w:sz w:val="28"/>
            <w:szCs w:val="28"/>
          </w:rPr>
          <m:t>P</m:t>
        </m:r>
        <m:r>
          <m:rPr>
            <m:sty m:val="b"/>
          </m:rPr>
          <w:rPr>
            <w:rFonts w:ascii="Cambria Math" w:hAnsi="Cambria Math" w:cs="Cambria Math"/>
            <w:sz w:val="28"/>
            <w:szCs w:val="28"/>
          </w:rPr>
          <m:t>=</m:t>
        </m:r>
        <m:f>
          <m:fPr>
            <m:ctrlPr>
              <w:rPr>
                <w:rFonts w:ascii="Cambria Math" w:hAnsi="Cambria Math" w:cstheme="majorBidi"/>
                <w:b/>
                <w:bCs/>
                <w:sz w:val="28"/>
                <w:szCs w:val="28"/>
              </w:rPr>
            </m:ctrlPr>
          </m:fPr>
          <m:num>
            <m:r>
              <m:rPr>
                <m:sty m:val="b"/>
              </m:rPr>
              <w:rPr>
                <w:rFonts w:ascii="Cambria Math" w:hAnsi="Cambria Math" w:cs="Cambria Math"/>
                <w:sz w:val="28"/>
                <w:szCs w:val="28"/>
              </w:rPr>
              <m:t>1</m:t>
            </m:r>
          </m:num>
          <m:den>
            <m:r>
              <m:rPr>
                <m:sty m:val="b"/>
              </m:rPr>
              <w:rPr>
                <w:rFonts w:ascii="Cambria Math" w:hAnsi="Cambria Math" w:cs="Cambria Math"/>
                <w:sz w:val="28"/>
                <w:szCs w:val="28"/>
              </w:rPr>
              <m:t>(1+r)</m:t>
            </m:r>
          </m:den>
        </m:f>
      </m:oMath>
      <w:r w:rsidR="006E3267">
        <w:rPr>
          <w:rFonts w:asciiTheme="majorBidi" w:hAnsiTheme="majorBidi" w:cstheme="majorBidi"/>
          <w:b/>
          <w:bCs/>
          <w:sz w:val="28"/>
          <w:szCs w:val="28"/>
        </w:rPr>
        <w:t> </w:t>
      </w:r>
    </w:p>
    <w:p w:rsidR="00AE21D8" w:rsidRDefault="00B60328" w:rsidP="00AF6DCC">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En ce qui concerne le passif, une variation de la courbe des taux d’intérêt impacte le taux d’actualisation, et donc les provisions. </w:t>
      </w:r>
    </w:p>
    <w:p w:rsidR="00AF6DCC" w:rsidRDefault="00B60328" w:rsidP="00AE21D8">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AF6DCC">
        <w:rPr>
          <w:rFonts w:asciiTheme="majorBidi" w:hAnsiTheme="majorBidi" w:cstheme="majorBidi"/>
          <w:sz w:val="24"/>
          <w:szCs w:val="24"/>
        </w:rPr>
        <w:t xml:space="preserve"> </w:t>
      </w:r>
    </w:p>
    <w:p w:rsidR="00AE21D8" w:rsidRPr="00D828B9" w:rsidRDefault="00717423" w:rsidP="00A23F2A">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D828B9" w:rsidRPr="00D828B9">
        <w:rPr>
          <w:rFonts w:asciiTheme="majorBidi" w:hAnsiTheme="majorBidi" w:cstheme="majorBidi"/>
          <w:sz w:val="24"/>
          <w:szCs w:val="24"/>
        </w:rPr>
        <w:t>Le CEIOPS a imposé, pour la formule standard, les coefficients à appliquer sur les taux d’intérêt afin d’obtenir des taux choqués identiques pour tous les participants.</w:t>
      </w:r>
    </w:p>
    <w:p w:rsidR="00D828B9" w:rsidRDefault="00717423" w:rsidP="0078756A">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D828B9" w:rsidRPr="00D828B9">
        <w:rPr>
          <w:rFonts w:asciiTheme="majorBidi" w:hAnsiTheme="majorBidi" w:cstheme="majorBidi"/>
          <w:sz w:val="24"/>
          <w:szCs w:val="24"/>
        </w:rPr>
        <w:t>Nous obtenons les courbes des taux d’intérêt suivantes (les valeurs des taux sont fournie</w:t>
      </w:r>
      <w:r w:rsidR="00D828B9">
        <w:rPr>
          <w:rFonts w:asciiTheme="majorBidi" w:hAnsiTheme="majorBidi" w:cstheme="majorBidi"/>
          <w:sz w:val="24"/>
          <w:szCs w:val="24"/>
        </w:rPr>
        <w:t>s</w:t>
      </w:r>
      <w:r w:rsidR="00D828B9" w:rsidRPr="00D828B9">
        <w:rPr>
          <w:rFonts w:asciiTheme="majorBidi" w:hAnsiTheme="majorBidi" w:cstheme="majorBidi"/>
          <w:sz w:val="24"/>
          <w:szCs w:val="24"/>
        </w:rPr>
        <w:t xml:space="preserve"> dans </w:t>
      </w:r>
      <w:r w:rsidR="00D828B9" w:rsidRPr="00F706FE">
        <w:rPr>
          <w:rFonts w:asciiTheme="majorBidi" w:hAnsiTheme="majorBidi" w:cstheme="majorBidi"/>
          <w:b/>
          <w:bCs/>
          <w:color w:val="000000" w:themeColor="text1"/>
          <w:sz w:val="24"/>
          <w:szCs w:val="24"/>
        </w:rPr>
        <w:t>l’annexe</w:t>
      </w:r>
      <w:r w:rsidR="00F706FE">
        <w:rPr>
          <w:rFonts w:asciiTheme="majorBidi" w:hAnsiTheme="majorBidi" w:cstheme="majorBidi"/>
          <w:b/>
          <w:bCs/>
          <w:color w:val="000000" w:themeColor="text1"/>
          <w:sz w:val="24"/>
          <w:szCs w:val="24"/>
        </w:rPr>
        <w:t xml:space="preserve"> N°</w:t>
      </w:r>
      <w:r w:rsidR="00F706FE" w:rsidRPr="00F706FE">
        <w:rPr>
          <w:rFonts w:asciiTheme="majorBidi" w:hAnsiTheme="majorBidi" w:cstheme="majorBidi"/>
          <w:b/>
          <w:bCs/>
          <w:color w:val="000000" w:themeColor="text1"/>
          <w:sz w:val="24"/>
          <w:szCs w:val="24"/>
        </w:rPr>
        <w:t xml:space="preserve"> </w:t>
      </w:r>
      <w:r w:rsidR="00CC33A5">
        <w:rPr>
          <w:rFonts w:asciiTheme="majorBidi" w:hAnsiTheme="majorBidi" w:cstheme="majorBidi"/>
          <w:b/>
          <w:bCs/>
          <w:color w:val="000000" w:themeColor="text1"/>
          <w:sz w:val="24"/>
          <w:szCs w:val="24"/>
        </w:rPr>
        <w:t>7</w:t>
      </w:r>
      <w:r w:rsidR="00D828B9" w:rsidRPr="00D828B9">
        <w:rPr>
          <w:rFonts w:asciiTheme="majorBidi" w:hAnsiTheme="majorBidi" w:cstheme="majorBidi"/>
          <w:sz w:val="24"/>
          <w:szCs w:val="24"/>
        </w:rPr>
        <w:t>) :</w:t>
      </w:r>
    </w:p>
    <w:p w:rsidR="00A23F2A" w:rsidRDefault="00A23F2A" w:rsidP="00A23F2A">
      <w:pPr>
        <w:autoSpaceDE w:val="0"/>
        <w:autoSpaceDN w:val="0"/>
        <w:adjustRightInd w:val="0"/>
        <w:spacing w:after="0" w:line="240" w:lineRule="auto"/>
        <w:jc w:val="both"/>
        <w:rPr>
          <w:rFonts w:asciiTheme="majorBidi" w:hAnsiTheme="majorBidi" w:cstheme="majorBidi"/>
          <w:sz w:val="24"/>
          <w:szCs w:val="24"/>
        </w:rPr>
      </w:pPr>
    </w:p>
    <w:p w:rsidR="00367A62" w:rsidRPr="0078756A" w:rsidRDefault="004A0EF5" w:rsidP="0078756A">
      <w:pPr>
        <w:autoSpaceDE w:val="0"/>
        <w:autoSpaceDN w:val="0"/>
        <w:adjustRightInd w:val="0"/>
        <w:spacing w:after="0" w:line="360" w:lineRule="auto"/>
        <w:jc w:val="both"/>
        <w:rPr>
          <w:rFonts w:asciiTheme="majorBidi" w:hAnsiTheme="majorBidi" w:cstheme="majorBidi"/>
          <w:sz w:val="24"/>
          <w:szCs w:val="24"/>
        </w:rPr>
      </w:pPr>
      <w:r w:rsidRPr="004A0EF5">
        <w:rPr>
          <w:rFonts w:asciiTheme="majorBidi" w:hAnsiTheme="majorBidi" w:cstheme="majorBidi"/>
          <w:noProof/>
          <w:sz w:val="24"/>
          <w:szCs w:val="24"/>
        </w:rPr>
        <w:drawing>
          <wp:inline distT="0" distB="0" distL="0" distR="0">
            <wp:extent cx="5800725" cy="2600325"/>
            <wp:effectExtent l="19050" t="0" r="9525" b="0"/>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25C0" w:rsidRDefault="00875BCD" w:rsidP="00AE2DD7">
      <w:pPr>
        <w:autoSpaceDE w:val="0"/>
        <w:autoSpaceDN w:val="0"/>
        <w:adjustRightInd w:val="0"/>
        <w:spacing w:after="0" w:line="360" w:lineRule="auto"/>
        <w:jc w:val="both"/>
        <w:rPr>
          <w:rFonts w:asciiTheme="majorBidi" w:hAnsiTheme="majorBidi" w:cstheme="majorBidi"/>
          <w:b/>
          <w:bCs/>
          <w:sz w:val="24"/>
          <w:szCs w:val="24"/>
        </w:rPr>
      </w:pPr>
      <w:r w:rsidRPr="004F2C2F">
        <w:rPr>
          <w:rFonts w:asciiTheme="majorBidi" w:hAnsiTheme="majorBidi" w:cstheme="majorBidi"/>
          <w:b/>
          <w:bCs/>
          <w:sz w:val="24"/>
          <w:szCs w:val="24"/>
        </w:rPr>
        <w:t>Graphique N°</w:t>
      </w:r>
      <w:proofErr w:type="gramStart"/>
      <w:r w:rsidR="00C55DD4">
        <w:rPr>
          <w:rFonts w:asciiTheme="majorBidi" w:hAnsiTheme="majorBidi" w:cstheme="majorBidi"/>
          <w:b/>
          <w:bCs/>
          <w:sz w:val="24"/>
          <w:szCs w:val="24"/>
        </w:rPr>
        <w:t>2</w:t>
      </w:r>
      <w:r w:rsidRPr="004F2C2F">
        <w:rPr>
          <w:rFonts w:asciiTheme="majorBidi" w:hAnsiTheme="majorBidi" w:cstheme="majorBidi"/>
          <w:b/>
          <w:bCs/>
          <w:sz w:val="24"/>
          <w:szCs w:val="24"/>
        </w:rPr>
        <w:t>:</w:t>
      </w:r>
      <w:proofErr w:type="gramEnd"/>
      <w:r w:rsidRPr="004F2C2F">
        <w:rPr>
          <w:rFonts w:asciiTheme="majorBidi" w:hAnsiTheme="majorBidi" w:cstheme="majorBidi"/>
          <w:b/>
          <w:bCs/>
          <w:sz w:val="24"/>
          <w:szCs w:val="24"/>
        </w:rPr>
        <w:t xml:space="preserve"> </w:t>
      </w:r>
      <w:r w:rsidR="00AE3A85">
        <w:rPr>
          <w:rFonts w:asciiTheme="majorBidi" w:hAnsiTheme="majorBidi" w:cstheme="majorBidi"/>
          <w:b/>
          <w:bCs/>
          <w:sz w:val="24"/>
          <w:szCs w:val="24"/>
        </w:rPr>
        <w:t>L</w:t>
      </w:r>
      <w:r w:rsidRPr="004F2C2F">
        <w:rPr>
          <w:rFonts w:asciiTheme="majorBidi" w:hAnsiTheme="majorBidi" w:cstheme="majorBidi"/>
          <w:b/>
          <w:bCs/>
          <w:sz w:val="24"/>
          <w:szCs w:val="24"/>
        </w:rPr>
        <w:t>a courbe des taux d’intérêt</w:t>
      </w:r>
      <w:r w:rsidR="004A0EF5">
        <w:rPr>
          <w:rFonts w:asciiTheme="majorBidi" w:hAnsiTheme="majorBidi" w:cstheme="majorBidi"/>
          <w:b/>
          <w:bCs/>
          <w:sz w:val="24"/>
          <w:szCs w:val="24"/>
        </w:rPr>
        <w:t xml:space="preserve"> au 31/12/2011</w:t>
      </w:r>
      <w:r w:rsidRPr="004F2C2F">
        <w:rPr>
          <w:rFonts w:asciiTheme="majorBidi" w:hAnsiTheme="majorBidi" w:cstheme="majorBidi"/>
          <w:b/>
          <w:bCs/>
          <w:sz w:val="24"/>
          <w:szCs w:val="24"/>
        </w:rPr>
        <w:t xml:space="preserve"> </w:t>
      </w:r>
    </w:p>
    <w:p w:rsidR="00A23F2A" w:rsidRDefault="00A23F2A" w:rsidP="00A23F2A">
      <w:pPr>
        <w:autoSpaceDE w:val="0"/>
        <w:autoSpaceDN w:val="0"/>
        <w:adjustRightInd w:val="0"/>
        <w:spacing w:after="0" w:line="240" w:lineRule="auto"/>
        <w:jc w:val="both"/>
        <w:rPr>
          <w:rFonts w:asciiTheme="majorBidi" w:hAnsiTheme="majorBidi" w:cstheme="majorBidi"/>
          <w:b/>
          <w:bCs/>
          <w:sz w:val="24"/>
          <w:szCs w:val="24"/>
        </w:rPr>
      </w:pPr>
    </w:p>
    <w:p w:rsidR="00177BDE" w:rsidRPr="00AE2DD7" w:rsidRDefault="00D72A1F" w:rsidP="00AE2DD7">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220FE8" w:rsidRPr="00220FE8">
        <w:rPr>
          <w:rFonts w:asciiTheme="majorBidi" w:hAnsiTheme="majorBidi" w:cstheme="majorBidi"/>
          <w:sz w:val="24"/>
          <w:szCs w:val="24"/>
        </w:rPr>
        <w:t>Les résultats des éléments de l’actif et du passif conf</w:t>
      </w:r>
      <w:r w:rsidR="00220FE8">
        <w:rPr>
          <w:rFonts w:asciiTheme="majorBidi" w:hAnsiTheme="majorBidi" w:cstheme="majorBidi"/>
          <w:sz w:val="24"/>
          <w:szCs w:val="24"/>
        </w:rPr>
        <w:t xml:space="preserve">ormément aux directives du QIS5 </w:t>
      </w:r>
      <w:r w:rsidR="00220FE8" w:rsidRPr="00220FE8">
        <w:rPr>
          <w:rFonts w:asciiTheme="majorBidi" w:hAnsiTheme="majorBidi" w:cstheme="majorBidi"/>
          <w:sz w:val="24"/>
          <w:szCs w:val="24"/>
        </w:rPr>
        <w:t xml:space="preserve">sont les </w:t>
      </w:r>
      <w:proofErr w:type="gramStart"/>
      <w:r w:rsidR="00220FE8" w:rsidRPr="00220FE8">
        <w:rPr>
          <w:rFonts w:asciiTheme="majorBidi" w:hAnsiTheme="majorBidi" w:cstheme="majorBidi"/>
          <w:sz w:val="24"/>
          <w:szCs w:val="24"/>
        </w:rPr>
        <w:t>suivants</w:t>
      </w:r>
      <w:r w:rsidR="00220FE8">
        <w:rPr>
          <w:rFonts w:asciiTheme="majorBidi" w:hAnsiTheme="majorBidi" w:cstheme="majorBidi"/>
          <w:sz w:val="24"/>
          <w:szCs w:val="24"/>
        </w:rPr>
        <w:t>:</w:t>
      </w:r>
      <w:proofErr w:type="gramEnd"/>
      <w:r w:rsidR="00220FE8">
        <w:rPr>
          <w:rFonts w:asciiTheme="majorBidi" w:hAnsiTheme="majorBidi" w:cstheme="majorBidi"/>
          <w:sz w:val="24"/>
          <w:szCs w:val="24"/>
        </w:rPr>
        <w:t xml:space="preserve"> </w:t>
      </w:r>
      <w:r w:rsidR="00B85085" w:rsidRPr="00B85085">
        <w:fldChar w:fldCharType="begin"/>
      </w:r>
      <w:r w:rsidR="00177BDE">
        <w:instrText xml:space="preserve"> LINK </w:instrText>
      </w:r>
      <w:r w:rsidR="005C15D8">
        <w:instrText xml:space="preserve">Excel.Sheet.8 "C:\\Users\\Administrateur\\Desktop\\qis\\Copie de S_Non_Life_TP_20100827.xls" Feuil1!L19C9:L25C15 </w:instrText>
      </w:r>
      <w:r w:rsidR="00177BDE">
        <w:instrText xml:space="preserve">\a \f 4 \h  \* MERGEFORMAT </w:instrText>
      </w:r>
      <w:r w:rsidR="00B85085" w:rsidRPr="00B85085">
        <w:fldChar w:fldCharType="separate"/>
      </w:r>
    </w:p>
    <w:tbl>
      <w:tblPr>
        <w:tblW w:w="10556" w:type="dxa"/>
        <w:jc w:val="center"/>
        <w:tblInd w:w="-714" w:type="dxa"/>
        <w:tblCellMar>
          <w:left w:w="70" w:type="dxa"/>
          <w:right w:w="70" w:type="dxa"/>
        </w:tblCellMar>
        <w:tblLook w:val="04A0"/>
      </w:tblPr>
      <w:tblGrid>
        <w:gridCol w:w="1286"/>
        <w:gridCol w:w="1107"/>
        <w:gridCol w:w="1650"/>
        <w:gridCol w:w="1560"/>
        <w:gridCol w:w="1692"/>
        <w:gridCol w:w="1701"/>
        <w:gridCol w:w="1560"/>
      </w:tblGrid>
      <w:tr w:rsidR="00D369BB" w:rsidRPr="0018084B" w:rsidTr="00A544E5">
        <w:trPr>
          <w:trHeight w:val="270"/>
          <w:jc w:val="center"/>
        </w:trPr>
        <w:tc>
          <w:tcPr>
            <w:tcW w:w="1286" w:type="dxa"/>
            <w:tcBorders>
              <w:top w:val="single" w:sz="8" w:space="0" w:color="FFFFFF"/>
              <w:left w:val="single" w:sz="8" w:space="0" w:color="FFFFFF"/>
              <w:bottom w:val="single" w:sz="12" w:space="0" w:color="FFFFFF"/>
              <w:right w:val="single" w:sz="8" w:space="0" w:color="FFFFFF"/>
            </w:tcBorders>
            <w:shd w:val="clear" w:color="000000" w:fill="8064A2"/>
            <w:noWrap/>
            <w:hideMark/>
          </w:tcPr>
          <w:p w:rsidR="0018084B" w:rsidRPr="0018084B" w:rsidRDefault="0018084B" w:rsidP="0018084B">
            <w:pPr>
              <w:spacing w:after="0" w:line="240" w:lineRule="auto"/>
              <w:jc w:val="center"/>
              <w:rPr>
                <w:rFonts w:asciiTheme="majorBidi" w:eastAsia="Times New Roman" w:hAnsiTheme="majorBidi" w:cstheme="majorBidi"/>
                <w:b/>
                <w:bCs/>
                <w:color w:val="FFFFFF"/>
                <w:sz w:val="20"/>
                <w:szCs w:val="20"/>
              </w:rPr>
            </w:pPr>
            <w:r w:rsidRPr="0018084B">
              <w:rPr>
                <w:rFonts w:asciiTheme="majorBidi" w:eastAsia="Times New Roman" w:hAnsiTheme="majorBidi" w:cstheme="majorBidi"/>
                <w:b/>
                <w:bCs/>
                <w:color w:val="FFFFFF"/>
                <w:sz w:val="20"/>
                <w:szCs w:val="20"/>
              </w:rPr>
              <w:t xml:space="preserve">Taux utilisés </w:t>
            </w:r>
          </w:p>
        </w:tc>
        <w:tc>
          <w:tcPr>
            <w:tcW w:w="1107" w:type="dxa"/>
            <w:tcBorders>
              <w:top w:val="single" w:sz="8" w:space="0" w:color="FFFFFF"/>
              <w:left w:val="nil"/>
              <w:bottom w:val="single" w:sz="12" w:space="0" w:color="FFFFFF"/>
              <w:right w:val="single" w:sz="8" w:space="0" w:color="FFFFFF"/>
            </w:tcBorders>
            <w:shd w:val="clear" w:color="000000" w:fill="8064A2"/>
            <w:noWrap/>
            <w:hideMark/>
          </w:tcPr>
          <w:p w:rsidR="0018084B" w:rsidRPr="0018084B" w:rsidRDefault="0018084B" w:rsidP="0018084B">
            <w:pPr>
              <w:spacing w:after="0" w:line="240" w:lineRule="auto"/>
              <w:jc w:val="center"/>
              <w:rPr>
                <w:rFonts w:asciiTheme="majorBidi" w:eastAsia="Times New Roman" w:hAnsiTheme="majorBidi" w:cstheme="majorBidi"/>
                <w:b/>
                <w:bCs/>
                <w:color w:val="FFFFFF"/>
                <w:sz w:val="20"/>
                <w:szCs w:val="20"/>
              </w:rPr>
            </w:pPr>
            <w:r w:rsidRPr="0018084B">
              <w:rPr>
                <w:rFonts w:asciiTheme="majorBidi" w:eastAsia="Times New Roman" w:hAnsiTheme="majorBidi" w:cstheme="majorBidi"/>
                <w:b/>
                <w:bCs/>
                <w:color w:val="FFFFFF"/>
                <w:sz w:val="20"/>
                <w:szCs w:val="20"/>
              </w:rPr>
              <w:t xml:space="preserve"> Prix de l'obligation </w:t>
            </w:r>
          </w:p>
        </w:tc>
        <w:tc>
          <w:tcPr>
            <w:tcW w:w="1650" w:type="dxa"/>
            <w:tcBorders>
              <w:top w:val="single" w:sz="8" w:space="0" w:color="FFFFFF"/>
              <w:left w:val="nil"/>
              <w:bottom w:val="single" w:sz="12" w:space="0" w:color="FFFFFF"/>
              <w:right w:val="single" w:sz="8" w:space="0" w:color="FFFFFF"/>
            </w:tcBorders>
            <w:shd w:val="clear" w:color="000000" w:fill="8064A2"/>
            <w:noWrap/>
            <w:hideMark/>
          </w:tcPr>
          <w:p w:rsidR="0018084B" w:rsidRPr="0018084B" w:rsidRDefault="0018084B" w:rsidP="0018084B">
            <w:pPr>
              <w:spacing w:after="0" w:line="240" w:lineRule="auto"/>
              <w:jc w:val="center"/>
              <w:rPr>
                <w:rFonts w:asciiTheme="majorBidi" w:eastAsia="Times New Roman" w:hAnsiTheme="majorBidi" w:cstheme="majorBidi"/>
                <w:b/>
                <w:bCs/>
                <w:color w:val="FFFFFF"/>
                <w:sz w:val="20"/>
                <w:szCs w:val="20"/>
              </w:rPr>
            </w:pPr>
            <w:r w:rsidRPr="0018084B">
              <w:rPr>
                <w:rFonts w:asciiTheme="majorBidi" w:eastAsia="Times New Roman" w:hAnsiTheme="majorBidi" w:cstheme="majorBidi"/>
                <w:b/>
                <w:bCs/>
                <w:color w:val="FFFFFF"/>
                <w:sz w:val="20"/>
                <w:szCs w:val="20"/>
              </w:rPr>
              <w:t xml:space="preserve"> Nombre d'obligation </w:t>
            </w:r>
          </w:p>
        </w:tc>
        <w:tc>
          <w:tcPr>
            <w:tcW w:w="1560" w:type="dxa"/>
            <w:tcBorders>
              <w:top w:val="single" w:sz="8" w:space="0" w:color="FFFFFF"/>
              <w:left w:val="nil"/>
              <w:bottom w:val="single" w:sz="12" w:space="0" w:color="FFFFFF"/>
              <w:right w:val="single" w:sz="8" w:space="0" w:color="FFFFFF"/>
            </w:tcBorders>
            <w:shd w:val="clear" w:color="000000" w:fill="8064A2"/>
            <w:noWrap/>
            <w:hideMark/>
          </w:tcPr>
          <w:p w:rsidR="0018084B" w:rsidRPr="0018084B" w:rsidRDefault="0018084B" w:rsidP="0018084B">
            <w:pPr>
              <w:spacing w:after="0" w:line="240" w:lineRule="auto"/>
              <w:jc w:val="center"/>
              <w:rPr>
                <w:rFonts w:asciiTheme="majorBidi" w:eastAsia="Times New Roman" w:hAnsiTheme="majorBidi" w:cstheme="majorBidi"/>
                <w:b/>
                <w:bCs/>
                <w:color w:val="FFFFFF"/>
                <w:sz w:val="20"/>
                <w:szCs w:val="20"/>
              </w:rPr>
            </w:pPr>
            <w:r w:rsidRPr="0018084B">
              <w:rPr>
                <w:rFonts w:asciiTheme="majorBidi" w:eastAsia="Times New Roman" w:hAnsiTheme="majorBidi" w:cstheme="majorBidi"/>
                <w:b/>
                <w:bCs/>
                <w:color w:val="FFFFFF"/>
                <w:sz w:val="20"/>
                <w:szCs w:val="20"/>
              </w:rPr>
              <w:t xml:space="preserve"> valeur de marché de l’actif  </w:t>
            </w:r>
          </w:p>
        </w:tc>
        <w:tc>
          <w:tcPr>
            <w:tcW w:w="1692" w:type="dxa"/>
            <w:tcBorders>
              <w:top w:val="single" w:sz="8" w:space="0" w:color="FFFFFF"/>
              <w:left w:val="nil"/>
              <w:bottom w:val="single" w:sz="12" w:space="0" w:color="FFFFFF"/>
              <w:right w:val="single" w:sz="8" w:space="0" w:color="FFFFFF"/>
            </w:tcBorders>
            <w:shd w:val="clear" w:color="000000" w:fill="8064A2"/>
            <w:noWrap/>
            <w:hideMark/>
          </w:tcPr>
          <w:p w:rsidR="0018084B" w:rsidRPr="0018084B" w:rsidRDefault="0018084B" w:rsidP="0018084B">
            <w:pPr>
              <w:spacing w:after="0" w:line="240" w:lineRule="auto"/>
              <w:jc w:val="center"/>
              <w:rPr>
                <w:rFonts w:asciiTheme="majorBidi" w:eastAsia="Times New Roman" w:hAnsiTheme="majorBidi" w:cstheme="majorBidi"/>
                <w:b/>
                <w:bCs/>
                <w:color w:val="FFFFFF"/>
                <w:sz w:val="20"/>
                <w:szCs w:val="20"/>
              </w:rPr>
            </w:pPr>
            <w:r w:rsidRPr="0018084B">
              <w:rPr>
                <w:rFonts w:asciiTheme="majorBidi" w:eastAsia="Times New Roman" w:hAnsiTheme="majorBidi" w:cstheme="majorBidi"/>
                <w:b/>
                <w:bCs/>
                <w:color w:val="FFFFFF"/>
                <w:sz w:val="20"/>
                <w:szCs w:val="20"/>
              </w:rPr>
              <w:t xml:space="preserve"> provision BE </w:t>
            </w:r>
          </w:p>
        </w:tc>
        <w:tc>
          <w:tcPr>
            <w:tcW w:w="1701" w:type="dxa"/>
            <w:tcBorders>
              <w:top w:val="single" w:sz="8" w:space="0" w:color="FFFFFF"/>
              <w:left w:val="nil"/>
              <w:bottom w:val="single" w:sz="12" w:space="0" w:color="FFFFFF"/>
              <w:right w:val="single" w:sz="8" w:space="0" w:color="FFFFFF"/>
            </w:tcBorders>
            <w:shd w:val="clear" w:color="000000" w:fill="8064A2"/>
            <w:noWrap/>
            <w:hideMark/>
          </w:tcPr>
          <w:p w:rsidR="0018084B" w:rsidRPr="0018084B" w:rsidRDefault="0018084B" w:rsidP="0018084B">
            <w:pPr>
              <w:spacing w:after="0" w:line="240" w:lineRule="auto"/>
              <w:jc w:val="center"/>
              <w:rPr>
                <w:rFonts w:asciiTheme="majorBidi" w:eastAsia="Times New Roman" w:hAnsiTheme="majorBidi" w:cstheme="majorBidi"/>
                <w:b/>
                <w:bCs/>
                <w:color w:val="FFFFFF"/>
                <w:sz w:val="20"/>
                <w:szCs w:val="20"/>
              </w:rPr>
            </w:pPr>
            <w:r w:rsidRPr="0018084B">
              <w:rPr>
                <w:rFonts w:asciiTheme="majorBidi" w:eastAsia="Times New Roman" w:hAnsiTheme="majorBidi" w:cstheme="majorBidi"/>
                <w:b/>
                <w:bCs/>
                <w:color w:val="FFFFFF"/>
                <w:sz w:val="20"/>
                <w:szCs w:val="20"/>
              </w:rPr>
              <w:t xml:space="preserve"> NAV </w:t>
            </w:r>
          </w:p>
        </w:tc>
        <w:tc>
          <w:tcPr>
            <w:tcW w:w="1560" w:type="dxa"/>
            <w:tcBorders>
              <w:top w:val="single" w:sz="8" w:space="0" w:color="FFFFFF"/>
              <w:left w:val="nil"/>
              <w:bottom w:val="single" w:sz="12" w:space="0" w:color="FFFFFF"/>
              <w:right w:val="single" w:sz="8" w:space="0" w:color="FFFFFF"/>
            </w:tcBorders>
            <w:shd w:val="clear" w:color="000000" w:fill="8064A2"/>
            <w:noWrap/>
            <w:hideMark/>
          </w:tcPr>
          <w:p w:rsidR="0018084B" w:rsidRPr="0018084B" w:rsidRDefault="0018084B" w:rsidP="0018084B">
            <w:pPr>
              <w:spacing w:after="0" w:line="240" w:lineRule="auto"/>
              <w:jc w:val="center"/>
              <w:rPr>
                <w:rFonts w:asciiTheme="majorBidi" w:eastAsia="Times New Roman" w:hAnsiTheme="majorBidi" w:cstheme="majorBidi"/>
                <w:b/>
                <w:bCs/>
                <w:color w:val="FFFFFF"/>
                <w:sz w:val="20"/>
                <w:szCs w:val="20"/>
              </w:rPr>
            </w:pPr>
            <w:r w:rsidRPr="0018084B">
              <w:rPr>
                <w:rFonts w:asciiTheme="majorBidi" w:eastAsia="Times New Roman" w:hAnsiTheme="majorBidi" w:cstheme="majorBidi"/>
                <w:b/>
                <w:bCs/>
                <w:color w:val="FFFFFF"/>
                <w:sz w:val="20"/>
                <w:szCs w:val="20"/>
              </w:rPr>
              <w:t xml:space="preserve"> ∆ NAV </w:t>
            </w:r>
          </w:p>
        </w:tc>
      </w:tr>
      <w:tr w:rsidR="00D369BB" w:rsidRPr="0018084B" w:rsidTr="00A544E5">
        <w:trPr>
          <w:trHeight w:val="270"/>
          <w:jc w:val="center"/>
        </w:trPr>
        <w:tc>
          <w:tcPr>
            <w:tcW w:w="1286" w:type="dxa"/>
            <w:tcBorders>
              <w:top w:val="nil"/>
              <w:left w:val="single" w:sz="8" w:space="0" w:color="FFFFFF"/>
              <w:bottom w:val="nil"/>
              <w:right w:val="single" w:sz="12" w:space="0" w:color="FFFFFF"/>
            </w:tcBorders>
            <w:shd w:val="clear" w:color="000000" w:fill="8064A2"/>
            <w:noWrap/>
            <w:hideMark/>
          </w:tcPr>
          <w:p w:rsidR="0018084B" w:rsidRPr="0018084B" w:rsidRDefault="0018084B" w:rsidP="0018084B">
            <w:pPr>
              <w:spacing w:after="0" w:line="240" w:lineRule="auto"/>
              <w:jc w:val="center"/>
              <w:rPr>
                <w:rFonts w:asciiTheme="majorBidi" w:eastAsia="Times New Roman" w:hAnsiTheme="majorBidi" w:cstheme="majorBidi"/>
                <w:b/>
                <w:bCs/>
                <w:color w:val="FFFFFF"/>
                <w:sz w:val="20"/>
                <w:szCs w:val="20"/>
              </w:rPr>
            </w:pPr>
            <w:r w:rsidRPr="0018084B">
              <w:rPr>
                <w:rFonts w:asciiTheme="majorBidi" w:eastAsia="Times New Roman" w:hAnsiTheme="majorBidi" w:cstheme="majorBidi"/>
                <w:b/>
                <w:bCs/>
                <w:color w:val="FFFFFF"/>
                <w:sz w:val="20"/>
                <w:szCs w:val="20"/>
              </w:rPr>
              <w:t xml:space="preserve"> Taux </w:t>
            </w:r>
          </w:p>
        </w:tc>
        <w:tc>
          <w:tcPr>
            <w:tcW w:w="1107" w:type="dxa"/>
            <w:vMerge w:val="restart"/>
            <w:tcBorders>
              <w:top w:val="nil"/>
              <w:left w:val="single" w:sz="12" w:space="0" w:color="FFFFFF"/>
              <w:bottom w:val="single" w:sz="8" w:space="0" w:color="FFFFFF"/>
              <w:right w:val="single" w:sz="8" w:space="0" w:color="FFFFFF"/>
            </w:tcBorders>
            <w:shd w:val="clear" w:color="000000" w:fill="BFB1D0"/>
            <w:noWrap/>
            <w:hideMark/>
          </w:tcPr>
          <w:p w:rsidR="0018084B" w:rsidRPr="0018084B" w:rsidRDefault="0018084B" w:rsidP="0018084B">
            <w:pPr>
              <w:spacing w:after="0" w:line="240" w:lineRule="auto"/>
              <w:jc w:val="center"/>
              <w:rPr>
                <w:rFonts w:asciiTheme="majorBidi" w:eastAsia="Times New Roman" w:hAnsiTheme="majorBidi" w:cstheme="majorBidi"/>
                <w:sz w:val="20"/>
                <w:szCs w:val="20"/>
              </w:rPr>
            </w:pPr>
            <w:r w:rsidRPr="0018084B">
              <w:rPr>
                <w:rFonts w:asciiTheme="majorBidi" w:eastAsia="Times New Roman" w:hAnsiTheme="majorBidi" w:cstheme="majorBidi"/>
                <w:sz w:val="20"/>
                <w:szCs w:val="20"/>
              </w:rPr>
              <w:t xml:space="preserve">    0.97   </w:t>
            </w:r>
          </w:p>
        </w:tc>
        <w:tc>
          <w:tcPr>
            <w:tcW w:w="1650" w:type="dxa"/>
            <w:vMerge w:val="restart"/>
            <w:tcBorders>
              <w:top w:val="nil"/>
              <w:left w:val="single" w:sz="8" w:space="0" w:color="FFFFFF"/>
              <w:bottom w:val="single" w:sz="8" w:space="0" w:color="FFFFFF"/>
              <w:right w:val="single" w:sz="8" w:space="0" w:color="FFFFFF"/>
            </w:tcBorders>
            <w:shd w:val="clear" w:color="000000" w:fill="BFB1D0"/>
            <w:noWrap/>
            <w:hideMark/>
          </w:tcPr>
          <w:p w:rsidR="0018084B" w:rsidRPr="0018084B" w:rsidRDefault="0018084B" w:rsidP="0018084B">
            <w:pPr>
              <w:spacing w:after="0" w:line="240" w:lineRule="auto"/>
              <w:jc w:val="center"/>
              <w:rPr>
                <w:rFonts w:asciiTheme="majorBidi" w:eastAsia="Times New Roman" w:hAnsiTheme="majorBidi" w:cstheme="majorBidi"/>
                <w:sz w:val="20"/>
                <w:szCs w:val="20"/>
              </w:rPr>
            </w:pPr>
            <w:r w:rsidRPr="00D369BB">
              <w:rPr>
                <w:rFonts w:asciiTheme="majorBidi" w:eastAsia="Times New Roman" w:hAnsiTheme="majorBidi" w:cstheme="majorBidi"/>
                <w:sz w:val="20"/>
                <w:szCs w:val="20"/>
              </w:rPr>
              <w:t xml:space="preserve">   10 409 709 636</w:t>
            </w:r>
            <w:r w:rsidRPr="0018084B">
              <w:rPr>
                <w:rFonts w:asciiTheme="majorBidi" w:eastAsia="Times New Roman" w:hAnsiTheme="majorBidi" w:cstheme="majorBidi"/>
                <w:sz w:val="20"/>
                <w:szCs w:val="20"/>
              </w:rPr>
              <w:t xml:space="preserve">   </w:t>
            </w:r>
          </w:p>
        </w:tc>
        <w:tc>
          <w:tcPr>
            <w:tcW w:w="1560" w:type="dxa"/>
            <w:vMerge w:val="restart"/>
            <w:tcBorders>
              <w:top w:val="nil"/>
              <w:left w:val="single" w:sz="8" w:space="0" w:color="FFFFFF"/>
              <w:bottom w:val="single" w:sz="8" w:space="0" w:color="FFFFFF"/>
              <w:right w:val="single" w:sz="8" w:space="0" w:color="FFFFFF"/>
            </w:tcBorders>
            <w:shd w:val="clear" w:color="000000" w:fill="BFB1D0"/>
            <w:noWrap/>
            <w:hideMark/>
          </w:tcPr>
          <w:p w:rsidR="0018084B" w:rsidRPr="0018084B" w:rsidRDefault="0018084B" w:rsidP="0018084B">
            <w:pPr>
              <w:spacing w:after="0" w:line="240" w:lineRule="auto"/>
              <w:jc w:val="center"/>
              <w:rPr>
                <w:rFonts w:asciiTheme="majorBidi" w:eastAsia="Times New Roman" w:hAnsiTheme="majorBidi" w:cstheme="majorBidi"/>
                <w:sz w:val="20"/>
                <w:szCs w:val="20"/>
              </w:rPr>
            </w:pPr>
            <w:r w:rsidRPr="00D369BB">
              <w:rPr>
                <w:rFonts w:asciiTheme="majorBidi" w:eastAsia="Times New Roman" w:hAnsiTheme="majorBidi" w:cstheme="majorBidi"/>
                <w:sz w:val="20"/>
                <w:szCs w:val="20"/>
              </w:rPr>
              <w:t xml:space="preserve">   10 106 514 210</w:t>
            </w:r>
            <w:r w:rsidRPr="0018084B">
              <w:rPr>
                <w:rFonts w:asciiTheme="majorBidi" w:eastAsia="Times New Roman" w:hAnsiTheme="majorBidi" w:cstheme="majorBidi"/>
                <w:sz w:val="20"/>
                <w:szCs w:val="20"/>
              </w:rPr>
              <w:t xml:space="preserve">   </w:t>
            </w:r>
          </w:p>
        </w:tc>
        <w:tc>
          <w:tcPr>
            <w:tcW w:w="1692" w:type="dxa"/>
            <w:vMerge w:val="restart"/>
            <w:tcBorders>
              <w:top w:val="nil"/>
              <w:left w:val="single" w:sz="8" w:space="0" w:color="FFFFFF"/>
              <w:bottom w:val="single" w:sz="8" w:space="0" w:color="FFFFFF"/>
              <w:right w:val="single" w:sz="8" w:space="0" w:color="FFFFFF"/>
            </w:tcBorders>
            <w:shd w:val="clear" w:color="000000" w:fill="BFB1D0"/>
            <w:noWrap/>
            <w:hideMark/>
          </w:tcPr>
          <w:p w:rsidR="0018084B" w:rsidRPr="0018084B" w:rsidRDefault="0018084B" w:rsidP="0018084B">
            <w:pPr>
              <w:spacing w:after="0" w:line="240" w:lineRule="auto"/>
              <w:jc w:val="center"/>
              <w:rPr>
                <w:rFonts w:asciiTheme="majorBidi" w:eastAsia="Times New Roman" w:hAnsiTheme="majorBidi" w:cstheme="majorBidi"/>
                <w:sz w:val="20"/>
                <w:szCs w:val="20"/>
              </w:rPr>
            </w:pPr>
            <w:r w:rsidRPr="0018084B">
              <w:rPr>
                <w:rFonts w:asciiTheme="majorBidi" w:eastAsia="Times New Roman" w:hAnsiTheme="majorBidi" w:cstheme="majorBidi"/>
                <w:sz w:val="20"/>
                <w:szCs w:val="20"/>
              </w:rPr>
              <w:t xml:space="preserve">   7 520 488 401.79   </w:t>
            </w:r>
          </w:p>
        </w:tc>
        <w:tc>
          <w:tcPr>
            <w:tcW w:w="1701" w:type="dxa"/>
            <w:vMerge w:val="restart"/>
            <w:tcBorders>
              <w:top w:val="nil"/>
              <w:left w:val="single" w:sz="8" w:space="0" w:color="FFFFFF"/>
              <w:bottom w:val="single" w:sz="8" w:space="0" w:color="FFFFFF"/>
              <w:right w:val="single" w:sz="8" w:space="0" w:color="FFFFFF"/>
            </w:tcBorders>
            <w:shd w:val="clear" w:color="000000" w:fill="BFB1D0"/>
            <w:noWrap/>
            <w:hideMark/>
          </w:tcPr>
          <w:p w:rsidR="0018084B" w:rsidRPr="0018084B" w:rsidRDefault="00AE5481" w:rsidP="0018084B">
            <w:pPr>
              <w:spacing w:after="0" w:line="240" w:lineRule="auto"/>
              <w:jc w:val="center"/>
              <w:rPr>
                <w:rFonts w:asciiTheme="majorBidi" w:eastAsia="Times New Roman" w:hAnsiTheme="majorBidi" w:cstheme="majorBidi"/>
                <w:sz w:val="20"/>
                <w:szCs w:val="20"/>
              </w:rPr>
            </w:pPr>
            <w:r w:rsidRPr="00D369BB">
              <w:rPr>
                <w:rFonts w:asciiTheme="majorBidi" w:eastAsia="Times New Roman" w:hAnsiTheme="majorBidi" w:cstheme="majorBidi"/>
                <w:sz w:val="20"/>
                <w:szCs w:val="20"/>
              </w:rPr>
              <w:t xml:space="preserve"> </w:t>
            </w:r>
            <w:r w:rsidR="0018084B" w:rsidRPr="0018084B">
              <w:rPr>
                <w:rFonts w:asciiTheme="majorBidi" w:eastAsia="Times New Roman" w:hAnsiTheme="majorBidi" w:cstheme="majorBidi"/>
                <w:sz w:val="20"/>
                <w:szCs w:val="20"/>
              </w:rPr>
              <w:t xml:space="preserve">2 586 025 808.21   </w:t>
            </w:r>
          </w:p>
        </w:tc>
        <w:tc>
          <w:tcPr>
            <w:tcW w:w="1560" w:type="dxa"/>
            <w:vMerge w:val="restart"/>
            <w:tcBorders>
              <w:top w:val="nil"/>
              <w:left w:val="single" w:sz="8" w:space="0" w:color="FFFFFF"/>
              <w:bottom w:val="single" w:sz="8" w:space="0" w:color="FFFFFF"/>
              <w:right w:val="single" w:sz="8" w:space="0" w:color="FFFFFF"/>
            </w:tcBorders>
            <w:shd w:val="clear" w:color="000000" w:fill="BFB1D0"/>
            <w:noWrap/>
            <w:hideMark/>
          </w:tcPr>
          <w:p w:rsidR="0018084B" w:rsidRPr="0018084B" w:rsidRDefault="0018084B" w:rsidP="0018084B">
            <w:pPr>
              <w:spacing w:after="0" w:line="240" w:lineRule="auto"/>
              <w:jc w:val="center"/>
              <w:rPr>
                <w:rFonts w:asciiTheme="majorBidi" w:eastAsia="Times New Roman" w:hAnsiTheme="majorBidi" w:cstheme="majorBidi"/>
                <w:sz w:val="20"/>
                <w:szCs w:val="20"/>
              </w:rPr>
            </w:pPr>
            <w:r w:rsidRPr="0018084B">
              <w:rPr>
                <w:rFonts w:asciiTheme="majorBidi" w:eastAsia="Times New Roman" w:hAnsiTheme="majorBidi" w:cstheme="majorBidi"/>
                <w:sz w:val="20"/>
                <w:szCs w:val="20"/>
              </w:rPr>
              <w:t> </w:t>
            </w:r>
          </w:p>
        </w:tc>
      </w:tr>
      <w:tr w:rsidR="00AE5481" w:rsidRPr="0018084B" w:rsidTr="00A544E5">
        <w:trPr>
          <w:trHeight w:val="270"/>
          <w:jc w:val="center"/>
        </w:trPr>
        <w:tc>
          <w:tcPr>
            <w:tcW w:w="1286" w:type="dxa"/>
            <w:tcBorders>
              <w:top w:val="nil"/>
              <w:left w:val="single" w:sz="8" w:space="0" w:color="FFFFFF"/>
              <w:bottom w:val="nil"/>
              <w:right w:val="single" w:sz="12" w:space="0" w:color="FFFFFF"/>
            </w:tcBorders>
            <w:shd w:val="clear" w:color="000000" w:fill="8064A2"/>
            <w:noWrap/>
            <w:hideMark/>
          </w:tcPr>
          <w:p w:rsidR="0018084B" w:rsidRPr="0018084B" w:rsidRDefault="0018084B" w:rsidP="0018084B">
            <w:pPr>
              <w:spacing w:after="0" w:line="240" w:lineRule="auto"/>
              <w:jc w:val="center"/>
              <w:rPr>
                <w:rFonts w:asciiTheme="majorBidi" w:eastAsia="Times New Roman" w:hAnsiTheme="majorBidi" w:cstheme="majorBidi"/>
                <w:b/>
                <w:bCs/>
                <w:color w:val="FFFFFF"/>
                <w:sz w:val="20"/>
                <w:szCs w:val="20"/>
              </w:rPr>
            </w:pPr>
            <w:r w:rsidRPr="0018084B">
              <w:rPr>
                <w:rFonts w:asciiTheme="majorBidi" w:eastAsia="Times New Roman" w:hAnsiTheme="majorBidi" w:cstheme="majorBidi"/>
                <w:b/>
                <w:bCs/>
                <w:color w:val="FFFFFF"/>
                <w:sz w:val="20"/>
                <w:szCs w:val="20"/>
              </w:rPr>
              <w:t xml:space="preserve">  normal </w:t>
            </w:r>
          </w:p>
        </w:tc>
        <w:tc>
          <w:tcPr>
            <w:tcW w:w="1107" w:type="dxa"/>
            <w:vMerge/>
            <w:tcBorders>
              <w:top w:val="nil"/>
              <w:left w:val="single" w:sz="12"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heme="majorBidi" w:eastAsia="Times New Roman" w:hAnsiTheme="majorBidi" w:cstheme="majorBidi"/>
                <w:sz w:val="20"/>
                <w:szCs w:val="20"/>
              </w:rPr>
            </w:pPr>
          </w:p>
        </w:tc>
        <w:tc>
          <w:tcPr>
            <w:tcW w:w="1650" w:type="dxa"/>
            <w:vMerge/>
            <w:tcBorders>
              <w:top w:val="nil"/>
              <w:left w:val="single" w:sz="8"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heme="majorBidi" w:eastAsia="Times New Roman" w:hAnsiTheme="majorBidi" w:cstheme="majorBidi"/>
                <w:sz w:val="20"/>
                <w:szCs w:val="20"/>
              </w:rPr>
            </w:pPr>
          </w:p>
        </w:tc>
        <w:tc>
          <w:tcPr>
            <w:tcW w:w="1560" w:type="dxa"/>
            <w:vMerge/>
            <w:tcBorders>
              <w:top w:val="nil"/>
              <w:left w:val="single" w:sz="8"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heme="majorBidi" w:eastAsia="Times New Roman" w:hAnsiTheme="majorBidi" w:cstheme="majorBidi"/>
                <w:sz w:val="20"/>
                <w:szCs w:val="20"/>
              </w:rPr>
            </w:pPr>
          </w:p>
        </w:tc>
        <w:tc>
          <w:tcPr>
            <w:tcW w:w="1692" w:type="dxa"/>
            <w:vMerge/>
            <w:tcBorders>
              <w:top w:val="nil"/>
              <w:left w:val="single" w:sz="8"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heme="majorBidi" w:eastAsia="Times New Roman" w:hAnsiTheme="majorBidi" w:cstheme="majorBidi"/>
                <w:sz w:val="20"/>
                <w:szCs w:val="20"/>
              </w:rPr>
            </w:pPr>
          </w:p>
        </w:tc>
        <w:tc>
          <w:tcPr>
            <w:tcW w:w="1701" w:type="dxa"/>
            <w:vMerge/>
            <w:tcBorders>
              <w:top w:val="nil"/>
              <w:left w:val="single" w:sz="8"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heme="majorBidi" w:eastAsia="Times New Roman" w:hAnsiTheme="majorBidi" w:cstheme="majorBidi"/>
                <w:sz w:val="20"/>
                <w:szCs w:val="20"/>
              </w:rPr>
            </w:pPr>
          </w:p>
        </w:tc>
        <w:tc>
          <w:tcPr>
            <w:tcW w:w="1560" w:type="dxa"/>
            <w:vMerge/>
            <w:tcBorders>
              <w:top w:val="nil"/>
              <w:left w:val="single" w:sz="8"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heme="majorBidi" w:eastAsia="Times New Roman" w:hAnsiTheme="majorBidi" w:cstheme="majorBidi"/>
                <w:sz w:val="20"/>
                <w:szCs w:val="20"/>
              </w:rPr>
            </w:pPr>
          </w:p>
        </w:tc>
      </w:tr>
      <w:tr w:rsidR="00D369BB" w:rsidRPr="0018084B" w:rsidTr="00A544E5">
        <w:trPr>
          <w:trHeight w:val="270"/>
          <w:jc w:val="center"/>
        </w:trPr>
        <w:tc>
          <w:tcPr>
            <w:tcW w:w="1286" w:type="dxa"/>
            <w:tcBorders>
              <w:top w:val="single" w:sz="8" w:space="0" w:color="FFFFFF"/>
              <w:left w:val="single" w:sz="8" w:space="0" w:color="FFFFFF"/>
              <w:bottom w:val="nil"/>
              <w:right w:val="single" w:sz="12" w:space="0" w:color="FFFFFF"/>
            </w:tcBorders>
            <w:shd w:val="clear" w:color="000000" w:fill="8064A2"/>
            <w:noWrap/>
            <w:hideMark/>
          </w:tcPr>
          <w:p w:rsidR="0018084B" w:rsidRPr="0018084B" w:rsidRDefault="0018084B" w:rsidP="0018084B">
            <w:pPr>
              <w:spacing w:after="0" w:line="240" w:lineRule="auto"/>
              <w:jc w:val="center"/>
              <w:rPr>
                <w:rFonts w:asciiTheme="majorBidi" w:eastAsia="Times New Roman" w:hAnsiTheme="majorBidi" w:cstheme="majorBidi"/>
                <w:b/>
                <w:bCs/>
                <w:color w:val="FFFFFF"/>
                <w:sz w:val="20"/>
                <w:szCs w:val="20"/>
              </w:rPr>
            </w:pPr>
            <w:r w:rsidRPr="0018084B">
              <w:rPr>
                <w:rFonts w:asciiTheme="majorBidi" w:eastAsia="Times New Roman" w:hAnsiTheme="majorBidi" w:cstheme="majorBidi"/>
                <w:b/>
                <w:bCs/>
                <w:color w:val="FFFFFF"/>
                <w:sz w:val="20"/>
                <w:szCs w:val="20"/>
              </w:rPr>
              <w:t xml:space="preserve"> Taux  </w:t>
            </w:r>
          </w:p>
        </w:tc>
        <w:tc>
          <w:tcPr>
            <w:tcW w:w="1107" w:type="dxa"/>
            <w:vMerge w:val="restart"/>
            <w:tcBorders>
              <w:top w:val="nil"/>
              <w:left w:val="single" w:sz="12" w:space="0" w:color="FFFFFF"/>
              <w:bottom w:val="single" w:sz="8" w:space="0" w:color="FFFFFF"/>
              <w:right w:val="single" w:sz="8" w:space="0" w:color="FFFFFF"/>
            </w:tcBorders>
            <w:shd w:val="clear" w:color="000000" w:fill="DFD8E8"/>
            <w:noWrap/>
            <w:hideMark/>
          </w:tcPr>
          <w:p w:rsidR="0018084B" w:rsidRPr="0018084B" w:rsidRDefault="0018084B" w:rsidP="0018084B">
            <w:pPr>
              <w:spacing w:after="0" w:line="240" w:lineRule="auto"/>
              <w:jc w:val="center"/>
              <w:rPr>
                <w:rFonts w:asciiTheme="majorBidi" w:eastAsia="Times New Roman" w:hAnsiTheme="majorBidi" w:cstheme="majorBidi"/>
                <w:sz w:val="20"/>
                <w:szCs w:val="20"/>
              </w:rPr>
            </w:pPr>
            <w:r w:rsidRPr="0018084B">
              <w:rPr>
                <w:rFonts w:asciiTheme="majorBidi" w:eastAsia="Times New Roman" w:hAnsiTheme="majorBidi" w:cstheme="majorBidi"/>
                <w:sz w:val="20"/>
                <w:szCs w:val="20"/>
              </w:rPr>
              <w:t xml:space="preserve">    0.98   </w:t>
            </w:r>
          </w:p>
        </w:tc>
        <w:tc>
          <w:tcPr>
            <w:tcW w:w="1650" w:type="dxa"/>
            <w:vMerge w:val="restart"/>
            <w:tcBorders>
              <w:top w:val="nil"/>
              <w:left w:val="single" w:sz="8" w:space="0" w:color="FFFFFF"/>
              <w:bottom w:val="single" w:sz="8" w:space="0" w:color="FFFFFF"/>
              <w:right w:val="single" w:sz="8" w:space="0" w:color="FFFFFF"/>
            </w:tcBorders>
            <w:shd w:val="clear" w:color="000000" w:fill="DFD8E8"/>
            <w:noWrap/>
            <w:hideMark/>
          </w:tcPr>
          <w:p w:rsidR="0018084B" w:rsidRPr="0018084B" w:rsidRDefault="0018084B" w:rsidP="0018084B">
            <w:pPr>
              <w:spacing w:after="0" w:line="240" w:lineRule="auto"/>
              <w:jc w:val="center"/>
              <w:rPr>
                <w:rFonts w:asciiTheme="majorBidi" w:eastAsia="Times New Roman" w:hAnsiTheme="majorBidi" w:cstheme="majorBidi"/>
                <w:sz w:val="20"/>
                <w:szCs w:val="20"/>
              </w:rPr>
            </w:pPr>
            <w:r w:rsidRPr="00D369BB">
              <w:rPr>
                <w:rFonts w:asciiTheme="majorBidi" w:eastAsia="Times New Roman" w:hAnsiTheme="majorBidi" w:cstheme="majorBidi"/>
                <w:sz w:val="20"/>
                <w:szCs w:val="20"/>
              </w:rPr>
              <w:t xml:space="preserve">   10 409 709 636</w:t>
            </w:r>
            <w:r w:rsidRPr="0018084B">
              <w:rPr>
                <w:rFonts w:asciiTheme="majorBidi" w:eastAsia="Times New Roman" w:hAnsiTheme="majorBidi" w:cstheme="majorBidi"/>
                <w:sz w:val="20"/>
                <w:szCs w:val="20"/>
              </w:rPr>
              <w:t xml:space="preserve">   </w:t>
            </w:r>
          </w:p>
        </w:tc>
        <w:tc>
          <w:tcPr>
            <w:tcW w:w="1560" w:type="dxa"/>
            <w:vMerge w:val="restart"/>
            <w:tcBorders>
              <w:top w:val="nil"/>
              <w:left w:val="single" w:sz="8" w:space="0" w:color="FFFFFF"/>
              <w:bottom w:val="single" w:sz="8" w:space="0" w:color="FFFFFF"/>
              <w:right w:val="single" w:sz="8" w:space="0" w:color="FFFFFF"/>
            </w:tcBorders>
            <w:shd w:val="clear" w:color="000000" w:fill="DFD8E8"/>
            <w:noWrap/>
            <w:hideMark/>
          </w:tcPr>
          <w:p w:rsidR="0018084B" w:rsidRPr="0018084B" w:rsidRDefault="0018084B" w:rsidP="0018084B">
            <w:pPr>
              <w:spacing w:after="0" w:line="240" w:lineRule="auto"/>
              <w:jc w:val="center"/>
              <w:rPr>
                <w:rFonts w:asciiTheme="majorBidi" w:eastAsia="Times New Roman" w:hAnsiTheme="majorBidi" w:cstheme="majorBidi"/>
                <w:sz w:val="20"/>
                <w:szCs w:val="20"/>
              </w:rPr>
            </w:pPr>
            <w:r w:rsidRPr="00D369BB">
              <w:rPr>
                <w:rFonts w:asciiTheme="majorBidi" w:eastAsia="Times New Roman" w:hAnsiTheme="majorBidi" w:cstheme="majorBidi"/>
                <w:sz w:val="20"/>
                <w:szCs w:val="20"/>
              </w:rPr>
              <w:t xml:space="preserve">   10 257 417 755</w:t>
            </w:r>
            <w:r w:rsidRPr="0018084B">
              <w:rPr>
                <w:rFonts w:asciiTheme="majorBidi" w:eastAsia="Times New Roman" w:hAnsiTheme="majorBidi" w:cstheme="majorBidi"/>
                <w:sz w:val="20"/>
                <w:szCs w:val="20"/>
              </w:rPr>
              <w:t xml:space="preserve">   </w:t>
            </w:r>
          </w:p>
        </w:tc>
        <w:tc>
          <w:tcPr>
            <w:tcW w:w="1692" w:type="dxa"/>
            <w:vMerge w:val="restart"/>
            <w:tcBorders>
              <w:top w:val="single" w:sz="12" w:space="0" w:color="FFFFFF"/>
              <w:left w:val="single" w:sz="8" w:space="0" w:color="FFFFFF"/>
              <w:bottom w:val="single" w:sz="8" w:space="0" w:color="FFFFFF"/>
              <w:right w:val="single" w:sz="8" w:space="0" w:color="FFFFFF"/>
            </w:tcBorders>
            <w:shd w:val="clear" w:color="000000" w:fill="BFB1D0"/>
            <w:noWrap/>
            <w:hideMark/>
          </w:tcPr>
          <w:p w:rsidR="0018084B" w:rsidRPr="0018084B" w:rsidRDefault="0018084B" w:rsidP="0018084B">
            <w:pPr>
              <w:spacing w:after="0" w:line="240" w:lineRule="auto"/>
              <w:jc w:val="center"/>
              <w:rPr>
                <w:rFonts w:asciiTheme="majorBidi" w:eastAsia="Times New Roman" w:hAnsiTheme="majorBidi" w:cstheme="majorBidi"/>
                <w:sz w:val="20"/>
                <w:szCs w:val="20"/>
              </w:rPr>
            </w:pPr>
            <w:r w:rsidRPr="0018084B">
              <w:rPr>
                <w:rFonts w:asciiTheme="majorBidi" w:eastAsia="Times New Roman" w:hAnsiTheme="majorBidi" w:cstheme="majorBidi"/>
                <w:sz w:val="20"/>
                <w:szCs w:val="20"/>
              </w:rPr>
              <w:t xml:space="preserve">   7 311 903 160.35   </w:t>
            </w:r>
          </w:p>
        </w:tc>
        <w:tc>
          <w:tcPr>
            <w:tcW w:w="1701" w:type="dxa"/>
            <w:vMerge w:val="restart"/>
            <w:tcBorders>
              <w:top w:val="nil"/>
              <w:left w:val="single" w:sz="8" w:space="0" w:color="FFFFFF"/>
              <w:bottom w:val="single" w:sz="8" w:space="0" w:color="FFFFFF"/>
              <w:right w:val="single" w:sz="8" w:space="0" w:color="FFFFFF"/>
            </w:tcBorders>
            <w:shd w:val="clear" w:color="000000" w:fill="DFD8E8"/>
            <w:noWrap/>
            <w:hideMark/>
          </w:tcPr>
          <w:p w:rsidR="0018084B" w:rsidRPr="0018084B" w:rsidRDefault="00AE5481" w:rsidP="0018084B">
            <w:pPr>
              <w:spacing w:after="0" w:line="240" w:lineRule="auto"/>
              <w:jc w:val="center"/>
              <w:rPr>
                <w:rFonts w:asciiTheme="majorBidi" w:eastAsia="Times New Roman" w:hAnsiTheme="majorBidi" w:cstheme="majorBidi"/>
                <w:sz w:val="20"/>
                <w:szCs w:val="20"/>
              </w:rPr>
            </w:pPr>
            <w:r w:rsidRPr="00D369BB">
              <w:rPr>
                <w:rFonts w:asciiTheme="majorBidi" w:eastAsia="Times New Roman" w:hAnsiTheme="majorBidi" w:cstheme="majorBidi"/>
                <w:sz w:val="20"/>
                <w:szCs w:val="20"/>
              </w:rPr>
              <w:t xml:space="preserve"> </w:t>
            </w:r>
            <w:r w:rsidR="0018084B" w:rsidRPr="0018084B">
              <w:rPr>
                <w:rFonts w:asciiTheme="majorBidi" w:eastAsia="Times New Roman" w:hAnsiTheme="majorBidi" w:cstheme="majorBidi"/>
                <w:sz w:val="20"/>
                <w:szCs w:val="20"/>
              </w:rPr>
              <w:t xml:space="preserve">2 945 514 594.54   </w:t>
            </w:r>
          </w:p>
        </w:tc>
        <w:tc>
          <w:tcPr>
            <w:tcW w:w="1560" w:type="dxa"/>
            <w:vMerge w:val="restart"/>
            <w:tcBorders>
              <w:top w:val="nil"/>
              <w:left w:val="single" w:sz="8" w:space="0" w:color="FFFFFF"/>
              <w:bottom w:val="single" w:sz="8" w:space="0" w:color="FFFFFF"/>
              <w:right w:val="single" w:sz="8" w:space="0" w:color="FFFFFF"/>
            </w:tcBorders>
            <w:shd w:val="clear" w:color="000000" w:fill="DFD8E8"/>
            <w:noWrap/>
            <w:hideMark/>
          </w:tcPr>
          <w:p w:rsidR="0018084B" w:rsidRPr="0018084B" w:rsidRDefault="00AE5481" w:rsidP="0018084B">
            <w:pPr>
              <w:spacing w:after="0" w:line="240" w:lineRule="auto"/>
              <w:jc w:val="center"/>
              <w:rPr>
                <w:rFonts w:asciiTheme="majorBidi" w:eastAsia="Times New Roman" w:hAnsiTheme="majorBidi" w:cstheme="majorBidi"/>
                <w:sz w:val="20"/>
                <w:szCs w:val="20"/>
              </w:rPr>
            </w:pPr>
            <w:r w:rsidRPr="00D369BB">
              <w:rPr>
                <w:rFonts w:asciiTheme="majorBidi" w:eastAsia="Times New Roman" w:hAnsiTheme="majorBidi" w:cstheme="majorBidi"/>
                <w:sz w:val="20"/>
                <w:szCs w:val="20"/>
              </w:rPr>
              <w:t xml:space="preserve"> - </w:t>
            </w:r>
            <w:r w:rsidR="0018084B" w:rsidRPr="0018084B">
              <w:rPr>
                <w:rFonts w:asciiTheme="majorBidi" w:eastAsia="Times New Roman" w:hAnsiTheme="majorBidi" w:cstheme="majorBidi"/>
                <w:sz w:val="20"/>
                <w:szCs w:val="20"/>
              </w:rPr>
              <w:t xml:space="preserve">359 488 786.34   </w:t>
            </w:r>
          </w:p>
        </w:tc>
      </w:tr>
      <w:tr w:rsidR="00AE5481" w:rsidRPr="0018084B" w:rsidTr="00A544E5">
        <w:trPr>
          <w:trHeight w:val="270"/>
          <w:jc w:val="center"/>
        </w:trPr>
        <w:tc>
          <w:tcPr>
            <w:tcW w:w="1286" w:type="dxa"/>
            <w:tcBorders>
              <w:top w:val="nil"/>
              <w:left w:val="single" w:sz="8" w:space="0" w:color="FFFFFF"/>
              <w:bottom w:val="nil"/>
              <w:right w:val="single" w:sz="12" w:space="0" w:color="FFFFFF"/>
            </w:tcBorders>
            <w:shd w:val="clear" w:color="000000" w:fill="8064A2"/>
            <w:noWrap/>
            <w:hideMark/>
          </w:tcPr>
          <w:p w:rsidR="0018084B" w:rsidRPr="0018084B" w:rsidRDefault="0018084B" w:rsidP="0018084B">
            <w:pPr>
              <w:spacing w:after="0" w:line="240" w:lineRule="auto"/>
              <w:jc w:val="center"/>
              <w:rPr>
                <w:rFonts w:asciiTheme="majorBidi" w:eastAsia="Times New Roman" w:hAnsiTheme="majorBidi" w:cstheme="majorBidi"/>
                <w:b/>
                <w:bCs/>
                <w:color w:val="FFFFFF"/>
                <w:sz w:val="20"/>
                <w:szCs w:val="20"/>
              </w:rPr>
            </w:pPr>
            <w:r w:rsidRPr="0018084B">
              <w:rPr>
                <w:rFonts w:asciiTheme="majorBidi" w:eastAsia="Times New Roman" w:hAnsiTheme="majorBidi" w:cstheme="majorBidi"/>
                <w:b/>
                <w:bCs/>
                <w:color w:val="FFFFFF"/>
                <w:sz w:val="20"/>
                <w:szCs w:val="20"/>
              </w:rPr>
              <w:t xml:space="preserve"> choqué à la baisse </w:t>
            </w:r>
          </w:p>
        </w:tc>
        <w:tc>
          <w:tcPr>
            <w:tcW w:w="1107" w:type="dxa"/>
            <w:vMerge/>
            <w:tcBorders>
              <w:top w:val="nil"/>
              <w:left w:val="single" w:sz="12"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heme="majorBidi" w:eastAsia="Times New Roman" w:hAnsiTheme="majorBidi" w:cstheme="majorBidi"/>
                <w:sz w:val="20"/>
                <w:szCs w:val="20"/>
              </w:rPr>
            </w:pPr>
          </w:p>
        </w:tc>
        <w:tc>
          <w:tcPr>
            <w:tcW w:w="1650" w:type="dxa"/>
            <w:vMerge/>
            <w:tcBorders>
              <w:top w:val="nil"/>
              <w:left w:val="single" w:sz="8"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heme="majorBidi" w:eastAsia="Times New Roman" w:hAnsiTheme="majorBidi" w:cstheme="majorBidi"/>
                <w:sz w:val="20"/>
                <w:szCs w:val="20"/>
              </w:rPr>
            </w:pPr>
          </w:p>
        </w:tc>
        <w:tc>
          <w:tcPr>
            <w:tcW w:w="1560" w:type="dxa"/>
            <w:vMerge/>
            <w:tcBorders>
              <w:top w:val="nil"/>
              <w:left w:val="single" w:sz="8"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heme="majorBidi" w:eastAsia="Times New Roman" w:hAnsiTheme="majorBidi" w:cstheme="majorBidi"/>
                <w:sz w:val="20"/>
                <w:szCs w:val="20"/>
              </w:rPr>
            </w:pPr>
          </w:p>
        </w:tc>
        <w:tc>
          <w:tcPr>
            <w:tcW w:w="1692" w:type="dxa"/>
            <w:vMerge/>
            <w:tcBorders>
              <w:top w:val="single" w:sz="12" w:space="0" w:color="FFFFFF"/>
              <w:left w:val="single" w:sz="8"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heme="majorBidi" w:eastAsia="Times New Roman" w:hAnsiTheme="majorBidi" w:cstheme="majorBidi"/>
                <w:sz w:val="20"/>
                <w:szCs w:val="20"/>
              </w:rPr>
            </w:pPr>
          </w:p>
        </w:tc>
        <w:tc>
          <w:tcPr>
            <w:tcW w:w="1701" w:type="dxa"/>
            <w:vMerge/>
            <w:tcBorders>
              <w:top w:val="nil"/>
              <w:left w:val="single" w:sz="8"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heme="majorBidi" w:eastAsia="Times New Roman" w:hAnsiTheme="majorBidi" w:cstheme="majorBidi"/>
                <w:sz w:val="20"/>
                <w:szCs w:val="20"/>
              </w:rPr>
            </w:pPr>
          </w:p>
        </w:tc>
        <w:tc>
          <w:tcPr>
            <w:tcW w:w="1560" w:type="dxa"/>
            <w:vMerge/>
            <w:tcBorders>
              <w:top w:val="nil"/>
              <w:left w:val="single" w:sz="8"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heme="majorBidi" w:eastAsia="Times New Roman" w:hAnsiTheme="majorBidi" w:cstheme="majorBidi"/>
                <w:sz w:val="20"/>
                <w:szCs w:val="20"/>
              </w:rPr>
            </w:pPr>
          </w:p>
        </w:tc>
      </w:tr>
      <w:tr w:rsidR="00D369BB" w:rsidRPr="0018084B" w:rsidTr="00A544E5">
        <w:trPr>
          <w:trHeight w:val="270"/>
          <w:jc w:val="center"/>
        </w:trPr>
        <w:tc>
          <w:tcPr>
            <w:tcW w:w="1286" w:type="dxa"/>
            <w:tcBorders>
              <w:top w:val="single" w:sz="8" w:space="0" w:color="FFFFFF"/>
              <w:left w:val="single" w:sz="8" w:space="0" w:color="FFFFFF"/>
              <w:bottom w:val="nil"/>
              <w:right w:val="single" w:sz="12" w:space="0" w:color="FFFFFF"/>
            </w:tcBorders>
            <w:shd w:val="clear" w:color="000000" w:fill="8064A2"/>
            <w:noWrap/>
            <w:hideMark/>
          </w:tcPr>
          <w:p w:rsidR="0018084B" w:rsidRPr="0018084B" w:rsidRDefault="0018084B" w:rsidP="0018084B">
            <w:pPr>
              <w:spacing w:after="0" w:line="240" w:lineRule="auto"/>
              <w:jc w:val="center"/>
              <w:rPr>
                <w:rFonts w:asciiTheme="majorBidi" w:eastAsia="Times New Roman" w:hAnsiTheme="majorBidi" w:cstheme="majorBidi"/>
                <w:b/>
                <w:bCs/>
                <w:color w:val="FFFFFF"/>
                <w:sz w:val="20"/>
                <w:szCs w:val="20"/>
              </w:rPr>
            </w:pPr>
            <w:r w:rsidRPr="0018084B">
              <w:rPr>
                <w:rFonts w:asciiTheme="majorBidi" w:eastAsia="Times New Roman" w:hAnsiTheme="majorBidi" w:cstheme="majorBidi"/>
                <w:b/>
                <w:bCs/>
                <w:color w:val="FFFFFF"/>
                <w:sz w:val="20"/>
                <w:szCs w:val="20"/>
              </w:rPr>
              <w:t xml:space="preserve"> Taux </w:t>
            </w:r>
          </w:p>
        </w:tc>
        <w:tc>
          <w:tcPr>
            <w:tcW w:w="1107" w:type="dxa"/>
            <w:vMerge w:val="restart"/>
            <w:tcBorders>
              <w:top w:val="nil"/>
              <w:left w:val="single" w:sz="12" w:space="0" w:color="FFFFFF"/>
              <w:bottom w:val="single" w:sz="8" w:space="0" w:color="FFFFFF"/>
              <w:right w:val="single" w:sz="8" w:space="0" w:color="FFFFFF"/>
            </w:tcBorders>
            <w:shd w:val="clear" w:color="000000" w:fill="BFB1D0"/>
            <w:noWrap/>
            <w:hideMark/>
          </w:tcPr>
          <w:p w:rsidR="0018084B" w:rsidRPr="0018084B" w:rsidRDefault="0018084B" w:rsidP="0018084B">
            <w:pPr>
              <w:spacing w:after="0" w:line="240" w:lineRule="auto"/>
              <w:jc w:val="center"/>
              <w:rPr>
                <w:rFonts w:asciiTheme="majorBidi" w:eastAsia="Times New Roman" w:hAnsiTheme="majorBidi" w:cstheme="majorBidi"/>
                <w:sz w:val="20"/>
                <w:szCs w:val="20"/>
              </w:rPr>
            </w:pPr>
            <w:r w:rsidRPr="0018084B">
              <w:rPr>
                <w:rFonts w:asciiTheme="majorBidi" w:eastAsia="Times New Roman" w:hAnsiTheme="majorBidi" w:cstheme="majorBidi"/>
                <w:sz w:val="20"/>
                <w:szCs w:val="20"/>
              </w:rPr>
              <w:t xml:space="preserve">    0.94   </w:t>
            </w:r>
          </w:p>
        </w:tc>
        <w:tc>
          <w:tcPr>
            <w:tcW w:w="1650" w:type="dxa"/>
            <w:vMerge w:val="restart"/>
            <w:tcBorders>
              <w:top w:val="nil"/>
              <w:left w:val="single" w:sz="8" w:space="0" w:color="FFFFFF"/>
              <w:bottom w:val="single" w:sz="8" w:space="0" w:color="FFFFFF"/>
              <w:right w:val="single" w:sz="8" w:space="0" w:color="FFFFFF"/>
            </w:tcBorders>
            <w:shd w:val="clear" w:color="000000" w:fill="BFB1D0"/>
            <w:noWrap/>
            <w:hideMark/>
          </w:tcPr>
          <w:p w:rsidR="0018084B" w:rsidRPr="0018084B" w:rsidRDefault="0018084B" w:rsidP="0018084B">
            <w:pPr>
              <w:spacing w:after="0" w:line="240" w:lineRule="auto"/>
              <w:jc w:val="center"/>
              <w:rPr>
                <w:rFonts w:asciiTheme="majorBidi" w:eastAsia="Times New Roman" w:hAnsiTheme="majorBidi" w:cstheme="majorBidi"/>
                <w:sz w:val="20"/>
                <w:szCs w:val="20"/>
              </w:rPr>
            </w:pPr>
            <w:r w:rsidRPr="00D369BB">
              <w:rPr>
                <w:rFonts w:asciiTheme="majorBidi" w:eastAsia="Times New Roman" w:hAnsiTheme="majorBidi" w:cstheme="majorBidi"/>
                <w:sz w:val="20"/>
                <w:szCs w:val="20"/>
              </w:rPr>
              <w:t xml:space="preserve">   10 409 709 636</w:t>
            </w:r>
            <w:r w:rsidRPr="0018084B">
              <w:rPr>
                <w:rFonts w:asciiTheme="majorBidi" w:eastAsia="Times New Roman" w:hAnsiTheme="majorBidi" w:cstheme="majorBidi"/>
                <w:sz w:val="20"/>
                <w:szCs w:val="20"/>
              </w:rPr>
              <w:t xml:space="preserve">   </w:t>
            </w:r>
          </w:p>
        </w:tc>
        <w:tc>
          <w:tcPr>
            <w:tcW w:w="1560" w:type="dxa"/>
            <w:vMerge w:val="restart"/>
            <w:tcBorders>
              <w:top w:val="nil"/>
              <w:left w:val="single" w:sz="8" w:space="0" w:color="FFFFFF"/>
              <w:bottom w:val="single" w:sz="8" w:space="0" w:color="FFFFFF"/>
              <w:right w:val="single" w:sz="8" w:space="0" w:color="FFFFFF"/>
            </w:tcBorders>
            <w:shd w:val="clear" w:color="000000" w:fill="BFB1D0"/>
            <w:noWrap/>
            <w:hideMark/>
          </w:tcPr>
          <w:p w:rsidR="0018084B" w:rsidRPr="0018084B" w:rsidRDefault="0018084B" w:rsidP="0018084B">
            <w:pPr>
              <w:spacing w:after="0" w:line="240" w:lineRule="auto"/>
              <w:jc w:val="center"/>
              <w:rPr>
                <w:rFonts w:asciiTheme="majorBidi" w:eastAsia="Times New Roman" w:hAnsiTheme="majorBidi" w:cstheme="majorBidi"/>
                <w:sz w:val="20"/>
                <w:szCs w:val="20"/>
              </w:rPr>
            </w:pPr>
            <w:r w:rsidRPr="00D369BB">
              <w:rPr>
                <w:rFonts w:asciiTheme="majorBidi" w:eastAsia="Times New Roman" w:hAnsiTheme="majorBidi" w:cstheme="majorBidi"/>
                <w:sz w:val="20"/>
                <w:szCs w:val="20"/>
              </w:rPr>
              <w:t xml:space="preserve">     9 831 778 058</w:t>
            </w:r>
            <w:r w:rsidRPr="0018084B">
              <w:rPr>
                <w:rFonts w:asciiTheme="majorBidi" w:eastAsia="Times New Roman" w:hAnsiTheme="majorBidi" w:cstheme="majorBidi"/>
                <w:sz w:val="20"/>
                <w:szCs w:val="20"/>
              </w:rPr>
              <w:t xml:space="preserve">   </w:t>
            </w:r>
          </w:p>
        </w:tc>
        <w:tc>
          <w:tcPr>
            <w:tcW w:w="1692" w:type="dxa"/>
            <w:vMerge w:val="restart"/>
            <w:tcBorders>
              <w:top w:val="single" w:sz="12" w:space="0" w:color="FFFFFF"/>
              <w:left w:val="single" w:sz="8" w:space="0" w:color="FFFFFF"/>
              <w:bottom w:val="single" w:sz="8" w:space="0" w:color="FFFFFF"/>
              <w:right w:val="single" w:sz="8" w:space="0" w:color="FFFFFF"/>
            </w:tcBorders>
            <w:shd w:val="clear" w:color="000000" w:fill="BFB1D0"/>
            <w:noWrap/>
            <w:hideMark/>
          </w:tcPr>
          <w:p w:rsidR="0018084B" w:rsidRPr="0018084B" w:rsidRDefault="0018084B" w:rsidP="0018084B">
            <w:pPr>
              <w:spacing w:after="0" w:line="240" w:lineRule="auto"/>
              <w:jc w:val="center"/>
              <w:rPr>
                <w:rFonts w:asciiTheme="majorBidi" w:eastAsia="Times New Roman" w:hAnsiTheme="majorBidi" w:cstheme="majorBidi"/>
                <w:sz w:val="20"/>
                <w:szCs w:val="20"/>
              </w:rPr>
            </w:pPr>
            <w:r w:rsidRPr="0018084B">
              <w:rPr>
                <w:rFonts w:asciiTheme="majorBidi" w:eastAsia="Times New Roman" w:hAnsiTheme="majorBidi" w:cstheme="majorBidi"/>
                <w:sz w:val="20"/>
                <w:szCs w:val="20"/>
              </w:rPr>
              <w:t xml:space="preserve">   7 860 812 900.66   </w:t>
            </w:r>
          </w:p>
        </w:tc>
        <w:tc>
          <w:tcPr>
            <w:tcW w:w="1701" w:type="dxa"/>
            <w:vMerge w:val="restart"/>
            <w:tcBorders>
              <w:top w:val="nil"/>
              <w:left w:val="single" w:sz="8" w:space="0" w:color="FFFFFF"/>
              <w:bottom w:val="single" w:sz="8" w:space="0" w:color="FFFFFF"/>
              <w:right w:val="single" w:sz="8" w:space="0" w:color="FFFFFF"/>
            </w:tcBorders>
            <w:shd w:val="clear" w:color="000000" w:fill="BFB1D0"/>
            <w:noWrap/>
            <w:hideMark/>
          </w:tcPr>
          <w:p w:rsidR="0018084B" w:rsidRPr="0018084B" w:rsidRDefault="0018084B" w:rsidP="0018084B">
            <w:pPr>
              <w:spacing w:after="0" w:line="240" w:lineRule="auto"/>
              <w:jc w:val="center"/>
              <w:rPr>
                <w:rFonts w:asciiTheme="majorBidi" w:eastAsia="Times New Roman" w:hAnsiTheme="majorBidi" w:cstheme="majorBidi"/>
                <w:sz w:val="20"/>
                <w:szCs w:val="20"/>
              </w:rPr>
            </w:pPr>
            <w:r w:rsidRPr="0018084B">
              <w:rPr>
                <w:rFonts w:asciiTheme="majorBidi" w:eastAsia="Times New Roman" w:hAnsiTheme="majorBidi" w:cstheme="majorBidi"/>
                <w:sz w:val="20"/>
                <w:szCs w:val="20"/>
              </w:rPr>
              <w:t xml:space="preserve"> 1 970 965 157.81   </w:t>
            </w:r>
          </w:p>
        </w:tc>
        <w:tc>
          <w:tcPr>
            <w:tcW w:w="1560" w:type="dxa"/>
            <w:vMerge w:val="restart"/>
            <w:tcBorders>
              <w:top w:val="nil"/>
              <w:left w:val="single" w:sz="8" w:space="0" w:color="FFFFFF"/>
              <w:bottom w:val="single" w:sz="8" w:space="0" w:color="FFFFFF"/>
              <w:right w:val="single" w:sz="8" w:space="0" w:color="FFFFFF"/>
            </w:tcBorders>
            <w:shd w:val="clear" w:color="000000" w:fill="BFB1D0"/>
            <w:noWrap/>
            <w:hideMark/>
          </w:tcPr>
          <w:p w:rsidR="0018084B" w:rsidRPr="0018084B" w:rsidRDefault="0018084B" w:rsidP="0018084B">
            <w:pPr>
              <w:spacing w:after="0" w:line="240" w:lineRule="auto"/>
              <w:jc w:val="center"/>
              <w:rPr>
                <w:rFonts w:asciiTheme="majorBidi" w:eastAsia="Times New Roman" w:hAnsiTheme="majorBidi" w:cstheme="majorBidi"/>
                <w:sz w:val="20"/>
                <w:szCs w:val="20"/>
              </w:rPr>
            </w:pPr>
            <w:r w:rsidRPr="0018084B">
              <w:rPr>
                <w:rFonts w:asciiTheme="majorBidi" w:eastAsia="Times New Roman" w:hAnsiTheme="majorBidi" w:cstheme="majorBidi"/>
                <w:sz w:val="20"/>
                <w:szCs w:val="20"/>
              </w:rPr>
              <w:t xml:space="preserve"> 615 060 650.40   </w:t>
            </w:r>
          </w:p>
        </w:tc>
      </w:tr>
      <w:tr w:rsidR="00AE5481" w:rsidRPr="0018084B" w:rsidTr="00A544E5">
        <w:trPr>
          <w:trHeight w:val="142"/>
          <w:jc w:val="center"/>
        </w:trPr>
        <w:tc>
          <w:tcPr>
            <w:tcW w:w="1286" w:type="dxa"/>
            <w:tcBorders>
              <w:top w:val="nil"/>
              <w:left w:val="single" w:sz="8" w:space="0" w:color="FFFFFF"/>
              <w:bottom w:val="single" w:sz="8" w:space="0" w:color="FFFFFF"/>
              <w:right w:val="single" w:sz="12" w:space="0" w:color="FFFFFF"/>
            </w:tcBorders>
            <w:shd w:val="clear" w:color="000000" w:fill="8064A2"/>
            <w:noWrap/>
            <w:hideMark/>
          </w:tcPr>
          <w:p w:rsidR="0018084B" w:rsidRPr="0018084B" w:rsidRDefault="0018084B" w:rsidP="0018084B">
            <w:pPr>
              <w:spacing w:after="0" w:line="240" w:lineRule="auto"/>
              <w:jc w:val="center"/>
              <w:rPr>
                <w:rFonts w:ascii="Times New Roman" w:eastAsia="Times New Roman" w:hAnsi="Times New Roman" w:cs="Times New Roman"/>
                <w:b/>
                <w:bCs/>
                <w:color w:val="FFFFFF"/>
                <w:sz w:val="20"/>
                <w:szCs w:val="20"/>
              </w:rPr>
            </w:pPr>
            <w:r w:rsidRPr="0018084B">
              <w:rPr>
                <w:rFonts w:ascii="Times New Roman" w:eastAsia="Times New Roman" w:hAnsi="Times New Roman" w:cs="Times New Roman"/>
                <w:b/>
                <w:bCs/>
                <w:color w:val="FFFFFF"/>
                <w:sz w:val="20"/>
                <w:szCs w:val="20"/>
              </w:rPr>
              <w:t xml:space="preserve">  choqué à la hausse </w:t>
            </w:r>
          </w:p>
        </w:tc>
        <w:tc>
          <w:tcPr>
            <w:tcW w:w="1107" w:type="dxa"/>
            <w:vMerge/>
            <w:tcBorders>
              <w:top w:val="nil"/>
              <w:left w:val="single" w:sz="12"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imes New Roman" w:eastAsia="Times New Roman" w:hAnsi="Times New Roman" w:cs="Times New Roman"/>
                <w:sz w:val="20"/>
                <w:szCs w:val="20"/>
              </w:rPr>
            </w:pPr>
          </w:p>
        </w:tc>
        <w:tc>
          <w:tcPr>
            <w:tcW w:w="1650" w:type="dxa"/>
            <w:vMerge/>
            <w:tcBorders>
              <w:top w:val="nil"/>
              <w:left w:val="single" w:sz="8"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imes New Roman" w:eastAsia="Times New Roman" w:hAnsi="Times New Roman" w:cs="Times New Roman"/>
                <w:sz w:val="20"/>
                <w:szCs w:val="20"/>
              </w:rPr>
            </w:pPr>
          </w:p>
        </w:tc>
        <w:tc>
          <w:tcPr>
            <w:tcW w:w="1560" w:type="dxa"/>
            <w:vMerge/>
            <w:tcBorders>
              <w:top w:val="nil"/>
              <w:left w:val="single" w:sz="8"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imes New Roman" w:eastAsia="Times New Roman" w:hAnsi="Times New Roman" w:cs="Times New Roman"/>
                <w:sz w:val="20"/>
                <w:szCs w:val="20"/>
              </w:rPr>
            </w:pPr>
          </w:p>
        </w:tc>
        <w:tc>
          <w:tcPr>
            <w:tcW w:w="1692" w:type="dxa"/>
            <w:vMerge/>
            <w:tcBorders>
              <w:top w:val="single" w:sz="12" w:space="0" w:color="FFFFFF"/>
              <w:left w:val="single" w:sz="8"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Arial" w:eastAsia="Times New Roman" w:hAnsi="Arial" w:cs="Arial"/>
                <w:sz w:val="20"/>
                <w:szCs w:val="20"/>
              </w:rPr>
            </w:pPr>
          </w:p>
        </w:tc>
        <w:tc>
          <w:tcPr>
            <w:tcW w:w="1701" w:type="dxa"/>
            <w:vMerge/>
            <w:tcBorders>
              <w:top w:val="nil"/>
              <w:left w:val="single" w:sz="8"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imes New Roman" w:eastAsia="Times New Roman" w:hAnsi="Times New Roman" w:cs="Times New Roman"/>
                <w:sz w:val="20"/>
                <w:szCs w:val="20"/>
              </w:rPr>
            </w:pPr>
          </w:p>
        </w:tc>
        <w:tc>
          <w:tcPr>
            <w:tcW w:w="1560" w:type="dxa"/>
            <w:vMerge/>
            <w:tcBorders>
              <w:top w:val="nil"/>
              <w:left w:val="single" w:sz="8" w:space="0" w:color="FFFFFF"/>
              <w:bottom w:val="single" w:sz="8" w:space="0" w:color="FFFFFF"/>
              <w:right w:val="single" w:sz="8" w:space="0" w:color="FFFFFF"/>
            </w:tcBorders>
            <w:vAlign w:val="center"/>
            <w:hideMark/>
          </w:tcPr>
          <w:p w:rsidR="0018084B" w:rsidRPr="0018084B" w:rsidRDefault="0018084B" w:rsidP="0018084B">
            <w:pPr>
              <w:spacing w:after="0" w:line="240" w:lineRule="auto"/>
              <w:rPr>
                <w:rFonts w:ascii="Times New Roman" w:eastAsia="Times New Roman" w:hAnsi="Times New Roman" w:cs="Times New Roman"/>
                <w:sz w:val="20"/>
                <w:szCs w:val="20"/>
              </w:rPr>
            </w:pPr>
          </w:p>
        </w:tc>
      </w:tr>
    </w:tbl>
    <w:p w:rsidR="0018084B" w:rsidRDefault="0018084B" w:rsidP="00AE5481">
      <w:pPr>
        <w:tabs>
          <w:tab w:val="left" w:pos="1155"/>
        </w:tabs>
        <w:autoSpaceDE w:val="0"/>
        <w:autoSpaceDN w:val="0"/>
        <w:adjustRightInd w:val="0"/>
        <w:spacing w:after="0" w:line="360" w:lineRule="auto"/>
        <w:jc w:val="both"/>
        <w:rPr>
          <w:rFonts w:asciiTheme="majorBidi" w:hAnsiTheme="majorBidi" w:cstheme="majorBidi"/>
          <w:sz w:val="24"/>
          <w:szCs w:val="24"/>
        </w:rPr>
      </w:pPr>
    </w:p>
    <w:p w:rsidR="00AE3A85" w:rsidRPr="006A09FF" w:rsidRDefault="00B85085" w:rsidP="006A09F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fldChar w:fldCharType="end"/>
      </w:r>
      <w:r w:rsidR="0002166D" w:rsidRPr="0002166D">
        <w:rPr>
          <w:rFonts w:asciiTheme="majorBidi" w:hAnsiTheme="majorBidi" w:cstheme="majorBidi"/>
          <w:b/>
          <w:bCs/>
          <w:sz w:val="24"/>
          <w:szCs w:val="24"/>
        </w:rPr>
        <w:t>Tableau N°</w:t>
      </w:r>
      <w:r w:rsidR="00B73BA9">
        <w:rPr>
          <w:rFonts w:asciiTheme="majorBidi" w:hAnsiTheme="majorBidi" w:cstheme="majorBidi"/>
          <w:b/>
          <w:bCs/>
          <w:sz w:val="24"/>
          <w:szCs w:val="24"/>
        </w:rPr>
        <w:t>14</w:t>
      </w:r>
      <w:r w:rsidR="00A544E5">
        <w:rPr>
          <w:rFonts w:asciiTheme="majorBidi" w:hAnsiTheme="majorBidi" w:cstheme="majorBidi"/>
          <w:b/>
          <w:bCs/>
          <w:sz w:val="24"/>
          <w:szCs w:val="24"/>
        </w:rPr>
        <w:t> : C</w:t>
      </w:r>
      <w:r w:rsidR="0002166D" w:rsidRPr="0002166D">
        <w:rPr>
          <w:rFonts w:asciiTheme="majorBidi" w:hAnsiTheme="majorBidi" w:cstheme="majorBidi"/>
          <w:b/>
          <w:bCs/>
          <w:sz w:val="24"/>
          <w:szCs w:val="24"/>
        </w:rPr>
        <w:t>alcul de la variation du NAV</w:t>
      </w:r>
    </w:p>
    <w:p w:rsidR="0002166D" w:rsidRDefault="0002166D" w:rsidP="00AE3A85">
      <w:pPr>
        <w:autoSpaceDE w:val="0"/>
        <w:autoSpaceDN w:val="0"/>
        <w:adjustRightInd w:val="0"/>
        <w:spacing w:after="0" w:line="360" w:lineRule="auto"/>
        <w:jc w:val="both"/>
        <w:rPr>
          <w:rFonts w:asciiTheme="majorBidi" w:eastAsia="Times New Roman" w:hAnsiTheme="majorBidi" w:cstheme="majorBidi"/>
          <w:b/>
          <w:bCs/>
          <w:vertAlign w:val="subscript"/>
        </w:rPr>
      </w:pPr>
      <w:r>
        <w:rPr>
          <w:rFonts w:asciiTheme="majorBidi" w:hAnsiTheme="majorBidi" w:cstheme="majorBidi"/>
          <w:sz w:val="24"/>
          <w:szCs w:val="24"/>
        </w:rPr>
        <w:t xml:space="preserve">Sachant </w:t>
      </w:r>
      <w:proofErr w:type="gramStart"/>
      <w:r>
        <w:rPr>
          <w:rFonts w:asciiTheme="majorBidi" w:hAnsiTheme="majorBidi" w:cstheme="majorBidi"/>
          <w:sz w:val="24"/>
          <w:szCs w:val="24"/>
        </w:rPr>
        <w:t>que:</w:t>
      </w:r>
      <w:proofErr w:type="gramEnd"/>
      <w:r>
        <w:rPr>
          <w:rFonts w:asciiTheme="majorBidi" w:hAnsiTheme="majorBidi" w:cstheme="majorBidi"/>
          <w:sz w:val="24"/>
          <w:szCs w:val="24"/>
        </w:rPr>
        <w:t xml:space="preserve"> </w:t>
      </w:r>
      <w:r w:rsidRPr="004F2C2F">
        <w:rPr>
          <w:rFonts w:asciiTheme="majorBidi" w:eastAsia="Times New Roman" w:hAnsiTheme="majorBidi" w:cstheme="majorBidi"/>
          <w:b/>
          <w:bCs/>
        </w:rPr>
        <w:t>∆ NAV</w:t>
      </w:r>
      <w:r w:rsidRPr="00AE3A85">
        <w:rPr>
          <w:rFonts w:asciiTheme="majorBidi" w:eastAsia="Times New Roman" w:hAnsiTheme="majorBidi" w:cstheme="majorBidi"/>
          <w:b/>
          <w:bCs/>
        </w:rPr>
        <w:t>=</w:t>
      </w:r>
      <w:r w:rsidR="00AE3A85" w:rsidRPr="00AE3A85">
        <w:rPr>
          <w:rFonts w:asciiTheme="majorBidi" w:eastAsia="Times New Roman" w:hAnsiTheme="majorBidi" w:cstheme="majorBidi"/>
          <w:b/>
          <w:bCs/>
        </w:rPr>
        <w:t xml:space="preserve"> </w:t>
      </w:r>
      <w:r w:rsidR="00D72A1F" w:rsidRPr="00AE3A85">
        <w:rPr>
          <w:rFonts w:asciiTheme="majorBidi" w:eastAsia="Times New Roman" w:hAnsiTheme="majorBidi" w:cstheme="majorBidi"/>
          <w:b/>
          <w:bCs/>
        </w:rPr>
        <w:t>(Actif</w:t>
      </w:r>
      <w:r w:rsidR="00AE3A85" w:rsidRPr="00AE3A85">
        <w:rPr>
          <w:rFonts w:asciiTheme="majorBidi" w:eastAsia="Times New Roman" w:hAnsiTheme="majorBidi" w:cstheme="majorBidi"/>
          <w:b/>
          <w:bCs/>
        </w:rPr>
        <w:t xml:space="preserve"> </w:t>
      </w:r>
      <w:proofErr w:type="spellStart"/>
      <w:r w:rsidR="00AE3A85" w:rsidRPr="00AE3A85">
        <w:rPr>
          <w:rFonts w:asciiTheme="majorBidi" w:eastAsia="Times New Roman" w:hAnsiTheme="majorBidi" w:cstheme="majorBidi"/>
          <w:b/>
          <w:bCs/>
          <w:vertAlign w:val="subscript"/>
        </w:rPr>
        <w:t>tx</w:t>
      </w:r>
      <w:proofErr w:type="spellEnd"/>
      <w:r w:rsidR="00AE3A85" w:rsidRPr="00AE3A85">
        <w:rPr>
          <w:rFonts w:asciiTheme="majorBidi" w:eastAsia="Times New Roman" w:hAnsiTheme="majorBidi" w:cstheme="majorBidi"/>
          <w:b/>
          <w:bCs/>
          <w:vertAlign w:val="subscript"/>
        </w:rPr>
        <w:t xml:space="preserve"> normal</w:t>
      </w:r>
      <w:r w:rsidR="00AE3A85" w:rsidRPr="00AE3A85">
        <w:rPr>
          <w:rFonts w:asciiTheme="majorBidi" w:eastAsia="Times New Roman" w:hAnsiTheme="majorBidi" w:cstheme="majorBidi"/>
          <w:b/>
          <w:bCs/>
        </w:rPr>
        <w:t xml:space="preserve">-Best </w:t>
      </w:r>
      <w:proofErr w:type="spellStart"/>
      <w:r w:rsidR="00AE3A85" w:rsidRPr="00AE3A85">
        <w:rPr>
          <w:rFonts w:asciiTheme="majorBidi" w:eastAsia="Times New Roman" w:hAnsiTheme="majorBidi" w:cstheme="majorBidi"/>
          <w:b/>
          <w:bCs/>
        </w:rPr>
        <w:t>Estimate</w:t>
      </w:r>
      <w:proofErr w:type="spellEnd"/>
      <w:r w:rsidR="00AE3A85" w:rsidRPr="00AE3A85">
        <w:rPr>
          <w:rFonts w:asciiTheme="majorBidi" w:eastAsia="Times New Roman" w:hAnsiTheme="majorBidi" w:cstheme="majorBidi"/>
          <w:b/>
          <w:bCs/>
        </w:rPr>
        <w:t xml:space="preserve"> </w:t>
      </w:r>
      <w:proofErr w:type="spellStart"/>
      <w:r w:rsidR="00AE3A85" w:rsidRPr="00AE3A85">
        <w:rPr>
          <w:rFonts w:asciiTheme="majorBidi" w:eastAsia="Times New Roman" w:hAnsiTheme="majorBidi" w:cstheme="majorBidi"/>
          <w:b/>
          <w:bCs/>
          <w:vertAlign w:val="subscript"/>
        </w:rPr>
        <w:t>tx</w:t>
      </w:r>
      <w:proofErr w:type="spellEnd"/>
      <w:r w:rsidR="00AE3A85" w:rsidRPr="00AE3A85">
        <w:rPr>
          <w:rFonts w:asciiTheme="majorBidi" w:eastAsia="Times New Roman" w:hAnsiTheme="majorBidi" w:cstheme="majorBidi"/>
          <w:b/>
          <w:bCs/>
          <w:vertAlign w:val="subscript"/>
        </w:rPr>
        <w:t xml:space="preserve"> normal </w:t>
      </w:r>
      <w:r w:rsidR="00AE3A85" w:rsidRPr="00AE3A85">
        <w:rPr>
          <w:rFonts w:asciiTheme="majorBidi" w:eastAsia="Times New Roman" w:hAnsiTheme="majorBidi" w:cstheme="majorBidi"/>
          <w:b/>
          <w:bCs/>
        </w:rPr>
        <w:t>) –(Actif</w:t>
      </w:r>
      <w:r w:rsidR="00AE3A85" w:rsidRPr="00AE3A85">
        <w:rPr>
          <w:rFonts w:asciiTheme="majorBidi" w:eastAsia="Times New Roman" w:hAnsiTheme="majorBidi" w:cstheme="majorBidi"/>
          <w:b/>
          <w:bCs/>
          <w:vertAlign w:val="subscript"/>
        </w:rPr>
        <w:t xml:space="preserve"> </w:t>
      </w:r>
      <w:proofErr w:type="spellStart"/>
      <w:r w:rsidR="00AE3A85" w:rsidRPr="00AE3A85">
        <w:rPr>
          <w:rFonts w:asciiTheme="majorBidi" w:eastAsia="Times New Roman" w:hAnsiTheme="majorBidi" w:cstheme="majorBidi"/>
          <w:b/>
          <w:bCs/>
          <w:vertAlign w:val="subscript"/>
        </w:rPr>
        <w:t>tx</w:t>
      </w:r>
      <w:proofErr w:type="spellEnd"/>
      <w:r w:rsidR="00AE3A85" w:rsidRPr="00AE3A85">
        <w:rPr>
          <w:rFonts w:asciiTheme="majorBidi" w:eastAsia="Times New Roman" w:hAnsiTheme="majorBidi" w:cstheme="majorBidi"/>
          <w:b/>
          <w:bCs/>
          <w:vertAlign w:val="subscript"/>
        </w:rPr>
        <w:t xml:space="preserve"> choqué </w:t>
      </w:r>
      <w:r w:rsidR="00AE3A85" w:rsidRPr="00AE3A85">
        <w:rPr>
          <w:rFonts w:asciiTheme="majorBidi" w:eastAsia="Times New Roman" w:hAnsiTheme="majorBidi" w:cstheme="majorBidi"/>
          <w:b/>
          <w:bCs/>
        </w:rPr>
        <w:t xml:space="preserve">– Best </w:t>
      </w:r>
      <w:proofErr w:type="spellStart"/>
      <w:r w:rsidR="00AE3A85" w:rsidRPr="00AE3A85">
        <w:rPr>
          <w:rFonts w:asciiTheme="majorBidi" w:eastAsia="Times New Roman" w:hAnsiTheme="majorBidi" w:cstheme="majorBidi"/>
          <w:b/>
          <w:bCs/>
        </w:rPr>
        <w:t>Estimate</w:t>
      </w:r>
      <w:proofErr w:type="spellEnd"/>
      <w:r w:rsidR="00AE3A85" w:rsidRPr="00AE3A85">
        <w:rPr>
          <w:rFonts w:asciiTheme="majorBidi" w:eastAsia="Times New Roman" w:hAnsiTheme="majorBidi" w:cstheme="majorBidi"/>
          <w:b/>
          <w:bCs/>
        </w:rPr>
        <w:t xml:space="preserve"> </w:t>
      </w:r>
      <w:proofErr w:type="spellStart"/>
      <w:r w:rsidR="00AE3A85" w:rsidRPr="00AE3A85">
        <w:rPr>
          <w:rFonts w:asciiTheme="majorBidi" w:eastAsia="Times New Roman" w:hAnsiTheme="majorBidi" w:cstheme="majorBidi"/>
          <w:b/>
          <w:bCs/>
          <w:vertAlign w:val="subscript"/>
        </w:rPr>
        <w:t>tx</w:t>
      </w:r>
      <w:proofErr w:type="spellEnd"/>
      <w:r w:rsidR="00AE3A85" w:rsidRPr="00AE3A85">
        <w:rPr>
          <w:rFonts w:asciiTheme="majorBidi" w:eastAsia="Times New Roman" w:hAnsiTheme="majorBidi" w:cstheme="majorBidi"/>
          <w:b/>
          <w:bCs/>
          <w:vertAlign w:val="subscript"/>
        </w:rPr>
        <w:t xml:space="preserve"> choqué</w:t>
      </w:r>
      <w:r w:rsidR="00AE3A85" w:rsidRPr="00AE3A85">
        <w:rPr>
          <w:rFonts w:asciiTheme="majorBidi" w:eastAsia="Times New Roman" w:hAnsiTheme="majorBidi" w:cstheme="majorBidi"/>
          <w:b/>
          <w:bCs/>
        </w:rPr>
        <w:t>)</w:t>
      </w:r>
      <w:r w:rsidR="00AE3A85" w:rsidRPr="00AE3A85">
        <w:rPr>
          <w:rFonts w:asciiTheme="majorBidi" w:eastAsia="Times New Roman" w:hAnsiTheme="majorBidi" w:cstheme="majorBidi"/>
          <w:b/>
          <w:bCs/>
          <w:vertAlign w:val="subscript"/>
        </w:rPr>
        <w:t xml:space="preserve"> </w:t>
      </w:r>
    </w:p>
    <w:p w:rsidR="00AE3A85" w:rsidRPr="00AE3A85" w:rsidRDefault="00AE3A85" w:rsidP="00AE3A85">
      <w:pPr>
        <w:autoSpaceDE w:val="0"/>
        <w:autoSpaceDN w:val="0"/>
        <w:adjustRightInd w:val="0"/>
        <w:spacing w:after="0" w:line="240" w:lineRule="auto"/>
        <w:jc w:val="both"/>
        <w:rPr>
          <w:rFonts w:asciiTheme="majorBidi" w:hAnsiTheme="majorBidi" w:cstheme="majorBidi"/>
          <w:vertAlign w:val="subscript"/>
        </w:rPr>
      </w:pPr>
    </w:p>
    <w:p w:rsidR="007148EE" w:rsidRDefault="00AE3A85" w:rsidP="006A09FF">
      <w:pPr>
        <w:autoSpaceDE w:val="0"/>
        <w:autoSpaceDN w:val="0"/>
        <w:adjustRightInd w:val="0"/>
        <w:spacing w:after="0" w:line="360" w:lineRule="auto"/>
        <w:jc w:val="both"/>
        <w:rPr>
          <w:rFonts w:asciiTheme="majorBidi" w:hAnsiTheme="majorBidi" w:cstheme="majorBidi"/>
          <w:b/>
          <w:bCs/>
          <w:i/>
          <w:iCs/>
          <w:sz w:val="24"/>
          <w:szCs w:val="24"/>
        </w:rPr>
      </w:pPr>
      <w:r>
        <w:rPr>
          <w:rFonts w:asciiTheme="majorBidi" w:hAnsiTheme="majorBidi" w:cstheme="majorBidi"/>
          <w:sz w:val="24"/>
          <w:szCs w:val="24"/>
        </w:rPr>
        <w:tab/>
      </w:r>
      <w:r w:rsidR="00110AF2" w:rsidRPr="0002166D">
        <w:rPr>
          <w:rFonts w:asciiTheme="majorBidi" w:hAnsiTheme="majorBidi" w:cstheme="majorBidi"/>
          <w:sz w:val="24"/>
          <w:szCs w:val="24"/>
        </w:rPr>
        <w:t>Une valeur positive de la variation de la valeur nette de l’actif en valeur de marché diminuée de la</w:t>
      </w:r>
      <w:r w:rsidR="0002166D" w:rsidRPr="0002166D">
        <w:rPr>
          <w:rFonts w:asciiTheme="majorBidi" w:hAnsiTheme="majorBidi" w:cstheme="majorBidi"/>
          <w:sz w:val="24"/>
          <w:szCs w:val="24"/>
        </w:rPr>
        <w:t xml:space="preserve"> </w:t>
      </w:r>
      <w:r w:rsidR="00110AF2" w:rsidRPr="0002166D">
        <w:rPr>
          <w:rFonts w:asciiTheme="majorBidi" w:hAnsiTheme="majorBidi" w:cstheme="majorBidi"/>
          <w:sz w:val="24"/>
          <w:szCs w:val="24"/>
        </w:rPr>
        <w:t xml:space="preserve">provision Best </w:t>
      </w:r>
      <w:proofErr w:type="spellStart"/>
      <w:r w:rsidR="00110AF2" w:rsidRPr="0002166D">
        <w:rPr>
          <w:rFonts w:asciiTheme="majorBidi" w:hAnsiTheme="majorBidi" w:cstheme="majorBidi"/>
          <w:sz w:val="24"/>
          <w:szCs w:val="24"/>
        </w:rPr>
        <w:t>Estimate</w:t>
      </w:r>
      <w:proofErr w:type="spellEnd"/>
      <w:r w:rsidR="00110AF2" w:rsidRPr="0002166D">
        <w:rPr>
          <w:rFonts w:asciiTheme="majorBidi" w:hAnsiTheme="majorBidi" w:cstheme="majorBidi"/>
          <w:sz w:val="24"/>
          <w:szCs w:val="24"/>
        </w:rPr>
        <w:t xml:space="preserve"> est une </w:t>
      </w:r>
      <w:r w:rsidR="0002166D" w:rsidRPr="0002166D">
        <w:rPr>
          <w:rFonts w:asciiTheme="majorBidi" w:hAnsiTheme="majorBidi" w:cstheme="majorBidi"/>
          <w:sz w:val="24"/>
          <w:szCs w:val="24"/>
        </w:rPr>
        <w:t xml:space="preserve">perte et inversement une valeur </w:t>
      </w:r>
      <w:r w:rsidR="00110AF2" w:rsidRPr="0002166D">
        <w:rPr>
          <w:rFonts w:asciiTheme="majorBidi" w:hAnsiTheme="majorBidi" w:cstheme="majorBidi"/>
          <w:sz w:val="24"/>
          <w:szCs w:val="24"/>
        </w:rPr>
        <w:t>négative est un gain.</w:t>
      </w:r>
      <w:r>
        <w:rPr>
          <w:rFonts w:asciiTheme="majorBidi" w:hAnsiTheme="majorBidi" w:cstheme="majorBidi"/>
          <w:sz w:val="24"/>
          <w:szCs w:val="24"/>
        </w:rPr>
        <w:t xml:space="preserve"> </w:t>
      </w:r>
      <w:r w:rsidRPr="00AE3A85">
        <w:rPr>
          <w:rFonts w:asciiTheme="majorBidi" w:hAnsiTheme="majorBidi" w:cstheme="majorBidi"/>
          <w:sz w:val="24"/>
          <w:szCs w:val="24"/>
        </w:rPr>
        <w:t>Nous retiendrons comme valeur le maximum entre la charge de capital où les taux sont choqués à la baisse et la charge de capital où les taux sont choqués à la hausse, soit</w:t>
      </w:r>
      <w:r w:rsidR="00452CEB">
        <w:rPr>
          <w:rFonts w:asciiTheme="majorBidi" w:hAnsiTheme="majorBidi" w:cstheme="majorBidi"/>
          <w:sz w:val="24"/>
          <w:szCs w:val="24"/>
        </w:rPr>
        <w:t xml:space="preserve"> </w:t>
      </w:r>
      <w:proofErr w:type="gramStart"/>
      <w:r w:rsidR="00452CEB">
        <w:rPr>
          <w:rFonts w:asciiTheme="majorBidi" w:hAnsiTheme="majorBidi" w:cstheme="majorBidi"/>
          <w:sz w:val="24"/>
          <w:szCs w:val="24"/>
        </w:rPr>
        <w:t>un</w:t>
      </w:r>
      <w:r w:rsidR="00F4242B">
        <w:rPr>
          <w:rFonts w:asciiTheme="majorBidi" w:hAnsiTheme="majorBidi" w:cstheme="majorBidi"/>
          <w:sz w:val="24"/>
          <w:szCs w:val="24"/>
        </w:rPr>
        <w:t xml:space="preserve"> </w:t>
      </w:r>
      <w:r w:rsidR="001A3E4E" w:rsidRPr="001A3E4E">
        <w:rPr>
          <w:rFonts w:asciiTheme="majorBidi" w:hAnsiTheme="majorBidi" w:cstheme="majorBidi"/>
          <w:sz w:val="24"/>
          <w:szCs w:val="24"/>
        </w:rPr>
        <w:t xml:space="preserve"> </w:t>
      </w:r>
      <w:proofErr w:type="spellStart"/>
      <w:r w:rsidR="001A3E4E" w:rsidRPr="00B34A60">
        <w:rPr>
          <w:rFonts w:asciiTheme="majorBidi" w:hAnsiTheme="majorBidi" w:cstheme="majorBidi"/>
          <w:b/>
          <w:bCs/>
          <w:sz w:val="24"/>
          <w:szCs w:val="24"/>
        </w:rPr>
        <w:t>SCR</w:t>
      </w:r>
      <w:r w:rsidR="001A3E4E" w:rsidRPr="00B34A60">
        <w:rPr>
          <w:rFonts w:asciiTheme="majorBidi" w:hAnsiTheme="majorBidi" w:cstheme="majorBidi"/>
          <w:b/>
          <w:bCs/>
          <w:sz w:val="24"/>
          <w:szCs w:val="24"/>
          <w:vertAlign w:val="subscript"/>
        </w:rPr>
        <w:t>mkt</w:t>
      </w:r>
      <w:proofErr w:type="spellEnd"/>
      <w:proofErr w:type="gramEnd"/>
      <w:r w:rsidR="001A3E4E">
        <w:rPr>
          <w:rFonts w:asciiTheme="majorBidi" w:hAnsiTheme="majorBidi" w:cstheme="majorBidi"/>
          <w:sz w:val="24"/>
          <w:szCs w:val="24"/>
        </w:rPr>
        <w:t>=</w:t>
      </w:r>
      <w:r w:rsidR="00F4242B">
        <w:rPr>
          <w:rFonts w:asciiTheme="majorBidi" w:hAnsiTheme="majorBidi" w:cstheme="majorBidi"/>
          <w:sz w:val="24"/>
          <w:szCs w:val="24"/>
        </w:rPr>
        <w:t xml:space="preserve">  </w:t>
      </w:r>
      <w:r w:rsidR="00AE2DD7">
        <w:rPr>
          <w:rFonts w:asciiTheme="majorBidi" w:eastAsia="Times New Roman" w:hAnsiTheme="majorBidi" w:cstheme="majorBidi"/>
          <w:sz w:val="20"/>
          <w:szCs w:val="20"/>
        </w:rPr>
        <w:t xml:space="preserve">  </w:t>
      </w:r>
      <w:r w:rsidR="00AE2DD7" w:rsidRPr="00AE2DD7">
        <w:rPr>
          <w:rFonts w:asciiTheme="majorBidi" w:hAnsiTheme="majorBidi" w:cstheme="majorBidi"/>
          <w:b/>
          <w:bCs/>
          <w:i/>
          <w:iCs/>
          <w:sz w:val="24"/>
          <w:szCs w:val="24"/>
        </w:rPr>
        <w:t>615 060 650</w:t>
      </w:r>
      <w:r w:rsidR="00AE2DD7" w:rsidRPr="00177BDE">
        <w:rPr>
          <w:rFonts w:asciiTheme="majorBidi" w:eastAsia="Times New Roman" w:hAnsiTheme="majorBidi" w:cstheme="majorBidi"/>
          <w:sz w:val="20"/>
          <w:szCs w:val="20"/>
        </w:rPr>
        <w:t xml:space="preserve"> </w:t>
      </w:r>
      <w:r w:rsidR="000274C0">
        <w:rPr>
          <w:rFonts w:asciiTheme="majorBidi" w:hAnsiTheme="majorBidi" w:cstheme="majorBidi"/>
          <w:b/>
          <w:bCs/>
          <w:i/>
          <w:iCs/>
          <w:sz w:val="24"/>
          <w:szCs w:val="24"/>
        </w:rPr>
        <w:t xml:space="preserve"> </w:t>
      </w:r>
      <w:r>
        <w:rPr>
          <w:rFonts w:asciiTheme="majorBidi" w:hAnsiTheme="majorBidi" w:cstheme="majorBidi"/>
          <w:b/>
          <w:bCs/>
          <w:i/>
          <w:iCs/>
          <w:sz w:val="24"/>
          <w:szCs w:val="24"/>
        </w:rPr>
        <w:t>DA</w:t>
      </w:r>
      <w:r w:rsidR="00015E00">
        <w:rPr>
          <w:rFonts w:asciiTheme="majorBidi" w:hAnsiTheme="majorBidi" w:cstheme="majorBidi"/>
          <w:b/>
          <w:bCs/>
          <w:i/>
          <w:iCs/>
          <w:sz w:val="24"/>
          <w:szCs w:val="24"/>
        </w:rPr>
        <w:t>.</w:t>
      </w:r>
    </w:p>
    <w:p w:rsidR="006A09FF" w:rsidRDefault="006A09FF" w:rsidP="006A09FF">
      <w:pPr>
        <w:autoSpaceDE w:val="0"/>
        <w:autoSpaceDN w:val="0"/>
        <w:adjustRightInd w:val="0"/>
        <w:spacing w:after="0" w:line="240" w:lineRule="auto"/>
        <w:jc w:val="both"/>
        <w:rPr>
          <w:rFonts w:asciiTheme="majorBidi" w:hAnsiTheme="majorBidi" w:cstheme="majorBidi"/>
          <w:b/>
          <w:bCs/>
          <w:i/>
          <w:iCs/>
          <w:sz w:val="24"/>
          <w:szCs w:val="24"/>
        </w:rPr>
      </w:pPr>
    </w:p>
    <w:p w:rsidR="00A23F2A" w:rsidRDefault="00A23F2A" w:rsidP="006A09FF">
      <w:pPr>
        <w:autoSpaceDE w:val="0"/>
        <w:autoSpaceDN w:val="0"/>
        <w:adjustRightInd w:val="0"/>
        <w:spacing w:after="0" w:line="240" w:lineRule="auto"/>
        <w:jc w:val="both"/>
        <w:rPr>
          <w:rFonts w:asciiTheme="majorBidi" w:hAnsiTheme="majorBidi" w:cstheme="majorBidi"/>
          <w:b/>
          <w:bCs/>
          <w:i/>
          <w:iCs/>
          <w:sz w:val="24"/>
          <w:szCs w:val="24"/>
        </w:rPr>
      </w:pPr>
    </w:p>
    <w:p w:rsidR="0067582E" w:rsidRPr="007148EE" w:rsidRDefault="00015E00" w:rsidP="007148EE">
      <w:pPr>
        <w:pStyle w:val="Paragraphedeliste"/>
        <w:numPr>
          <w:ilvl w:val="3"/>
          <w:numId w:val="12"/>
        </w:numPr>
        <w:autoSpaceDE w:val="0"/>
        <w:autoSpaceDN w:val="0"/>
        <w:adjustRightInd w:val="0"/>
        <w:spacing w:after="0" w:line="360" w:lineRule="auto"/>
        <w:jc w:val="both"/>
        <w:rPr>
          <w:rFonts w:asciiTheme="majorBidi" w:hAnsiTheme="majorBidi" w:cstheme="majorBidi"/>
          <w:b/>
          <w:bCs/>
          <w:sz w:val="24"/>
          <w:szCs w:val="24"/>
        </w:rPr>
      </w:pPr>
      <w:r w:rsidRPr="00EB3674">
        <w:rPr>
          <w:rFonts w:asciiTheme="majorBidi" w:hAnsiTheme="majorBidi" w:cstheme="majorBidi"/>
          <w:b/>
          <w:bCs/>
          <w:sz w:val="24"/>
          <w:szCs w:val="24"/>
        </w:rPr>
        <w:lastRenderedPageBreak/>
        <w:t xml:space="preserve">La charge de capital pour le risque de souscription non vie </w:t>
      </w:r>
    </w:p>
    <w:p w:rsidR="00515EED" w:rsidRDefault="0034034A" w:rsidP="006A09F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515EED" w:rsidRPr="00515EED">
        <w:rPr>
          <w:rFonts w:asciiTheme="majorBidi" w:hAnsiTheme="majorBidi" w:cstheme="majorBidi"/>
          <w:sz w:val="24"/>
          <w:szCs w:val="24"/>
        </w:rPr>
        <w:t>Le risque de souscription non vie (</w:t>
      </w:r>
      <w:r w:rsidR="00E37149">
        <w:rPr>
          <w:rFonts w:asciiTheme="majorBidi" w:hAnsiTheme="majorBidi" w:cstheme="majorBidi"/>
          <w:b/>
          <w:bCs/>
          <w:sz w:val="24"/>
          <w:szCs w:val="24"/>
        </w:rPr>
        <w:t>SCR</w:t>
      </w:r>
      <w:r w:rsidR="00E37149" w:rsidRPr="00E37149">
        <w:rPr>
          <w:rFonts w:asciiTheme="majorBidi" w:hAnsiTheme="majorBidi" w:cstheme="majorBidi"/>
          <w:b/>
          <w:bCs/>
          <w:sz w:val="24"/>
          <w:szCs w:val="24"/>
          <w:vertAlign w:val="subscript"/>
        </w:rPr>
        <w:t>NV</w:t>
      </w:r>
      <w:r w:rsidR="00515EED" w:rsidRPr="00515EED">
        <w:rPr>
          <w:rFonts w:asciiTheme="majorBidi" w:hAnsiTheme="majorBidi" w:cstheme="majorBidi"/>
          <w:sz w:val="24"/>
          <w:szCs w:val="24"/>
        </w:rPr>
        <w:t xml:space="preserve">) est le risque d’assurance spécifique résultant des contrats d'assurance. Il fait référence à l'incertitude concernant les résultats de la souscription de l'assureur. Cela comprend </w:t>
      </w:r>
      <w:r w:rsidR="00A27064">
        <w:rPr>
          <w:rFonts w:asciiTheme="majorBidi" w:hAnsiTheme="majorBidi" w:cstheme="majorBidi"/>
          <w:sz w:val="24"/>
          <w:szCs w:val="24"/>
        </w:rPr>
        <w:t xml:space="preserve">l'incertitude au </w:t>
      </w:r>
      <w:proofErr w:type="gramStart"/>
      <w:r w:rsidR="00A27064">
        <w:rPr>
          <w:rFonts w:asciiTheme="majorBidi" w:hAnsiTheme="majorBidi" w:cstheme="majorBidi"/>
          <w:sz w:val="24"/>
          <w:szCs w:val="24"/>
        </w:rPr>
        <w:t>niveau</w:t>
      </w:r>
      <w:r w:rsidR="00515EED" w:rsidRPr="00515EED">
        <w:rPr>
          <w:rFonts w:asciiTheme="majorBidi" w:hAnsiTheme="majorBidi" w:cstheme="majorBidi"/>
          <w:sz w:val="24"/>
          <w:szCs w:val="24"/>
        </w:rPr>
        <w:t>:</w:t>
      </w:r>
      <w:proofErr w:type="gramEnd"/>
    </w:p>
    <w:p w:rsidR="0002150B" w:rsidRPr="00515EED" w:rsidRDefault="0002150B" w:rsidP="0002150B">
      <w:pPr>
        <w:autoSpaceDE w:val="0"/>
        <w:autoSpaceDN w:val="0"/>
        <w:adjustRightInd w:val="0"/>
        <w:spacing w:after="0" w:line="240" w:lineRule="auto"/>
        <w:jc w:val="both"/>
        <w:rPr>
          <w:rFonts w:asciiTheme="majorBidi" w:hAnsiTheme="majorBidi" w:cstheme="majorBidi"/>
          <w:sz w:val="24"/>
          <w:szCs w:val="24"/>
        </w:rPr>
      </w:pPr>
    </w:p>
    <w:p w:rsidR="00515EED" w:rsidRPr="00515EED" w:rsidRDefault="00515EED" w:rsidP="0034034A">
      <w:pPr>
        <w:autoSpaceDE w:val="0"/>
        <w:autoSpaceDN w:val="0"/>
        <w:adjustRightInd w:val="0"/>
        <w:spacing w:after="0" w:line="360" w:lineRule="auto"/>
        <w:jc w:val="both"/>
        <w:rPr>
          <w:rFonts w:asciiTheme="majorBidi" w:hAnsiTheme="majorBidi" w:cstheme="majorBidi"/>
          <w:sz w:val="24"/>
          <w:szCs w:val="24"/>
        </w:rPr>
      </w:pPr>
      <w:r w:rsidRPr="00515EED">
        <w:rPr>
          <w:rFonts w:asciiTheme="majorBidi" w:hAnsiTheme="majorBidi" w:cstheme="majorBidi"/>
          <w:sz w:val="24"/>
          <w:szCs w:val="24"/>
        </w:rPr>
        <w:t>- du montant et des délais d’éventuels règlements de sinistres en relation avec les passifs existants ;</w:t>
      </w:r>
    </w:p>
    <w:p w:rsidR="00515EED" w:rsidRPr="00515EED" w:rsidRDefault="00A258F0" w:rsidP="0034034A">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du volume </w:t>
      </w:r>
      <w:r w:rsidR="00ED461D">
        <w:rPr>
          <w:rFonts w:asciiTheme="majorBidi" w:hAnsiTheme="majorBidi" w:cstheme="majorBidi"/>
          <w:sz w:val="24"/>
          <w:szCs w:val="24"/>
        </w:rPr>
        <w:t>d’affaire</w:t>
      </w:r>
      <w:r w:rsidR="00515EED" w:rsidRPr="00515EED">
        <w:rPr>
          <w:rFonts w:asciiTheme="majorBidi" w:hAnsiTheme="majorBidi" w:cstheme="majorBidi"/>
          <w:sz w:val="24"/>
          <w:szCs w:val="24"/>
        </w:rPr>
        <w:t xml:space="preserve"> à souscrire et des taux de primes auxquels le contrat sera souscrit ;</w:t>
      </w:r>
    </w:p>
    <w:p w:rsidR="00D72A1F" w:rsidRDefault="00515EED" w:rsidP="00F91E2B">
      <w:pPr>
        <w:autoSpaceDE w:val="0"/>
        <w:autoSpaceDN w:val="0"/>
        <w:adjustRightInd w:val="0"/>
        <w:spacing w:after="0" w:line="360" w:lineRule="auto"/>
        <w:jc w:val="both"/>
        <w:rPr>
          <w:rFonts w:asciiTheme="majorBidi" w:hAnsiTheme="majorBidi" w:cstheme="majorBidi"/>
          <w:sz w:val="24"/>
          <w:szCs w:val="24"/>
        </w:rPr>
      </w:pPr>
      <w:r w:rsidRPr="00515EED">
        <w:rPr>
          <w:rFonts w:asciiTheme="majorBidi" w:hAnsiTheme="majorBidi" w:cstheme="majorBidi"/>
          <w:sz w:val="24"/>
          <w:szCs w:val="24"/>
        </w:rPr>
        <w:t>- des taux de prime qui seraient nécessaire</w:t>
      </w:r>
      <w:r w:rsidR="00ED461D">
        <w:rPr>
          <w:rFonts w:asciiTheme="majorBidi" w:hAnsiTheme="majorBidi" w:cstheme="majorBidi"/>
          <w:sz w:val="24"/>
          <w:szCs w:val="24"/>
        </w:rPr>
        <w:t>s pour couvrir les passifs engendrés par les affaires souscrites</w:t>
      </w:r>
      <w:r w:rsidRPr="00515EED">
        <w:rPr>
          <w:rFonts w:asciiTheme="majorBidi" w:hAnsiTheme="majorBidi" w:cstheme="majorBidi"/>
          <w:sz w:val="24"/>
          <w:szCs w:val="24"/>
        </w:rPr>
        <w:t xml:space="preserve"> souscrite.</w:t>
      </w:r>
      <w:r w:rsidR="00191130">
        <w:rPr>
          <w:rFonts w:asciiTheme="majorBidi" w:hAnsiTheme="majorBidi" w:cstheme="majorBidi"/>
          <w:sz w:val="24"/>
          <w:szCs w:val="24"/>
        </w:rPr>
        <w:t xml:space="preserve"> </w:t>
      </w:r>
      <w:r w:rsidR="008C3488">
        <w:rPr>
          <w:rFonts w:asciiTheme="majorBidi" w:hAnsiTheme="majorBidi" w:cstheme="majorBidi"/>
          <w:sz w:val="24"/>
          <w:szCs w:val="24"/>
        </w:rPr>
        <w:t>(CEIOPS QIS 5)</w:t>
      </w:r>
      <w:r w:rsidR="00F91E2B">
        <w:rPr>
          <w:rFonts w:asciiTheme="majorBidi" w:hAnsiTheme="majorBidi" w:cstheme="majorBidi"/>
          <w:sz w:val="24"/>
          <w:szCs w:val="24"/>
        </w:rPr>
        <w:t>.</w:t>
      </w:r>
    </w:p>
    <w:p w:rsidR="0067582E" w:rsidRPr="00515EED" w:rsidRDefault="0067582E" w:rsidP="0067582E">
      <w:pPr>
        <w:autoSpaceDE w:val="0"/>
        <w:autoSpaceDN w:val="0"/>
        <w:adjustRightInd w:val="0"/>
        <w:spacing w:after="0" w:line="240" w:lineRule="auto"/>
        <w:jc w:val="both"/>
        <w:rPr>
          <w:rFonts w:asciiTheme="majorBidi" w:hAnsiTheme="majorBidi" w:cstheme="majorBidi"/>
          <w:sz w:val="24"/>
          <w:szCs w:val="24"/>
        </w:rPr>
      </w:pPr>
    </w:p>
    <w:p w:rsidR="008C3488" w:rsidRDefault="0034034A" w:rsidP="00F91E2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515EED" w:rsidRPr="00515EED">
        <w:rPr>
          <w:rFonts w:asciiTheme="majorBidi" w:hAnsiTheme="majorBidi" w:cstheme="majorBidi"/>
          <w:sz w:val="24"/>
          <w:szCs w:val="24"/>
        </w:rPr>
        <w:t>La charge de capital pour le risque de souscription est déterminée en fonction des charges de</w:t>
      </w:r>
      <w:r w:rsidR="00D44429">
        <w:rPr>
          <w:rFonts w:asciiTheme="majorBidi" w:hAnsiTheme="majorBidi" w:cstheme="majorBidi"/>
          <w:sz w:val="24"/>
          <w:szCs w:val="24"/>
        </w:rPr>
        <w:t xml:space="preserve"> capital pour le risque de tarification et de provisionnement</w:t>
      </w:r>
      <w:r w:rsidR="00515EED" w:rsidRPr="00515EED">
        <w:rPr>
          <w:rFonts w:asciiTheme="majorBidi" w:hAnsiTheme="majorBidi" w:cstheme="majorBidi"/>
          <w:sz w:val="24"/>
          <w:szCs w:val="24"/>
        </w:rPr>
        <w:t xml:space="preserve"> et la charge de capital pour le risque des catastrophe</w:t>
      </w:r>
      <w:r>
        <w:rPr>
          <w:rFonts w:asciiTheme="majorBidi" w:hAnsiTheme="majorBidi" w:cstheme="majorBidi"/>
          <w:sz w:val="24"/>
          <w:szCs w:val="24"/>
        </w:rPr>
        <w:t>s, ainsi que le risque de rupture du contrat</w:t>
      </w:r>
      <w:r w:rsidR="00515EED" w:rsidRPr="00515EED">
        <w:rPr>
          <w:rFonts w:asciiTheme="majorBidi" w:hAnsiTheme="majorBidi" w:cstheme="majorBidi"/>
          <w:sz w:val="24"/>
          <w:szCs w:val="24"/>
        </w:rPr>
        <w:t xml:space="preserve">. </w:t>
      </w:r>
      <w:r w:rsidR="00D72A1F">
        <w:rPr>
          <w:rFonts w:asciiTheme="majorBidi" w:hAnsiTheme="majorBidi" w:cstheme="majorBidi"/>
          <w:sz w:val="24"/>
          <w:szCs w:val="24"/>
        </w:rPr>
        <w:t>Seuls les risques de prime et de réserve qui seront traités.</w:t>
      </w:r>
    </w:p>
    <w:p w:rsidR="0067582E" w:rsidRDefault="0067582E" w:rsidP="0067582E">
      <w:pPr>
        <w:autoSpaceDE w:val="0"/>
        <w:autoSpaceDN w:val="0"/>
        <w:adjustRightInd w:val="0"/>
        <w:spacing w:after="0" w:line="240" w:lineRule="auto"/>
        <w:jc w:val="both"/>
        <w:rPr>
          <w:rFonts w:asciiTheme="majorBidi" w:hAnsiTheme="majorBidi" w:cstheme="majorBidi"/>
          <w:sz w:val="24"/>
          <w:szCs w:val="24"/>
        </w:rPr>
      </w:pPr>
    </w:p>
    <w:p w:rsidR="008C3488" w:rsidRPr="00770868" w:rsidRDefault="00D44429" w:rsidP="00770868">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008C3488">
        <w:rPr>
          <w:rFonts w:asciiTheme="majorBidi" w:hAnsiTheme="majorBidi" w:cstheme="majorBidi"/>
          <w:sz w:val="24"/>
          <w:szCs w:val="24"/>
        </w:rPr>
        <w:t xml:space="preserve"> </w:t>
      </w:r>
      <w:r w:rsidR="00770868" w:rsidRPr="00770868">
        <w:rPr>
          <w:rFonts w:asciiTheme="majorBidi" w:hAnsiTheme="majorBidi" w:cstheme="majorBidi"/>
          <w:sz w:val="24"/>
          <w:szCs w:val="24"/>
        </w:rPr>
        <w:t>Le risque de tarification relève du fait que les montants de dépenses et de sinistres puissent être supérieurs aux primes perçues. Ce risque se manifeste naturellement dès l’émission du contrat, mais aussi avant sa souscription, compte tenu de l’incertitude, existante par rapport aux taux de prime appliqués et aux volumes des affaires souscrites</w:t>
      </w:r>
      <w:r w:rsidR="00E90CA6" w:rsidRPr="00770868">
        <w:rPr>
          <w:rFonts w:asciiTheme="majorBidi" w:hAnsiTheme="majorBidi" w:cstheme="majorBidi"/>
          <w:sz w:val="24"/>
          <w:szCs w:val="24"/>
        </w:rPr>
        <w:t xml:space="preserve"> </w:t>
      </w:r>
    </w:p>
    <w:p w:rsidR="0067582E" w:rsidRDefault="0067582E" w:rsidP="0067582E">
      <w:pPr>
        <w:autoSpaceDE w:val="0"/>
        <w:autoSpaceDN w:val="0"/>
        <w:adjustRightInd w:val="0"/>
        <w:spacing w:after="0" w:line="240" w:lineRule="auto"/>
        <w:jc w:val="both"/>
        <w:rPr>
          <w:rFonts w:asciiTheme="majorBidi" w:hAnsiTheme="majorBidi" w:cstheme="majorBidi"/>
          <w:sz w:val="24"/>
          <w:szCs w:val="24"/>
        </w:rPr>
      </w:pPr>
    </w:p>
    <w:p w:rsidR="008C3488" w:rsidRDefault="00D44429" w:rsidP="008C3488">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t>Le risque de tarification</w:t>
      </w:r>
      <w:r w:rsidR="008C3488">
        <w:rPr>
          <w:rFonts w:asciiTheme="majorBidi" w:hAnsiTheme="majorBidi" w:cstheme="majorBidi"/>
          <w:sz w:val="24"/>
          <w:szCs w:val="24"/>
        </w:rPr>
        <w:t xml:space="preserve"> concerne les contrats à souscrire (y compris les renouvellements), ainsi que le risque en cours pour les contrats existants. </w:t>
      </w:r>
    </w:p>
    <w:p w:rsidR="0067582E" w:rsidRDefault="0067582E" w:rsidP="0067582E">
      <w:pPr>
        <w:autoSpaceDE w:val="0"/>
        <w:autoSpaceDN w:val="0"/>
        <w:adjustRightInd w:val="0"/>
        <w:spacing w:after="0" w:line="240" w:lineRule="auto"/>
        <w:jc w:val="both"/>
        <w:rPr>
          <w:rFonts w:asciiTheme="majorBidi" w:hAnsiTheme="majorBidi" w:cstheme="majorBidi"/>
          <w:sz w:val="24"/>
          <w:szCs w:val="24"/>
        </w:rPr>
      </w:pPr>
    </w:p>
    <w:p w:rsidR="002A5554" w:rsidRPr="00365C21" w:rsidRDefault="008C3488" w:rsidP="00365C21">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365C21" w:rsidRPr="00365C21">
        <w:rPr>
          <w:rFonts w:asciiTheme="majorBidi" w:hAnsiTheme="majorBidi" w:cstheme="majorBidi"/>
          <w:sz w:val="24"/>
          <w:szCs w:val="24"/>
        </w:rPr>
        <w:t>Le risque de provisionnement provient de la sous-estimation du montant des provisions pour sinistres et du caractère aléatoire des règlements futurs des sinistres.</w:t>
      </w:r>
    </w:p>
    <w:p w:rsidR="00BF7849" w:rsidRDefault="00692C73" w:rsidP="00F03BE8">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84864" behindDoc="0" locked="0" layoutInCell="1" allowOverlap="1">
            <wp:simplePos x="0" y="0"/>
            <wp:positionH relativeFrom="column">
              <wp:posOffset>2300605</wp:posOffset>
            </wp:positionH>
            <wp:positionV relativeFrom="paragraph">
              <wp:posOffset>354330</wp:posOffset>
            </wp:positionV>
            <wp:extent cx="1171575" cy="228600"/>
            <wp:effectExtent l="19050" t="0" r="9525" b="0"/>
            <wp:wrapTopAndBottom/>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71575" cy="228600"/>
                    </a:xfrm>
                    <a:prstGeom prst="rect">
                      <a:avLst/>
                    </a:prstGeom>
                    <a:noFill/>
                    <a:ln w="9525">
                      <a:noFill/>
                      <a:miter lim="800000"/>
                      <a:headEnd/>
                      <a:tailEnd/>
                    </a:ln>
                  </pic:spPr>
                </pic:pic>
              </a:graphicData>
            </a:graphic>
          </wp:anchor>
        </w:drawing>
      </w:r>
      <w:r w:rsidR="002A5554">
        <w:rPr>
          <w:rFonts w:asciiTheme="majorBidi" w:hAnsiTheme="majorBidi" w:cstheme="majorBidi"/>
          <w:sz w:val="24"/>
          <w:szCs w:val="24"/>
        </w:rPr>
        <w:t xml:space="preserve">Le </w:t>
      </w:r>
      <w:r w:rsidR="00623CC7">
        <w:rPr>
          <w:rFonts w:asciiTheme="majorBidi" w:hAnsiTheme="majorBidi" w:cstheme="majorBidi"/>
          <w:sz w:val="24"/>
          <w:szCs w:val="24"/>
        </w:rPr>
        <w:t xml:space="preserve">calcul de la charge de capital pour les risques de prime et de réserve se fait comme </w:t>
      </w:r>
      <w:proofErr w:type="gramStart"/>
      <w:r w:rsidR="00623CC7">
        <w:rPr>
          <w:rFonts w:asciiTheme="majorBidi" w:hAnsiTheme="majorBidi" w:cstheme="majorBidi"/>
          <w:sz w:val="24"/>
          <w:szCs w:val="24"/>
        </w:rPr>
        <w:t>suit:</w:t>
      </w:r>
      <w:proofErr w:type="gramEnd"/>
      <w:r w:rsidR="00623CC7">
        <w:rPr>
          <w:rFonts w:asciiTheme="majorBidi" w:hAnsiTheme="majorBidi" w:cstheme="majorBidi"/>
          <w:sz w:val="24"/>
          <w:szCs w:val="24"/>
        </w:rPr>
        <w:t xml:space="preserve">  </w:t>
      </w:r>
      <w:r w:rsidR="001464D9">
        <w:rPr>
          <w:rFonts w:asciiTheme="majorBidi" w:hAnsiTheme="majorBidi" w:cstheme="majorBidi"/>
          <w:sz w:val="24"/>
          <w:szCs w:val="24"/>
        </w:rPr>
        <w:t xml:space="preserve">  </w:t>
      </w:r>
    </w:p>
    <w:p w:rsidR="008C3488" w:rsidRDefault="00623CC7" w:rsidP="00692C73">
      <w:pPr>
        <w:tabs>
          <w:tab w:val="left" w:pos="0"/>
        </w:tabs>
        <w:autoSpaceDE w:val="0"/>
        <w:autoSpaceDN w:val="0"/>
        <w:adjustRightInd w:val="0"/>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NL</w:t>
      </w:r>
      <w:r>
        <w:rPr>
          <w:rFonts w:asciiTheme="majorBidi" w:hAnsiTheme="majorBidi" w:cstheme="majorBidi"/>
          <w:sz w:val="24"/>
          <w:szCs w:val="24"/>
          <w:vertAlign w:val="subscript"/>
        </w:rPr>
        <w:t>pr</w:t>
      </w:r>
      <w:proofErr w:type="spellEnd"/>
      <w:r w:rsidR="00796201">
        <w:rPr>
          <w:rFonts w:asciiTheme="majorBidi" w:hAnsiTheme="majorBidi" w:cstheme="majorBidi"/>
          <w:sz w:val="24"/>
          <w:szCs w:val="24"/>
          <w:vertAlign w:val="subscript"/>
        </w:rPr>
        <w:t xml:space="preserve">    </w:t>
      </w:r>
      <w:r>
        <w:rPr>
          <w:rFonts w:asciiTheme="majorBidi" w:hAnsiTheme="majorBidi" w:cstheme="majorBidi"/>
          <w:sz w:val="24"/>
          <w:szCs w:val="24"/>
        </w:rPr>
        <w:t> : La charge de</w:t>
      </w:r>
      <w:r w:rsidR="00940850">
        <w:rPr>
          <w:rFonts w:asciiTheme="majorBidi" w:hAnsiTheme="majorBidi" w:cstheme="majorBidi"/>
          <w:sz w:val="24"/>
          <w:szCs w:val="24"/>
        </w:rPr>
        <w:t xml:space="preserve"> capital pour le risque de tarification</w:t>
      </w:r>
      <w:r>
        <w:rPr>
          <w:rFonts w:asciiTheme="majorBidi" w:hAnsiTheme="majorBidi" w:cstheme="majorBidi"/>
          <w:sz w:val="24"/>
          <w:szCs w:val="24"/>
        </w:rPr>
        <w:t xml:space="preserve"> et le risque de </w:t>
      </w:r>
      <w:r w:rsidR="00940850">
        <w:rPr>
          <w:rFonts w:asciiTheme="majorBidi" w:hAnsiTheme="majorBidi" w:cstheme="majorBidi"/>
          <w:sz w:val="24"/>
          <w:szCs w:val="24"/>
        </w:rPr>
        <w:t>provisionnement</w:t>
      </w:r>
      <w:r>
        <w:rPr>
          <w:rFonts w:asciiTheme="majorBidi" w:hAnsiTheme="majorBidi" w:cstheme="majorBidi"/>
          <w:sz w:val="24"/>
          <w:szCs w:val="24"/>
        </w:rPr>
        <w:t>.</w:t>
      </w:r>
    </w:p>
    <w:p w:rsidR="00CB6563" w:rsidRDefault="00623CC7" w:rsidP="008C3488">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V</w:t>
      </w:r>
      <w:r w:rsidR="00796201">
        <w:rPr>
          <w:rFonts w:asciiTheme="majorBidi" w:hAnsiTheme="majorBidi" w:cstheme="majorBidi"/>
          <w:sz w:val="24"/>
          <w:szCs w:val="24"/>
        </w:rPr>
        <w:t xml:space="preserve">        </w:t>
      </w:r>
      <w:r>
        <w:rPr>
          <w:rFonts w:asciiTheme="majorBidi" w:hAnsiTheme="majorBidi" w:cstheme="majorBidi"/>
          <w:sz w:val="24"/>
          <w:szCs w:val="24"/>
        </w:rPr>
        <w:t> :</w:t>
      </w:r>
      <w:r w:rsidR="0094759D">
        <w:rPr>
          <w:rFonts w:asciiTheme="majorBidi" w:hAnsiTheme="majorBidi" w:cstheme="majorBidi"/>
          <w:sz w:val="24"/>
          <w:szCs w:val="24"/>
        </w:rPr>
        <w:t xml:space="preserve"> L</w:t>
      </w:r>
      <w:r w:rsidR="00CB6563">
        <w:rPr>
          <w:rFonts w:asciiTheme="majorBidi" w:hAnsiTheme="majorBidi" w:cstheme="majorBidi"/>
          <w:sz w:val="24"/>
          <w:szCs w:val="24"/>
        </w:rPr>
        <w:t xml:space="preserve">a mesure du volume de risque </w:t>
      </w:r>
      <w:r w:rsidR="00940850">
        <w:rPr>
          <w:rFonts w:asciiTheme="majorBidi" w:hAnsiTheme="majorBidi" w:cstheme="majorBidi"/>
          <w:sz w:val="24"/>
          <w:szCs w:val="24"/>
        </w:rPr>
        <w:t>de tarification et de provisionnement</w:t>
      </w:r>
      <w:r w:rsidR="0094759D">
        <w:rPr>
          <w:rFonts w:asciiTheme="majorBidi" w:hAnsiTheme="majorBidi" w:cstheme="majorBidi"/>
          <w:sz w:val="24"/>
          <w:szCs w:val="24"/>
        </w:rPr>
        <w:t>.</w:t>
      </w:r>
    </w:p>
    <w:p w:rsidR="0073750E" w:rsidRDefault="00CB6563" w:rsidP="0090405D">
      <w:pPr>
        <w:pStyle w:val="Paragraphedeliste"/>
        <w:numPr>
          <w:ilvl w:val="0"/>
          <w:numId w:val="11"/>
        </w:numPr>
        <w:tabs>
          <w:tab w:val="clear" w:pos="720"/>
          <w:tab w:val="num" w:pos="0"/>
        </w:tabs>
        <w:autoSpaceDE w:val="0"/>
        <w:autoSpaceDN w:val="0"/>
        <w:adjustRightInd w:val="0"/>
        <w:spacing w:after="0" w:line="360" w:lineRule="auto"/>
        <w:ind w:left="0" w:firstLine="0"/>
        <w:jc w:val="both"/>
        <w:rPr>
          <w:rFonts w:asciiTheme="majorBidi" w:hAnsiTheme="majorBidi" w:cstheme="majorBidi"/>
          <w:sz w:val="24"/>
          <w:szCs w:val="24"/>
        </w:rPr>
      </w:pPr>
      <w:r w:rsidRPr="00796201">
        <w:rPr>
          <w:rFonts w:asciiTheme="majorBidi" w:hAnsiTheme="majorBidi" w:cstheme="majorBidi"/>
          <w:sz w:val="24"/>
          <w:szCs w:val="24"/>
        </w:rPr>
        <w:t>: La déviation du ratio combiné du portefeuille.</w:t>
      </w:r>
    </w:p>
    <w:p w:rsidR="0090405D" w:rsidRDefault="00E02E70" w:rsidP="0090405D">
      <w:pPr>
        <w:tabs>
          <w:tab w:val="num" w:pos="0"/>
        </w:tabs>
        <w:autoSpaceDE w:val="0"/>
        <w:autoSpaceDN w:val="0"/>
        <w:adjustRightInd w:val="0"/>
        <w:spacing w:after="0" w:line="360" w:lineRule="auto"/>
        <w:jc w:val="both"/>
        <w:rPr>
          <w:rFonts w:ascii="TimesNewRomanPSMT" w:hAnsi="TimesNewRomanPSMT" w:cs="TimesNewRomanPSMT"/>
          <w:sz w:val="21"/>
          <w:szCs w:val="21"/>
        </w:rPr>
      </w:pPr>
      <w:r>
        <w:rPr>
          <w:rFonts w:asciiTheme="majorBidi" w:hAnsiTheme="majorBidi" w:cstheme="majorBidi"/>
          <w:noProof/>
          <w:sz w:val="24"/>
          <w:szCs w:val="24"/>
        </w:rPr>
        <w:drawing>
          <wp:anchor distT="0" distB="0" distL="114300" distR="114300" simplePos="0" relativeHeight="251685888" behindDoc="0" locked="0" layoutInCell="1" allowOverlap="1">
            <wp:simplePos x="0" y="0"/>
            <wp:positionH relativeFrom="column">
              <wp:posOffset>1586230</wp:posOffset>
            </wp:positionH>
            <wp:positionV relativeFrom="paragraph">
              <wp:posOffset>278130</wp:posOffset>
            </wp:positionV>
            <wp:extent cx="2428875" cy="400050"/>
            <wp:effectExtent l="19050" t="0" r="9525" b="0"/>
            <wp:wrapTopAndBottom/>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srcRect/>
                    <a:stretch>
                      <a:fillRect/>
                    </a:stretch>
                  </pic:blipFill>
                  <pic:spPr bwMode="auto">
                    <a:xfrm>
                      <a:off x="0" y="0"/>
                      <a:ext cx="2428875" cy="400050"/>
                    </a:xfrm>
                    <a:prstGeom prst="rect">
                      <a:avLst/>
                    </a:prstGeom>
                    <a:noFill/>
                    <a:ln w="9525">
                      <a:noFill/>
                      <a:miter lim="800000"/>
                      <a:headEnd/>
                      <a:tailEnd/>
                    </a:ln>
                  </pic:spPr>
                </pic:pic>
              </a:graphicData>
            </a:graphic>
          </wp:anchor>
        </w:drawing>
      </w:r>
      <w:proofErr w:type="gramStart"/>
      <w:r w:rsidR="0090405D" w:rsidRPr="00A25381">
        <w:rPr>
          <w:rFonts w:asciiTheme="majorBidi" w:hAnsiTheme="majorBidi" w:cstheme="majorBidi"/>
          <w:sz w:val="24"/>
          <w:szCs w:val="24"/>
        </w:rPr>
        <w:t>ρ</w:t>
      </w:r>
      <w:proofErr w:type="gramEnd"/>
      <w:r w:rsidR="0090405D" w:rsidRPr="00A25381">
        <w:rPr>
          <w:rFonts w:asciiTheme="majorBidi" w:hAnsiTheme="majorBidi" w:cstheme="majorBidi"/>
          <w:sz w:val="24"/>
          <w:szCs w:val="24"/>
        </w:rPr>
        <w:t xml:space="preserve"> (σ)</w:t>
      </w:r>
      <w:r w:rsidR="0090405D">
        <w:rPr>
          <w:rFonts w:ascii="TimesNewRomanPSMT" w:hAnsi="TimesNewRomanPSMT" w:cs="TimesNewRomanPSMT"/>
          <w:sz w:val="21"/>
          <w:szCs w:val="21"/>
        </w:rPr>
        <w:t xml:space="preserve">   </w:t>
      </w:r>
      <w:r w:rsidR="0067582E">
        <w:rPr>
          <w:rFonts w:ascii="TimesNewRomanPSMT" w:hAnsi="TimesNewRomanPSMT" w:cs="TimesNewRomanPSMT"/>
          <w:sz w:val="21"/>
          <w:szCs w:val="21"/>
        </w:rPr>
        <w:t>: La</w:t>
      </w:r>
      <w:r w:rsidR="0090405D" w:rsidRPr="0090405D">
        <w:rPr>
          <w:rFonts w:asciiTheme="majorBidi" w:hAnsiTheme="majorBidi" w:cstheme="majorBidi"/>
          <w:sz w:val="24"/>
          <w:szCs w:val="24"/>
        </w:rPr>
        <w:t xml:space="preserve"> fonction de la déviation standard</w:t>
      </w:r>
      <w:r w:rsidR="00A25381">
        <w:rPr>
          <w:rFonts w:asciiTheme="majorBidi" w:hAnsiTheme="majorBidi" w:cstheme="majorBidi"/>
          <w:sz w:val="24"/>
          <w:szCs w:val="24"/>
        </w:rPr>
        <w:t>.</w:t>
      </w:r>
      <w:r w:rsidR="0090405D">
        <w:rPr>
          <w:rFonts w:ascii="TimesNewRomanPSMT" w:hAnsi="TimesNewRomanPSMT" w:cs="TimesNewRomanPSMT"/>
          <w:sz w:val="21"/>
          <w:szCs w:val="21"/>
        </w:rPr>
        <w:t xml:space="preserve"> </w:t>
      </w:r>
      <w:r w:rsidRPr="001F1E0D">
        <w:rPr>
          <w:rFonts w:asciiTheme="majorBidi" w:hAnsiTheme="majorBidi" w:cstheme="majorBidi"/>
          <w:sz w:val="24"/>
          <w:szCs w:val="24"/>
        </w:rPr>
        <w:t>Elle est spécifiée par :</w:t>
      </w:r>
    </w:p>
    <w:p w:rsidR="00A25381" w:rsidRDefault="001F1E0D" w:rsidP="0067582E">
      <w:pPr>
        <w:tabs>
          <w:tab w:val="num" w:pos="0"/>
        </w:tabs>
        <w:autoSpaceDE w:val="0"/>
        <w:autoSpaceDN w:val="0"/>
        <w:adjustRightInd w:val="0"/>
        <w:spacing w:after="0" w:line="360" w:lineRule="auto"/>
        <w:rPr>
          <w:rFonts w:ascii="TimesNewRomanPSMT" w:hAnsi="TimesNewRomanPSMT" w:cs="TimesNewRomanPSMT"/>
          <w:sz w:val="21"/>
          <w:szCs w:val="21"/>
        </w:rPr>
      </w:pPr>
      <w:r>
        <w:rPr>
          <w:rFonts w:ascii="TimesNewRomanPSMT" w:hAnsi="TimesNewRomanPSMT" w:cs="TimesNewRomanPSMT"/>
          <w:sz w:val="21"/>
          <w:szCs w:val="21"/>
        </w:rPr>
        <w:t xml:space="preserve">              </w:t>
      </w:r>
      <w:r w:rsidR="0067582E" w:rsidRPr="001F1E0D">
        <w:rPr>
          <w:rFonts w:asciiTheme="majorBidi" w:hAnsiTheme="majorBidi" w:cstheme="majorBidi"/>
          <w:sz w:val="24"/>
          <w:szCs w:val="24"/>
        </w:rPr>
        <w:t>Avec</w:t>
      </w:r>
      <w:r w:rsidRPr="001F1E0D">
        <w:rPr>
          <w:rFonts w:asciiTheme="majorBidi" w:hAnsiTheme="majorBidi" w:cstheme="majorBidi"/>
          <w:sz w:val="24"/>
          <w:szCs w:val="24"/>
        </w:rPr>
        <w:t xml:space="preserve"> </w:t>
      </w:r>
      <w:r w:rsidRPr="0087654F">
        <w:rPr>
          <w:rFonts w:asciiTheme="majorBidi" w:hAnsiTheme="majorBidi" w:cstheme="majorBidi"/>
          <w:b/>
          <w:bCs/>
          <w:sz w:val="24"/>
          <w:szCs w:val="24"/>
        </w:rPr>
        <w:t>N</w:t>
      </w:r>
      <w:r w:rsidRPr="0087654F">
        <w:rPr>
          <w:rFonts w:asciiTheme="majorBidi" w:hAnsiTheme="majorBidi" w:cstheme="majorBidi"/>
          <w:b/>
          <w:bCs/>
          <w:sz w:val="24"/>
          <w:szCs w:val="24"/>
          <w:vertAlign w:val="subscript"/>
        </w:rPr>
        <w:t>99.5</w:t>
      </w:r>
      <w:r w:rsidRPr="0067582E">
        <w:rPr>
          <w:rFonts w:asciiTheme="majorBidi" w:hAnsiTheme="majorBidi" w:cstheme="majorBidi"/>
          <w:sz w:val="24"/>
          <w:szCs w:val="24"/>
          <w:vertAlign w:val="subscript"/>
        </w:rPr>
        <w:t> </w:t>
      </w:r>
      <w:r w:rsidR="0067582E">
        <w:rPr>
          <w:rFonts w:asciiTheme="majorBidi" w:hAnsiTheme="majorBidi" w:cstheme="majorBidi"/>
          <w:sz w:val="24"/>
          <w:szCs w:val="24"/>
        </w:rPr>
        <w:t>: L</w:t>
      </w:r>
      <w:r w:rsidR="0067582E" w:rsidRPr="001F1E0D">
        <w:rPr>
          <w:rFonts w:asciiTheme="majorBidi" w:hAnsiTheme="majorBidi" w:cstheme="majorBidi"/>
          <w:sz w:val="24"/>
          <w:szCs w:val="24"/>
        </w:rPr>
        <w:t>e</w:t>
      </w:r>
      <w:r w:rsidRPr="001F1E0D">
        <w:rPr>
          <w:rFonts w:asciiTheme="majorBidi" w:hAnsiTheme="majorBidi" w:cstheme="majorBidi"/>
          <w:sz w:val="24"/>
          <w:szCs w:val="24"/>
        </w:rPr>
        <w:t xml:space="preserve"> </w:t>
      </w:r>
      <w:r w:rsidR="0067582E" w:rsidRPr="001F1E0D">
        <w:rPr>
          <w:rFonts w:asciiTheme="majorBidi" w:hAnsiTheme="majorBidi" w:cstheme="majorBidi"/>
          <w:sz w:val="24"/>
          <w:szCs w:val="24"/>
        </w:rPr>
        <w:t>quantile</w:t>
      </w:r>
      <w:r w:rsidR="0067582E">
        <w:rPr>
          <w:rFonts w:asciiTheme="majorBidi" w:hAnsiTheme="majorBidi" w:cstheme="majorBidi"/>
          <w:sz w:val="24"/>
          <w:szCs w:val="24"/>
        </w:rPr>
        <w:t xml:space="preserve"> 99.5% de la loi normal standard</w:t>
      </w:r>
      <w:r>
        <w:rPr>
          <w:rFonts w:ascii="TimesNewRomanPSMT" w:hAnsi="TimesNewRomanPSMT" w:cs="TimesNewRomanPSMT"/>
          <w:sz w:val="21"/>
          <w:szCs w:val="21"/>
        </w:rPr>
        <w:t xml:space="preserve"> </w:t>
      </w:r>
    </w:p>
    <w:p w:rsidR="0087654F" w:rsidRPr="0067582E" w:rsidRDefault="0087654F" w:rsidP="0087654F">
      <w:pPr>
        <w:tabs>
          <w:tab w:val="num" w:pos="0"/>
        </w:tabs>
        <w:autoSpaceDE w:val="0"/>
        <w:autoSpaceDN w:val="0"/>
        <w:adjustRightInd w:val="0"/>
        <w:spacing w:after="0" w:line="240" w:lineRule="auto"/>
        <w:rPr>
          <w:rFonts w:ascii="TimesNewRomanPSMT" w:hAnsi="TimesNewRomanPSMT" w:cs="TimesNewRomanPSMT"/>
          <w:sz w:val="21"/>
          <w:szCs w:val="21"/>
        </w:rPr>
      </w:pPr>
    </w:p>
    <w:p w:rsidR="0067582E" w:rsidRPr="0067582E" w:rsidRDefault="0073750E" w:rsidP="0067582E">
      <w:pPr>
        <w:pStyle w:val="Paragraphedeliste"/>
        <w:numPr>
          <w:ilvl w:val="0"/>
          <w:numId w:val="6"/>
        </w:numPr>
        <w:autoSpaceDE w:val="0"/>
        <w:autoSpaceDN w:val="0"/>
        <w:adjustRightInd w:val="0"/>
        <w:spacing w:after="0" w:line="360" w:lineRule="auto"/>
        <w:jc w:val="both"/>
        <w:rPr>
          <w:rFonts w:asciiTheme="majorBidi" w:hAnsiTheme="majorBidi" w:cstheme="majorBidi"/>
          <w:b/>
          <w:bCs/>
          <w:sz w:val="24"/>
          <w:szCs w:val="24"/>
        </w:rPr>
      </w:pPr>
      <w:r w:rsidRPr="0073750E">
        <w:rPr>
          <w:rFonts w:asciiTheme="majorBidi" w:hAnsiTheme="majorBidi" w:cstheme="majorBidi"/>
          <w:b/>
          <w:bCs/>
          <w:sz w:val="24"/>
          <w:szCs w:val="24"/>
        </w:rPr>
        <w:lastRenderedPageBreak/>
        <w:t xml:space="preserve">Le calcul de la mesure du </w:t>
      </w:r>
      <w:r w:rsidR="00940850">
        <w:rPr>
          <w:rFonts w:asciiTheme="majorBidi" w:hAnsiTheme="majorBidi" w:cstheme="majorBidi"/>
          <w:b/>
          <w:bCs/>
          <w:sz w:val="24"/>
          <w:szCs w:val="24"/>
        </w:rPr>
        <w:t xml:space="preserve">volume de risque de tarification </w:t>
      </w:r>
      <w:r w:rsidR="004634AC">
        <w:rPr>
          <w:rFonts w:asciiTheme="majorBidi" w:hAnsiTheme="majorBidi" w:cstheme="majorBidi"/>
          <w:b/>
          <w:bCs/>
          <w:sz w:val="24"/>
          <w:szCs w:val="24"/>
        </w:rPr>
        <w:t xml:space="preserve"> </w:t>
      </w:r>
    </w:p>
    <w:p w:rsidR="00424034" w:rsidRDefault="00424034" w:rsidP="0073750E">
      <w:pPr>
        <w:pStyle w:val="Paragraphedeliste"/>
        <w:autoSpaceDE w:val="0"/>
        <w:autoSpaceDN w:val="0"/>
        <w:adjustRightInd w:val="0"/>
        <w:spacing w:after="0" w:line="360" w:lineRule="auto"/>
        <w:ind w:left="0"/>
        <w:jc w:val="both"/>
        <w:rPr>
          <w:rFonts w:asciiTheme="majorBidi" w:hAnsiTheme="majorBidi" w:cstheme="majorBidi"/>
          <w:sz w:val="24"/>
          <w:szCs w:val="24"/>
        </w:rPr>
      </w:pPr>
      <w:proofErr w:type="spellStart"/>
      <w:r>
        <w:rPr>
          <w:rFonts w:asciiTheme="majorBidi" w:hAnsiTheme="majorBidi" w:cstheme="majorBidi"/>
          <w:b/>
          <w:bCs/>
          <w:sz w:val="24"/>
          <w:szCs w:val="24"/>
        </w:rPr>
        <w:t>V</w:t>
      </w:r>
      <w:r>
        <w:rPr>
          <w:rFonts w:asciiTheme="majorBidi" w:hAnsiTheme="majorBidi" w:cstheme="majorBidi"/>
          <w:b/>
          <w:bCs/>
          <w:sz w:val="24"/>
          <w:szCs w:val="24"/>
          <w:vertAlign w:val="subscript"/>
        </w:rPr>
        <w:t>prem</w:t>
      </w:r>
      <w:proofErr w:type="spellEnd"/>
      <w:r>
        <w:rPr>
          <w:rFonts w:asciiTheme="majorBidi" w:hAnsiTheme="majorBidi" w:cstheme="majorBidi"/>
          <w:b/>
          <w:bCs/>
          <w:sz w:val="24"/>
          <w:szCs w:val="24"/>
          <w:vertAlign w:val="subscript"/>
        </w:rPr>
        <w:t> </w:t>
      </w:r>
      <w:r>
        <w:rPr>
          <w:rFonts w:asciiTheme="majorBidi" w:hAnsiTheme="majorBidi" w:cstheme="majorBidi"/>
          <w:b/>
          <w:bCs/>
          <w:sz w:val="24"/>
          <w:szCs w:val="24"/>
        </w:rPr>
        <w:t>:</w:t>
      </w:r>
      <w:r>
        <w:rPr>
          <w:rFonts w:asciiTheme="majorBidi" w:hAnsiTheme="majorBidi" w:cstheme="majorBidi"/>
          <w:b/>
          <w:bCs/>
          <w:sz w:val="24"/>
          <w:szCs w:val="24"/>
          <w:vertAlign w:val="subscript"/>
        </w:rPr>
        <w:t xml:space="preserve"> </w:t>
      </w:r>
      <w:r w:rsidRPr="00424034">
        <w:rPr>
          <w:rFonts w:asciiTheme="majorBidi" w:hAnsiTheme="majorBidi" w:cstheme="majorBidi"/>
          <w:sz w:val="24"/>
          <w:szCs w:val="24"/>
        </w:rPr>
        <w:t>La mesur</w:t>
      </w:r>
      <w:r w:rsidR="00292179">
        <w:rPr>
          <w:rFonts w:asciiTheme="majorBidi" w:hAnsiTheme="majorBidi" w:cstheme="majorBidi"/>
          <w:sz w:val="24"/>
          <w:szCs w:val="24"/>
        </w:rPr>
        <w:t>e du volume de risque de tarification</w:t>
      </w:r>
    </w:p>
    <w:p w:rsidR="006A09FF" w:rsidRDefault="00424034" w:rsidP="0002150B">
      <w:pPr>
        <w:pStyle w:val="Paragraphedeliste"/>
        <w:autoSpaceDE w:val="0"/>
        <w:autoSpaceDN w:val="0"/>
        <w:adjustRightInd w:val="0"/>
        <w:spacing w:after="0" w:line="360" w:lineRule="auto"/>
        <w:ind w:left="0"/>
        <w:jc w:val="both"/>
        <w:rPr>
          <w:rFonts w:asciiTheme="majorBidi" w:hAnsiTheme="majorBidi" w:cstheme="majorBidi"/>
          <w:b/>
          <w:bCs/>
          <w:sz w:val="24"/>
          <w:szCs w:val="24"/>
          <w:vertAlign w:val="subscript"/>
        </w:rPr>
      </w:pPr>
      <w:proofErr w:type="spellStart"/>
      <w:r w:rsidRPr="006536FD">
        <w:rPr>
          <w:rFonts w:asciiTheme="majorBidi" w:hAnsiTheme="majorBidi" w:cstheme="majorBidi"/>
          <w:b/>
          <w:bCs/>
          <w:sz w:val="24"/>
          <w:szCs w:val="24"/>
        </w:rPr>
        <w:t>V</w:t>
      </w:r>
      <w:r w:rsidRPr="006536FD">
        <w:rPr>
          <w:rFonts w:asciiTheme="majorBidi" w:hAnsiTheme="majorBidi" w:cstheme="majorBidi"/>
          <w:b/>
          <w:bCs/>
          <w:sz w:val="24"/>
          <w:szCs w:val="24"/>
          <w:vertAlign w:val="subscript"/>
        </w:rPr>
        <w:t>prem</w:t>
      </w:r>
      <w:proofErr w:type="spellEnd"/>
      <w:r w:rsidRPr="00424034">
        <w:rPr>
          <w:rFonts w:asciiTheme="majorBidi" w:hAnsiTheme="majorBidi" w:cstheme="majorBidi"/>
          <w:b/>
          <w:bCs/>
          <w:sz w:val="24"/>
          <w:szCs w:val="24"/>
          <w:vertAlign w:val="subscript"/>
        </w:rPr>
        <w:t> </w:t>
      </w:r>
      <w:r>
        <w:rPr>
          <w:rFonts w:asciiTheme="majorBidi" w:hAnsiTheme="majorBidi" w:cstheme="majorBidi"/>
          <w:b/>
          <w:bCs/>
          <w:sz w:val="24"/>
          <w:szCs w:val="24"/>
        </w:rPr>
        <w:t>=</w:t>
      </w:r>
      <w:r w:rsidR="006536FD">
        <w:rPr>
          <w:rFonts w:asciiTheme="majorBidi" w:hAnsiTheme="majorBidi" w:cstheme="majorBidi"/>
          <w:b/>
          <w:bCs/>
          <w:sz w:val="24"/>
          <w:szCs w:val="24"/>
        </w:rPr>
        <w:t xml:space="preserve"> </w:t>
      </w:r>
      <w:r>
        <w:rPr>
          <w:rFonts w:asciiTheme="majorBidi" w:hAnsiTheme="majorBidi" w:cstheme="majorBidi"/>
          <w:b/>
          <w:bCs/>
          <w:sz w:val="24"/>
          <w:szCs w:val="24"/>
        </w:rPr>
        <w:t xml:space="preserve">Max </w:t>
      </w:r>
      <w:r w:rsidRPr="0067582E">
        <w:rPr>
          <w:rFonts w:asciiTheme="majorBidi" w:hAnsiTheme="majorBidi" w:cstheme="majorBidi"/>
          <w:sz w:val="24"/>
          <w:szCs w:val="24"/>
        </w:rPr>
        <w:t>(</w:t>
      </w:r>
      <w:r w:rsidR="006536FD" w:rsidRPr="0067582E">
        <w:rPr>
          <w:rFonts w:asciiTheme="majorBidi" w:hAnsiTheme="majorBidi" w:cstheme="majorBidi"/>
          <w:sz w:val="24"/>
          <w:szCs w:val="24"/>
        </w:rPr>
        <w:t xml:space="preserve">prime acquises </w:t>
      </w:r>
      <w:r w:rsidR="006536FD" w:rsidRPr="0067582E">
        <w:rPr>
          <w:rFonts w:asciiTheme="majorBidi" w:hAnsiTheme="majorBidi" w:cstheme="majorBidi"/>
          <w:sz w:val="24"/>
          <w:szCs w:val="24"/>
          <w:vertAlign w:val="subscript"/>
        </w:rPr>
        <w:t>lob</w:t>
      </w:r>
      <w:r w:rsidR="00A76619">
        <w:rPr>
          <w:rFonts w:asciiTheme="majorBidi" w:hAnsiTheme="majorBidi" w:cstheme="majorBidi"/>
          <w:sz w:val="24"/>
          <w:szCs w:val="24"/>
          <w:vertAlign w:val="subscript"/>
        </w:rPr>
        <w:t> </w:t>
      </w:r>
      <w:r w:rsidR="00A76619">
        <w:rPr>
          <w:rFonts w:asciiTheme="majorBidi" w:hAnsiTheme="majorBidi" w:cstheme="majorBidi"/>
          <w:sz w:val="24"/>
          <w:szCs w:val="24"/>
        </w:rPr>
        <w:t xml:space="preserve">; </w:t>
      </w:r>
      <w:r w:rsidR="006536FD" w:rsidRPr="0067582E">
        <w:rPr>
          <w:rFonts w:asciiTheme="majorBidi" w:hAnsiTheme="majorBidi" w:cstheme="majorBidi"/>
          <w:sz w:val="24"/>
          <w:szCs w:val="24"/>
        </w:rPr>
        <w:t>primes émises</w:t>
      </w:r>
      <w:r w:rsidR="00A76619">
        <w:rPr>
          <w:rFonts w:asciiTheme="majorBidi" w:hAnsiTheme="majorBidi" w:cstheme="majorBidi"/>
          <w:sz w:val="24"/>
          <w:szCs w:val="24"/>
        </w:rPr>
        <w:t xml:space="preserve"> </w:t>
      </w:r>
      <w:r w:rsidR="00A76619">
        <w:rPr>
          <w:rFonts w:asciiTheme="majorBidi" w:hAnsiTheme="majorBidi" w:cstheme="majorBidi"/>
          <w:sz w:val="24"/>
          <w:szCs w:val="24"/>
          <w:vertAlign w:val="subscript"/>
        </w:rPr>
        <w:t>n</w:t>
      </w:r>
      <w:r w:rsidR="000B5822" w:rsidRPr="0067582E">
        <w:rPr>
          <w:rFonts w:asciiTheme="majorBidi" w:hAnsiTheme="majorBidi" w:cstheme="majorBidi"/>
          <w:sz w:val="24"/>
          <w:szCs w:val="24"/>
        </w:rPr>
        <w:t xml:space="preserve"> </w:t>
      </w:r>
      <w:r w:rsidR="006536FD" w:rsidRPr="0067582E">
        <w:rPr>
          <w:rFonts w:asciiTheme="majorBidi" w:hAnsiTheme="majorBidi" w:cstheme="majorBidi"/>
          <w:sz w:val="24"/>
          <w:szCs w:val="24"/>
          <w:vertAlign w:val="subscript"/>
        </w:rPr>
        <w:t>lob</w:t>
      </w:r>
      <w:r w:rsidR="00A76619">
        <w:rPr>
          <w:rFonts w:asciiTheme="majorBidi" w:hAnsiTheme="majorBidi" w:cstheme="majorBidi"/>
          <w:sz w:val="24"/>
          <w:szCs w:val="24"/>
          <w:vertAlign w:val="subscript"/>
        </w:rPr>
        <w:t xml:space="preserve"> ; </w:t>
      </w:r>
      <w:r w:rsidR="00A76619">
        <w:rPr>
          <w:rFonts w:asciiTheme="majorBidi" w:hAnsiTheme="majorBidi" w:cstheme="majorBidi"/>
          <w:sz w:val="24"/>
          <w:szCs w:val="24"/>
        </w:rPr>
        <w:t>primes émises</w:t>
      </w:r>
      <w:r w:rsidR="00A76619" w:rsidRPr="00A76619">
        <w:rPr>
          <w:rFonts w:asciiTheme="majorBidi" w:hAnsiTheme="majorBidi" w:cstheme="majorBidi"/>
          <w:sz w:val="24"/>
          <w:szCs w:val="24"/>
          <w:vertAlign w:val="subscript"/>
        </w:rPr>
        <w:t xml:space="preserve"> </w:t>
      </w:r>
      <w:r w:rsidR="00A76619">
        <w:rPr>
          <w:rFonts w:asciiTheme="majorBidi" w:hAnsiTheme="majorBidi" w:cstheme="majorBidi"/>
          <w:sz w:val="24"/>
          <w:szCs w:val="24"/>
          <w:vertAlign w:val="subscript"/>
        </w:rPr>
        <w:t>n-1</w:t>
      </w:r>
      <w:r w:rsidR="00A76619" w:rsidRPr="0067582E">
        <w:rPr>
          <w:rFonts w:asciiTheme="majorBidi" w:hAnsiTheme="majorBidi" w:cstheme="majorBidi"/>
          <w:sz w:val="24"/>
          <w:szCs w:val="24"/>
        </w:rPr>
        <w:t xml:space="preserve"> </w:t>
      </w:r>
      <w:r w:rsidR="00A76619" w:rsidRPr="0067582E">
        <w:rPr>
          <w:rFonts w:asciiTheme="majorBidi" w:hAnsiTheme="majorBidi" w:cstheme="majorBidi"/>
          <w:sz w:val="24"/>
          <w:szCs w:val="24"/>
          <w:vertAlign w:val="subscript"/>
        </w:rPr>
        <w:t>lob</w:t>
      </w:r>
      <w:r w:rsidR="006536FD" w:rsidRPr="0067582E">
        <w:rPr>
          <w:rFonts w:asciiTheme="majorBidi" w:hAnsiTheme="majorBidi" w:cstheme="majorBidi"/>
          <w:sz w:val="24"/>
          <w:szCs w:val="24"/>
        </w:rPr>
        <w:t>)</w:t>
      </w:r>
      <w:r>
        <w:rPr>
          <w:rFonts w:asciiTheme="majorBidi" w:hAnsiTheme="majorBidi" w:cstheme="majorBidi"/>
          <w:b/>
          <w:bCs/>
          <w:sz w:val="24"/>
          <w:szCs w:val="24"/>
          <w:vertAlign w:val="subscript"/>
        </w:rPr>
        <w:t xml:space="preserve">  </w:t>
      </w:r>
    </w:p>
    <w:p w:rsidR="0067582E" w:rsidRPr="00424034" w:rsidRDefault="003F04A3" w:rsidP="0073750E">
      <w:pPr>
        <w:pStyle w:val="Paragraphedeliste"/>
        <w:autoSpaceDE w:val="0"/>
        <w:autoSpaceDN w:val="0"/>
        <w:adjustRightInd w:val="0"/>
        <w:spacing w:after="0" w:line="360" w:lineRule="auto"/>
        <w:ind w:left="0"/>
        <w:jc w:val="both"/>
        <w:rPr>
          <w:rFonts w:asciiTheme="majorBidi" w:hAnsiTheme="majorBidi" w:cstheme="majorBidi"/>
          <w:b/>
          <w:bCs/>
          <w:sz w:val="24"/>
          <w:szCs w:val="24"/>
          <w:vertAlign w:val="subscript"/>
        </w:rPr>
      </w:pPr>
      <w:r>
        <w:rPr>
          <w:rFonts w:asciiTheme="majorBidi" w:hAnsiTheme="majorBidi" w:cstheme="majorBidi"/>
          <w:b/>
          <w:bCs/>
          <w:sz w:val="24"/>
          <w:szCs w:val="24"/>
          <w:vertAlign w:val="subscript"/>
        </w:rPr>
        <w:t xml:space="preserve">                                                                                                                   </w:t>
      </w:r>
      <w:r w:rsidR="00FC174D">
        <w:rPr>
          <w:rFonts w:asciiTheme="majorBidi" w:hAnsiTheme="majorBidi" w:cstheme="majorBidi"/>
          <w:b/>
          <w:bCs/>
          <w:sz w:val="24"/>
          <w:szCs w:val="24"/>
          <w:vertAlign w:val="subscript"/>
        </w:rPr>
        <w:t xml:space="preserve">       </w:t>
      </w:r>
      <w:r w:rsidR="005E626C">
        <w:rPr>
          <w:rFonts w:asciiTheme="majorBidi" w:hAnsiTheme="majorBidi" w:cstheme="majorBidi"/>
          <w:b/>
          <w:bCs/>
          <w:sz w:val="24"/>
          <w:szCs w:val="24"/>
          <w:vertAlign w:val="subscript"/>
        </w:rPr>
        <w:t xml:space="preserve">           </w:t>
      </w:r>
      <w:r w:rsidR="00FC174D">
        <w:rPr>
          <w:rFonts w:asciiTheme="majorBidi" w:hAnsiTheme="majorBidi" w:cstheme="majorBidi"/>
          <w:b/>
          <w:bCs/>
          <w:sz w:val="24"/>
          <w:szCs w:val="24"/>
          <w:vertAlign w:val="subscript"/>
        </w:rPr>
        <w:t xml:space="preserve"> </w:t>
      </w:r>
      <w:r>
        <w:rPr>
          <w:rFonts w:asciiTheme="majorBidi" w:hAnsiTheme="majorBidi" w:cstheme="majorBidi"/>
          <w:b/>
          <w:bCs/>
          <w:sz w:val="24"/>
          <w:szCs w:val="24"/>
          <w:vertAlign w:val="subscript"/>
        </w:rPr>
        <w:t xml:space="preserve">   (Montant exprimé en milliers)</w:t>
      </w:r>
    </w:p>
    <w:tbl>
      <w:tblPr>
        <w:tblStyle w:val="Grillemoyenne1-Accent4"/>
        <w:tblW w:w="6380" w:type="dxa"/>
        <w:tblInd w:w="1356" w:type="dxa"/>
        <w:tblLook w:val="04A0"/>
      </w:tblPr>
      <w:tblGrid>
        <w:gridCol w:w="4624"/>
        <w:gridCol w:w="1756"/>
      </w:tblGrid>
      <w:tr w:rsidR="00B87F21" w:rsidRPr="0094759D" w:rsidTr="00F136EA">
        <w:trPr>
          <w:cnfStyle w:val="100000000000"/>
          <w:trHeight w:val="415"/>
        </w:trPr>
        <w:tc>
          <w:tcPr>
            <w:cnfStyle w:val="001000000000"/>
            <w:tcW w:w="4624" w:type="dxa"/>
            <w:hideMark/>
          </w:tcPr>
          <w:p w:rsidR="00B87F21" w:rsidRPr="0094759D" w:rsidRDefault="0058355D" w:rsidP="00B87F21">
            <w:pPr>
              <w:jc w:val="center"/>
              <w:outlineLvl w:val="0"/>
              <w:rPr>
                <w:rFonts w:ascii="Times New Roman" w:eastAsia="Times New Roman" w:hAnsi="Times New Roman" w:cs="Times New Roman"/>
                <w:b w:val="0"/>
                <w:bCs w:val="0"/>
                <w:sz w:val="20"/>
                <w:szCs w:val="20"/>
              </w:rPr>
            </w:pPr>
            <w:r>
              <w:rPr>
                <w:rFonts w:ascii="Times New Roman" w:eastAsia="Times New Roman" w:hAnsi="Times New Roman" w:cs="Times New Roman"/>
                <w:sz w:val="20"/>
                <w:szCs w:val="20"/>
              </w:rPr>
              <w:t>Le calcule de la mesure du volume de risque</w:t>
            </w:r>
          </w:p>
          <w:p w:rsidR="00B87F21" w:rsidRPr="0094759D" w:rsidRDefault="0058355D" w:rsidP="00B87F21">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Risque de tarification</w:t>
            </w:r>
          </w:p>
        </w:tc>
        <w:tc>
          <w:tcPr>
            <w:tcW w:w="1756" w:type="dxa"/>
            <w:noWrap/>
            <w:hideMark/>
          </w:tcPr>
          <w:p w:rsidR="00B87F21" w:rsidRPr="0094759D" w:rsidRDefault="00B87F21" w:rsidP="00B87F21">
            <w:pPr>
              <w:jc w:val="center"/>
              <w:outlineLvl w:val="0"/>
              <w:cnfStyle w:val="100000000000"/>
              <w:rPr>
                <w:rFonts w:ascii="Arial" w:eastAsia="Times New Roman" w:hAnsi="Arial" w:cs="Arial"/>
                <w:sz w:val="16"/>
                <w:szCs w:val="16"/>
              </w:rPr>
            </w:pPr>
            <w:proofErr w:type="spellStart"/>
            <w:r w:rsidRPr="0094759D">
              <w:rPr>
                <w:rFonts w:ascii="Times New Roman" w:eastAsia="Times New Roman" w:hAnsi="Times New Roman" w:cs="Times New Roman"/>
                <w:sz w:val="24"/>
                <w:szCs w:val="24"/>
              </w:rPr>
              <w:t>V</w:t>
            </w:r>
            <w:r w:rsidRPr="0094759D">
              <w:rPr>
                <w:rFonts w:ascii="Times New Roman" w:eastAsia="Times New Roman" w:hAnsi="Times New Roman" w:cs="Times New Roman"/>
                <w:sz w:val="24"/>
                <w:szCs w:val="24"/>
                <w:vertAlign w:val="subscript"/>
              </w:rPr>
              <w:t>prem</w:t>
            </w:r>
            <w:proofErr w:type="spellEnd"/>
          </w:p>
        </w:tc>
      </w:tr>
      <w:tr w:rsidR="00B87F21" w:rsidRPr="0094759D" w:rsidTr="00B9783C">
        <w:trPr>
          <w:cnfStyle w:val="000000100000"/>
          <w:trHeight w:val="255"/>
        </w:trPr>
        <w:tc>
          <w:tcPr>
            <w:cnfStyle w:val="001000000000"/>
            <w:tcW w:w="4624" w:type="dxa"/>
            <w:hideMark/>
          </w:tcPr>
          <w:p w:rsidR="00B87F21" w:rsidRPr="008A774C" w:rsidRDefault="00B51EDB" w:rsidP="00B87F21">
            <w:pPr>
              <w:jc w:val="center"/>
              <w:outlineLvl w:val="0"/>
              <w:rPr>
                <w:rFonts w:ascii="Times New Roman" w:eastAsia="Times New Roman" w:hAnsi="Times New Roman" w:cs="Times New Roman"/>
                <w:b w:val="0"/>
                <w:bCs w:val="0"/>
              </w:rPr>
            </w:pPr>
            <w:r>
              <w:rPr>
                <w:rFonts w:ascii="Times New Roman" w:eastAsia="Times New Roman" w:hAnsi="Times New Roman" w:cs="Times New Roman"/>
                <w:b w:val="0"/>
                <w:bCs w:val="0"/>
              </w:rPr>
              <w:t>RC automobile</w:t>
            </w:r>
          </w:p>
        </w:tc>
        <w:tc>
          <w:tcPr>
            <w:tcW w:w="1756" w:type="dxa"/>
            <w:noWrap/>
            <w:hideMark/>
          </w:tcPr>
          <w:p w:rsidR="003C2910" w:rsidRPr="0094759D" w:rsidRDefault="003C2910" w:rsidP="003C2910">
            <w:pPr>
              <w:jc w:val="center"/>
              <w:outlineLvl w:val="0"/>
              <w:cnfStyle w:val="000000100000"/>
              <w:rPr>
                <w:rFonts w:asciiTheme="majorBidi" w:eastAsia="Times New Roman" w:hAnsiTheme="majorBidi" w:cstheme="majorBidi"/>
              </w:rPr>
            </w:pPr>
            <w:r>
              <w:rPr>
                <w:rFonts w:asciiTheme="majorBidi" w:eastAsia="Times New Roman" w:hAnsiTheme="majorBidi" w:cstheme="majorBidi"/>
              </w:rPr>
              <w:t>1 048 686</w:t>
            </w:r>
          </w:p>
        </w:tc>
      </w:tr>
      <w:tr w:rsidR="00B87F21" w:rsidRPr="0094759D" w:rsidTr="00F136EA">
        <w:trPr>
          <w:trHeight w:val="60"/>
        </w:trPr>
        <w:tc>
          <w:tcPr>
            <w:cnfStyle w:val="001000000000"/>
            <w:tcW w:w="4624" w:type="dxa"/>
            <w:hideMark/>
          </w:tcPr>
          <w:p w:rsidR="00B87F21" w:rsidRPr="008A774C" w:rsidRDefault="00B51EDB" w:rsidP="00B87F21">
            <w:pPr>
              <w:jc w:val="center"/>
              <w:outlineLvl w:val="0"/>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Corps de véhicule terrestre </w:t>
            </w:r>
          </w:p>
        </w:tc>
        <w:tc>
          <w:tcPr>
            <w:tcW w:w="1756" w:type="dxa"/>
            <w:noWrap/>
            <w:hideMark/>
          </w:tcPr>
          <w:p w:rsidR="00B87F21" w:rsidRPr="0094759D" w:rsidRDefault="003C2910" w:rsidP="00B87F21">
            <w:pPr>
              <w:jc w:val="center"/>
              <w:outlineLvl w:val="0"/>
              <w:cnfStyle w:val="000000000000"/>
              <w:rPr>
                <w:rFonts w:asciiTheme="majorBidi" w:eastAsia="Times New Roman" w:hAnsiTheme="majorBidi" w:cstheme="majorBidi"/>
              </w:rPr>
            </w:pPr>
            <w:r>
              <w:rPr>
                <w:rFonts w:asciiTheme="majorBidi" w:eastAsia="Times New Roman" w:hAnsiTheme="majorBidi" w:cstheme="majorBidi"/>
              </w:rPr>
              <w:t>3</w:t>
            </w:r>
            <w:r w:rsidR="00643C67">
              <w:rPr>
                <w:rFonts w:asciiTheme="majorBidi" w:eastAsia="Times New Roman" w:hAnsiTheme="majorBidi" w:cstheme="majorBidi"/>
              </w:rPr>
              <w:t xml:space="preserve"> </w:t>
            </w:r>
            <w:r>
              <w:rPr>
                <w:rFonts w:asciiTheme="majorBidi" w:eastAsia="Times New Roman" w:hAnsiTheme="majorBidi" w:cstheme="majorBidi"/>
              </w:rPr>
              <w:t>937</w:t>
            </w:r>
            <w:r w:rsidR="00643C67">
              <w:rPr>
                <w:rFonts w:asciiTheme="majorBidi" w:eastAsia="Times New Roman" w:hAnsiTheme="majorBidi" w:cstheme="majorBidi"/>
              </w:rPr>
              <w:t xml:space="preserve"> 438</w:t>
            </w:r>
          </w:p>
        </w:tc>
      </w:tr>
      <w:tr w:rsidR="00B87F21" w:rsidRPr="0094759D" w:rsidTr="00B9783C">
        <w:trPr>
          <w:cnfStyle w:val="000000100000"/>
          <w:trHeight w:val="255"/>
        </w:trPr>
        <w:tc>
          <w:tcPr>
            <w:cnfStyle w:val="001000000000"/>
            <w:tcW w:w="4624" w:type="dxa"/>
            <w:hideMark/>
          </w:tcPr>
          <w:p w:rsidR="00B87F21" w:rsidRPr="008A774C" w:rsidRDefault="00B51EDB" w:rsidP="00B87F21">
            <w:pPr>
              <w:jc w:val="center"/>
              <w:outlineLvl w:val="0"/>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Transport </w:t>
            </w:r>
          </w:p>
        </w:tc>
        <w:tc>
          <w:tcPr>
            <w:tcW w:w="1756" w:type="dxa"/>
            <w:noWrap/>
            <w:hideMark/>
          </w:tcPr>
          <w:p w:rsidR="00B87F21" w:rsidRPr="0094759D" w:rsidRDefault="00112F75" w:rsidP="00B87F21">
            <w:pPr>
              <w:jc w:val="center"/>
              <w:outlineLvl w:val="0"/>
              <w:cnfStyle w:val="000000100000"/>
              <w:rPr>
                <w:rFonts w:asciiTheme="majorBidi" w:eastAsia="Times New Roman" w:hAnsiTheme="majorBidi" w:cstheme="majorBidi"/>
              </w:rPr>
            </w:pPr>
            <w:r>
              <w:rPr>
                <w:rFonts w:asciiTheme="majorBidi" w:eastAsia="Times New Roman" w:hAnsiTheme="majorBidi" w:cstheme="majorBidi"/>
              </w:rPr>
              <w:t>1 939 696</w:t>
            </w:r>
          </w:p>
        </w:tc>
      </w:tr>
      <w:tr w:rsidR="00B87F21" w:rsidRPr="0094759D" w:rsidTr="00B9783C">
        <w:trPr>
          <w:trHeight w:val="255"/>
        </w:trPr>
        <w:tc>
          <w:tcPr>
            <w:cnfStyle w:val="001000000000"/>
            <w:tcW w:w="4624" w:type="dxa"/>
            <w:hideMark/>
          </w:tcPr>
          <w:p w:rsidR="00B87F21" w:rsidRPr="008A774C" w:rsidRDefault="00B51EDB" w:rsidP="00B87F21">
            <w:pPr>
              <w:jc w:val="center"/>
              <w:outlineLvl w:val="0"/>
              <w:rPr>
                <w:rFonts w:ascii="Times New Roman" w:eastAsia="Times New Roman" w:hAnsi="Times New Roman" w:cs="Times New Roman"/>
                <w:b w:val="0"/>
                <w:bCs w:val="0"/>
              </w:rPr>
            </w:pPr>
            <w:r>
              <w:rPr>
                <w:rFonts w:ascii="Times New Roman" w:eastAsia="Times New Roman" w:hAnsi="Times New Roman" w:cs="Times New Roman"/>
                <w:b w:val="0"/>
                <w:bCs w:val="0"/>
              </w:rPr>
              <w:t>Incendie et autres dommages aux biens</w:t>
            </w:r>
          </w:p>
        </w:tc>
        <w:tc>
          <w:tcPr>
            <w:tcW w:w="1756" w:type="dxa"/>
            <w:noWrap/>
            <w:hideMark/>
          </w:tcPr>
          <w:p w:rsidR="00B87F21" w:rsidRPr="003F04A3" w:rsidRDefault="00112F75" w:rsidP="003F04A3">
            <w:pPr>
              <w:jc w:val="center"/>
              <w:outlineLvl w:val="0"/>
              <w:cnfStyle w:val="000000000000"/>
              <w:rPr>
                <w:rFonts w:ascii="Arial" w:hAnsi="Arial" w:cs="Arial"/>
                <w:sz w:val="18"/>
                <w:szCs w:val="18"/>
              </w:rPr>
            </w:pPr>
            <w:r>
              <w:rPr>
                <w:rFonts w:asciiTheme="majorBidi" w:eastAsia="Times New Roman" w:hAnsiTheme="majorBidi" w:cstheme="majorBidi"/>
              </w:rPr>
              <w:t>6 819 766</w:t>
            </w:r>
          </w:p>
        </w:tc>
      </w:tr>
      <w:tr w:rsidR="00B87F21" w:rsidRPr="0094759D" w:rsidTr="00B9783C">
        <w:trPr>
          <w:cnfStyle w:val="000000100000"/>
          <w:trHeight w:val="255"/>
        </w:trPr>
        <w:tc>
          <w:tcPr>
            <w:cnfStyle w:val="001000000000"/>
            <w:tcW w:w="4624" w:type="dxa"/>
            <w:hideMark/>
          </w:tcPr>
          <w:p w:rsidR="00B87F21" w:rsidRPr="008A774C" w:rsidRDefault="002B3C24" w:rsidP="00B87F21">
            <w:pPr>
              <w:jc w:val="center"/>
              <w:outlineLvl w:val="0"/>
              <w:rPr>
                <w:rFonts w:ascii="Times New Roman" w:eastAsia="Times New Roman" w:hAnsi="Times New Roman" w:cs="Times New Roman"/>
                <w:b w:val="0"/>
                <w:bCs w:val="0"/>
              </w:rPr>
            </w:pPr>
            <w:r>
              <w:rPr>
                <w:rFonts w:ascii="Times New Roman" w:eastAsia="Times New Roman" w:hAnsi="Times New Roman" w:cs="Times New Roman"/>
                <w:b w:val="0"/>
                <w:bCs w:val="0"/>
              </w:rPr>
              <w:t>RC générale</w:t>
            </w:r>
          </w:p>
        </w:tc>
        <w:tc>
          <w:tcPr>
            <w:tcW w:w="1756" w:type="dxa"/>
            <w:noWrap/>
            <w:hideMark/>
          </w:tcPr>
          <w:p w:rsidR="00B87F21" w:rsidRPr="0094759D" w:rsidRDefault="00EC45E6" w:rsidP="00B87F21">
            <w:pPr>
              <w:jc w:val="center"/>
              <w:outlineLvl w:val="0"/>
              <w:cnfStyle w:val="000000100000"/>
              <w:rPr>
                <w:rFonts w:asciiTheme="majorBidi" w:eastAsia="Times New Roman" w:hAnsiTheme="majorBidi" w:cstheme="majorBidi"/>
              </w:rPr>
            </w:pPr>
            <w:r>
              <w:rPr>
                <w:rFonts w:asciiTheme="majorBidi" w:eastAsia="Times New Roman" w:hAnsiTheme="majorBidi" w:cstheme="majorBidi"/>
              </w:rPr>
              <w:t xml:space="preserve">   </w:t>
            </w:r>
            <w:r w:rsidR="003F04A3">
              <w:rPr>
                <w:rFonts w:asciiTheme="majorBidi" w:eastAsia="Times New Roman" w:hAnsiTheme="majorBidi" w:cstheme="majorBidi"/>
              </w:rPr>
              <w:t>764 965</w:t>
            </w:r>
          </w:p>
        </w:tc>
      </w:tr>
      <w:tr w:rsidR="00B87F21" w:rsidRPr="0094759D" w:rsidTr="00B9783C">
        <w:trPr>
          <w:trHeight w:val="255"/>
        </w:trPr>
        <w:tc>
          <w:tcPr>
            <w:cnfStyle w:val="001000000000"/>
            <w:tcW w:w="4624" w:type="dxa"/>
            <w:hideMark/>
          </w:tcPr>
          <w:p w:rsidR="00B87F21" w:rsidRPr="008A774C" w:rsidRDefault="002B3C24" w:rsidP="00B87F21">
            <w:pPr>
              <w:jc w:val="center"/>
              <w:outlineLvl w:val="0"/>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Crédit </w:t>
            </w:r>
          </w:p>
        </w:tc>
        <w:tc>
          <w:tcPr>
            <w:tcW w:w="1756" w:type="dxa"/>
            <w:noWrap/>
            <w:hideMark/>
          </w:tcPr>
          <w:p w:rsidR="00B87F21" w:rsidRPr="0094759D" w:rsidRDefault="00EC45E6" w:rsidP="00B87F21">
            <w:pPr>
              <w:jc w:val="center"/>
              <w:outlineLvl w:val="0"/>
              <w:cnfStyle w:val="000000000000"/>
              <w:rPr>
                <w:rFonts w:asciiTheme="majorBidi" w:eastAsia="Times New Roman" w:hAnsiTheme="majorBidi" w:cstheme="majorBidi"/>
              </w:rPr>
            </w:pPr>
            <w:r>
              <w:rPr>
                <w:rFonts w:asciiTheme="majorBidi" w:eastAsia="Times New Roman" w:hAnsiTheme="majorBidi" w:cstheme="majorBidi"/>
              </w:rPr>
              <w:t xml:space="preserve">     </w:t>
            </w:r>
            <w:r w:rsidR="00603417">
              <w:rPr>
                <w:rFonts w:asciiTheme="majorBidi" w:eastAsia="Times New Roman" w:hAnsiTheme="majorBidi" w:cstheme="majorBidi"/>
              </w:rPr>
              <w:t>39 370</w:t>
            </w:r>
          </w:p>
        </w:tc>
      </w:tr>
    </w:tbl>
    <w:p w:rsidR="00603417" w:rsidRDefault="006536FD" w:rsidP="00603417">
      <w:pPr>
        <w:autoSpaceDE w:val="0"/>
        <w:autoSpaceDN w:val="0"/>
        <w:adjustRightInd w:val="0"/>
        <w:spacing w:after="0" w:line="360" w:lineRule="auto"/>
        <w:rPr>
          <w:rFonts w:asciiTheme="majorBidi" w:hAnsiTheme="majorBidi" w:cstheme="majorBidi"/>
          <w:b/>
          <w:bCs/>
          <w:sz w:val="24"/>
          <w:szCs w:val="24"/>
        </w:rPr>
      </w:pPr>
      <w:r w:rsidRPr="006536FD">
        <w:rPr>
          <w:rFonts w:asciiTheme="majorBidi" w:hAnsiTheme="majorBidi" w:cstheme="majorBidi"/>
          <w:b/>
          <w:bCs/>
          <w:sz w:val="24"/>
          <w:szCs w:val="24"/>
        </w:rPr>
        <w:t>Tableau</w:t>
      </w:r>
      <w:r>
        <w:rPr>
          <w:rFonts w:asciiTheme="majorBidi" w:hAnsiTheme="majorBidi" w:cstheme="majorBidi"/>
          <w:b/>
          <w:bCs/>
          <w:sz w:val="24"/>
          <w:szCs w:val="24"/>
        </w:rPr>
        <w:t xml:space="preserve"> N°</w:t>
      </w:r>
      <w:proofErr w:type="gramStart"/>
      <w:r w:rsidR="00B73BA9">
        <w:rPr>
          <w:rFonts w:asciiTheme="majorBidi" w:hAnsiTheme="majorBidi" w:cstheme="majorBidi"/>
          <w:b/>
          <w:bCs/>
          <w:sz w:val="24"/>
          <w:szCs w:val="24"/>
        </w:rPr>
        <w:t>15</w:t>
      </w:r>
      <w:r>
        <w:rPr>
          <w:rFonts w:asciiTheme="majorBidi" w:hAnsiTheme="majorBidi" w:cstheme="majorBidi"/>
          <w:b/>
          <w:bCs/>
          <w:sz w:val="24"/>
          <w:szCs w:val="24"/>
        </w:rPr>
        <w:t>:</w:t>
      </w:r>
      <w:proofErr w:type="gramEnd"/>
      <w:r w:rsidRPr="006536FD">
        <w:rPr>
          <w:rFonts w:asciiTheme="majorBidi" w:hAnsiTheme="majorBidi" w:cstheme="majorBidi"/>
          <w:b/>
          <w:bCs/>
          <w:sz w:val="24"/>
          <w:szCs w:val="24"/>
        </w:rPr>
        <w:t xml:space="preserve"> </w:t>
      </w:r>
      <w:r w:rsidR="004634AC">
        <w:rPr>
          <w:rFonts w:asciiTheme="majorBidi" w:hAnsiTheme="majorBidi" w:cstheme="majorBidi"/>
          <w:b/>
          <w:bCs/>
          <w:sz w:val="24"/>
          <w:szCs w:val="24"/>
        </w:rPr>
        <w:t xml:space="preserve">Le calcul </w:t>
      </w:r>
      <w:r w:rsidR="00292179">
        <w:rPr>
          <w:rFonts w:asciiTheme="majorBidi" w:hAnsiTheme="majorBidi" w:cstheme="majorBidi"/>
          <w:b/>
          <w:bCs/>
          <w:sz w:val="24"/>
          <w:szCs w:val="24"/>
        </w:rPr>
        <w:t>de la mesure du volume de</w:t>
      </w:r>
      <w:r w:rsidR="0058355D">
        <w:rPr>
          <w:rFonts w:asciiTheme="majorBidi" w:hAnsiTheme="majorBidi" w:cstheme="majorBidi"/>
          <w:b/>
          <w:bCs/>
          <w:sz w:val="24"/>
          <w:szCs w:val="24"/>
        </w:rPr>
        <w:t xml:space="preserve"> risque de</w:t>
      </w:r>
      <w:r w:rsidR="00292179">
        <w:rPr>
          <w:rFonts w:asciiTheme="majorBidi" w:hAnsiTheme="majorBidi" w:cstheme="majorBidi"/>
          <w:b/>
          <w:bCs/>
          <w:sz w:val="24"/>
          <w:szCs w:val="24"/>
        </w:rPr>
        <w:t xml:space="preserve"> tarification</w:t>
      </w:r>
    </w:p>
    <w:p w:rsidR="0002150B" w:rsidRDefault="0002150B" w:rsidP="0002150B">
      <w:pPr>
        <w:autoSpaceDE w:val="0"/>
        <w:autoSpaceDN w:val="0"/>
        <w:adjustRightInd w:val="0"/>
        <w:spacing w:after="0" w:line="240" w:lineRule="auto"/>
        <w:rPr>
          <w:rFonts w:asciiTheme="majorBidi" w:hAnsiTheme="majorBidi" w:cstheme="majorBidi"/>
          <w:b/>
          <w:bCs/>
          <w:sz w:val="24"/>
          <w:szCs w:val="24"/>
        </w:rPr>
      </w:pPr>
    </w:p>
    <w:p w:rsidR="004634AC" w:rsidRDefault="009F4A1E" w:rsidP="009F4A1E">
      <w:pPr>
        <w:pStyle w:val="Paragraphedeliste"/>
        <w:numPr>
          <w:ilvl w:val="0"/>
          <w:numId w:val="6"/>
        </w:numPr>
        <w:autoSpaceDE w:val="0"/>
        <w:autoSpaceDN w:val="0"/>
        <w:adjustRightInd w:val="0"/>
        <w:spacing w:after="0" w:line="360" w:lineRule="auto"/>
        <w:jc w:val="both"/>
        <w:rPr>
          <w:rFonts w:asciiTheme="majorBidi" w:hAnsiTheme="majorBidi" w:cstheme="majorBidi"/>
          <w:b/>
          <w:bCs/>
          <w:sz w:val="24"/>
          <w:szCs w:val="24"/>
        </w:rPr>
      </w:pPr>
      <w:r w:rsidRPr="0073750E">
        <w:rPr>
          <w:rFonts w:asciiTheme="majorBidi" w:hAnsiTheme="majorBidi" w:cstheme="majorBidi"/>
          <w:b/>
          <w:bCs/>
          <w:sz w:val="24"/>
          <w:szCs w:val="24"/>
        </w:rPr>
        <w:t xml:space="preserve">Le calcul de la mesure du </w:t>
      </w:r>
      <w:r w:rsidR="004110F2">
        <w:rPr>
          <w:rFonts w:asciiTheme="majorBidi" w:hAnsiTheme="majorBidi" w:cstheme="majorBidi"/>
          <w:b/>
          <w:bCs/>
          <w:sz w:val="24"/>
          <w:szCs w:val="24"/>
        </w:rPr>
        <w:t>volume de risque de provisionn</w:t>
      </w:r>
      <w:r w:rsidR="007F27A4">
        <w:rPr>
          <w:rFonts w:asciiTheme="majorBidi" w:hAnsiTheme="majorBidi" w:cstheme="majorBidi"/>
          <w:b/>
          <w:bCs/>
          <w:sz w:val="24"/>
          <w:szCs w:val="24"/>
        </w:rPr>
        <w:t>e</w:t>
      </w:r>
      <w:r w:rsidR="004110F2">
        <w:rPr>
          <w:rFonts w:asciiTheme="majorBidi" w:hAnsiTheme="majorBidi" w:cstheme="majorBidi"/>
          <w:b/>
          <w:bCs/>
          <w:sz w:val="24"/>
          <w:szCs w:val="24"/>
        </w:rPr>
        <w:t>ment</w:t>
      </w:r>
    </w:p>
    <w:p w:rsidR="009F4A1E" w:rsidRDefault="00292179" w:rsidP="00A25381">
      <w:pPr>
        <w:pStyle w:val="Paragraphedeliste"/>
        <w:autoSpaceDE w:val="0"/>
        <w:autoSpaceDN w:val="0"/>
        <w:adjustRightInd w:val="0"/>
        <w:spacing w:after="0" w:line="360" w:lineRule="auto"/>
        <w:ind w:left="0"/>
        <w:jc w:val="both"/>
        <w:rPr>
          <w:rFonts w:ascii="Times New Roman" w:eastAsia="Times New Roman" w:hAnsi="Times New Roman" w:cs="Times New Roman"/>
          <w:b/>
          <w:bCs/>
          <w:sz w:val="20"/>
          <w:szCs w:val="20"/>
        </w:rPr>
      </w:pPr>
      <w:r>
        <w:rPr>
          <w:rFonts w:asciiTheme="majorBidi" w:hAnsiTheme="majorBidi" w:cstheme="majorBidi"/>
          <w:sz w:val="24"/>
          <w:szCs w:val="24"/>
        </w:rPr>
        <w:t>Le risque de provisionn</w:t>
      </w:r>
      <w:r w:rsidR="00D03AD7">
        <w:rPr>
          <w:rFonts w:asciiTheme="majorBidi" w:hAnsiTheme="majorBidi" w:cstheme="majorBidi"/>
          <w:sz w:val="24"/>
          <w:szCs w:val="24"/>
        </w:rPr>
        <w:t>e</w:t>
      </w:r>
      <w:r>
        <w:rPr>
          <w:rFonts w:asciiTheme="majorBidi" w:hAnsiTheme="majorBidi" w:cstheme="majorBidi"/>
          <w:sz w:val="24"/>
          <w:szCs w:val="24"/>
        </w:rPr>
        <w:t>ment</w:t>
      </w:r>
      <w:r w:rsidR="00423919" w:rsidRPr="00AA0EA5">
        <w:rPr>
          <w:rFonts w:asciiTheme="majorBidi" w:hAnsiTheme="majorBidi" w:cstheme="majorBidi"/>
          <w:sz w:val="24"/>
          <w:szCs w:val="24"/>
        </w:rPr>
        <w:t xml:space="preserve"> </w:t>
      </w:r>
      <w:r w:rsidR="00AA0EA5" w:rsidRPr="00AA0EA5">
        <w:rPr>
          <w:rFonts w:asciiTheme="majorBidi" w:hAnsiTheme="majorBidi" w:cstheme="majorBidi"/>
          <w:sz w:val="24"/>
          <w:szCs w:val="24"/>
        </w:rPr>
        <w:t>est mesuré par le BE des provisions</w:t>
      </w:r>
      <w:r w:rsidR="00AA0EA5">
        <w:rPr>
          <w:rFonts w:asciiTheme="majorBidi" w:hAnsiTheme="majorBidi" w:cstheme="majorBidi"/>
          <w:sz w:val="24"/>
          <w:szCs w:val="24"/>
        </w:rPr>
        <w:t xml:space="preserve"> </w:t>
      </w:r>
      <w:proofErr w:type="spellStart"/>
      <w:r w:rsidR="00AA0EA5" w:rsidRPr="00B82264">
        <w:rPr>
          <w:rFonts w:asciiTheme="majorBidi" w:hAnsiTheme="majorBidi" w:cstheme="majorBidi"/>
          <w:b/>
          <w:bCs/>
          <w:sz w:val="24"/>
          <w:szCs w:val="24"/>
        </w:rPr>
        <w:t>V</w:t>
      </w:r>
      <w:r w:rsidR="00AA0EA5" w:rsidRPr="00B82264">
        <w:rPr>
          <w:rFonts w:asciiTheme="majorBidi" w:hAnsiTheme="majorBidi" w:cstheme="majorBidi"/>
          <w:b/>
          <w:bCs/>
          <w:sz w:val="24"/>
          <w:szCs w:val="24"/>
          <w:vertAlign w:val="subscript"/>
        </w:rPr>
        <w:t>rres</w:t>
      </w:r>
      <w:proofErr w:type="spellEnd"/>
      <w:r w:rsidR="00AA0EA5" w:rsidRPr="00B82264">
        <w:rPr>
          <w:rFonts w:asciiTheme="majorBidi" w:hAnsiTheme="majorBidi" w:cstheme="majorBidi"/>
          <w:b/>
          <w:bCs/>
          <w:sz w:val="24"/>
          <w:szCs w:val="24"/>
        </w:rPr>
        <w:t>= BE</w:t>
      </w:r>
      <w:r w:rsidR="00AA0EA5">
        <w:rPr>
          <w:rFonts w:asciiTheme="majorBidi" w:hAnsiTheme="majorBidi" w:cstheme="majorBidi"/>
          <w:sz w:val="24"/>
          <w:szCs w:val="24"/>
        </w:rPr>
        <w:t xml:space="preserve"> </w:t>
      </w:r>
      <w:r w:rsidR="00AA0EA5" w:rsidRPr="00AA0EA5">
        <w:rPr>
          <w:rFonts w:ascii="Times New Roman" w:eastAsia="Times New Roman" w:hAnsi="Times New Roman" w:cs="Times New Roman"/>
          <w:b/>
          <w:bCs/>
          <w:sz w:val="20"/>
          <w:szCs w:val="20"/>
        </w:rPr>
        <w:t xml:space="preserve"> </w:t>
      </w:r>
    </w:p>
    <w:p w:rsidR="005E626C" w:rsidRPr="005E626C" w:rsidRDefault="005E626C" w:rsidP="005E626C">
      <w:pPr>
        <w:pStyle w:val="Paragraphedeliste"/>
        <w:autoSpaceDE w:val="0"/>
        <w:autoSpaceDN w:val="0"/>
        <w:adjustRightInd w:val="0"/>
        <w:spacing w:after="0" w:line="360" w:lineRule="auto"/>
        <w:ind w:left="0"/>
        <w:jc w:val="both"/>
        <w:rPr>
          <w:rFonts w:asciiTheme="majorBidi" w:hAnsiTheme="majorBidi" w:cstheme="majorBidi"/>
          <w:b/>
          <w:bCs/>
          <w:sz w:val="24"/>
          <w:szCs w:val="24"/>
          <w:vertAlign w:val="subscript"/>
        </w:rPr>
      </w:pPr>
      <w:r>
        <w:rPr>
          <w:rFonts w:asciiTheme="majorBidi" w:hAnsiTheme="majorBidi" w:cstheme="majorBidi"/>
          <w:b/>
          <w:bCs/>
          <w:sz w:val="24"/>
          <w:szCs w:val="24"/>
          <w:vertAlign w:val="subscript"/>
        </w:rPr>
        <w:t xml:space="preserve">                                                                                                                                    (Montant exprimé en milliers)</w:t>
      </w:r>
    </w:p>
    <w:tbl>
      <w:tblPr>
        <w:tblStyle w:val="Grillemoyenne1-Accent4"/>
        <w:tblW w:w="5826" w:type="dxa"/>
        <w:jc w:val="center"/>
        <w:tblLook w:val="04A0"/>
      </w:tblPr>
      <w:tblGrid>
        <w:gridCol w:w="4189"/>
        <w:gridCol w:w="1637"/>
      </w:tblGrid>
      <w:tr w:rsidR="009F4A1E" w:rsidRPr="009F4A1E" w:rsidTr="004110F2">
        <w:trPr>
          <w:cnfStyle w:val="100000000000"/>
          <w:trHeight w:val="420"/>
          <w:jc w:val="center"/>
        </w:trPr>
        <w:tc>
          <w:tcPr>
            <w:cnfStyle w:val="001000000000"/>
            <w:tcW w:w="4189" w:type="dxa"/>
            <w:hideMark/>
          </w:tcPr>
          <w:p w:rsidR="009F4A1E" w:rsidRPr="009F4A1E" w:rsidRDefault="00670695" w:rsidP="00670695">
            <w:pPr>
              <w:jc w:val="center"/>
              <w:outlineLvl w:val="0"/>
              <w:rPr>
                <w:rFonts w:ascii="Times New Roman" w:eastAsia="Times New Roman" w:hAnsi="Times New Roman" w:cs="Times New Roman"/>
                <w:b w:val="0"/>
                <w:bCs w:val="0"/>
                <w:sz w:val="20"/>
                <w:szCs w:val="20"/>
              </w:rPr>
            </w:pPr>
            <w:r>
              <w:rPr>
                <w:rFonts w:ascii="Times New Roman" w:eastAsia="Times New Roman" w:hAnsi="Times New Roman" w:cs="Times New Roman"/>
                <w:sz w:val="20"/>
                <w:szCs w:val="20"/>
              </w:rPr>
              <w:t>Le calcule de la mesure du volume de risqu</w:t>
            </w:r>
            <w:r w:rsidR="004110F2">
              <w:rPr>
                <w:rFonts w:ascii="Times New Roman" w:eastAsia="Times New Roman" w:hAnsi="Times New Roman" w:cs="Times New Roman"/>
                <w:sz w:val="20"/>
                <w:szCs w:val="20"/>
              </w:rPr>
              <w:t>e</w:t>
            </w:r>
          </w:p>
          <w:p w:rsidR="009F4A1E" w:rsidRPr="009F4A1E" w:rsidRDefault="00670695" w:rsidP="0026336E">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Risque de provisionn</w:t>
            </w:r>
            <w:r w:rsidR="004110F2">
              <w:rPr>
                <w:rFonts w:ascii="Times New Roman" w:eastAsia="Times New Roman" w:hAnsi="Times New Roman" w:cs="Times New Roman"/>
                <w:sz w:val="20"/>
                <w:szCs w:val="20"/>
              </w:rPr>
              <w:t>e</w:t>
            </w:r>
            <w:r>
              <w:rPr>
                <w:rFonts w:ascii="Times New Roman" w:eastAsia="Times New Roman" w:hAnsi="Times New Roman" w:cs="Times New Roman"/>
                <w:sz w:val="20"/>
                <w:szCs w:val="20"/>
              </w:rPr>
              <w:t>ment</w:t>
            </w:r>
          </w:p>
        </w:tc>
        <w:tc>
          <w:tcPr>
            <w:tcW w:w="1637" w:type="dxa"/>
            <w:noWrap/>
            <w:hideMark/>
          </w:tcPr>
          <w:p w:rsidR="009F4A1E" w:rsidRPr="009F4A1E" w:rsidRDefault="009F4A1E" w:rsidP="0026336E">
            <w:pPr>
              <w:tabs>
                <w:tab w:val="center" w:pos="756"/>
              </w:tabs>
              <w:jc w:val="center"/>
              <w:outlineLvl w:val="0"/>
              <w:cnfStyle w:val="100000000000"/>
              <w:rPr>
                <w:rFonts w:ascii="Arial" w:eastAsia="Times New Roman" w:hAnsi="Arial" w:cs="Arial"/>
                <w:sz w:val="16"/>
                <w:szCs w:val="16"/>
              </w:rPr>
            </w:pPr>
            <w:r w:rsidRPr="009F4A1E">
              <w:rPr>
                <w:rFonts w:ascii="Times New Roman" w:eastAsia="Times New Roman" w:hAnsi="Times New Roman" w:cs="Times New Roman"/>
                <w:sz w:val="20"/>
                <w:szCs w:val="20"/>
              </w:rPr>
              <w:t xml:space="preserve"> </w:t>
            </w:r>
            <w:proofErr w:type="spellStart"/>
            <w:r w:rsidRPr="009F4A1E">
              <w:rPr>
                <w:rFonts w:ascii="Times New Roman" w:eastAsia="Times New Roman" w:hAnsi="Times New Roman" w:cs="Times New Roman"/>
                <w:sz w:val="24"/>
                <w:szCs w:val="24"/>
              </w:rPr>
              <w:t>V</w:t>
            </w:r>
            <w:r w:rsidRPr="009F4A1E">
              <w:rPr>
                <w:rFonts w:ascii="Times New Roman" w:eastAsia="Times New Roman" w:hAnsi="Times New Roman" w:cs="Times New Roman"/>
                <w:sz w:val="24"/>
                <w:szCs w:val="24"/>
                <w:vertAlign w:val="subscript"/>
              </w:rPr>
              <w:t>rres</w:t>
            </w:r>
            <w:proofErr w:type="spellEnd"/>
          </w:p>
        </w:tc>
      </w:tr>
      <w:tr w:rsidR="009F4A1E" w:rsidRPr="009F4A1E" w:rsidTr="004110F2">
        <w:trPr>
          <w:cnfStyle w:val="000000100000"/>
          <w:trHeight w:val="255"/>
          <w:jc w:val="center"/>
        </w:trPr>
        <w:tc>
          <w:tcPr>
            <w:cnfStyle w:val="001000000000"/>
            <w:tcW w:w="4189" w:type="dxa"/>
            <w:hideMark/>
          </w:tcPr>
          <w:p w:rsidR="009F4A1E" w:rsidRPr="008A774C" w:rsidRDefault="002B3C24" w:rsidP="0026336E">
            <w:pPr>
              <w:jc w:val="center"/>
              <w:outlineLvl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RC automobile</w:t>
            </w:r>
          </w:p>
        </w:tc>
        <w:tc>
          <w:tcPr>
            <w:tcW w:w="1637" w:type="dxa"/>
            <w:noWrap/>
            <w:hideMark/>
          </w:tcPr>
          <w:p w:rsidR="009F4A1E" w:rsidRPr="009F4A1E" w:rsidRDefault="005C48D5" w:rsidP="0026336E">
            <w:pPr>
              <w:jc w:val="center"/>
              <w:outlineLvl w:val="0"/>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982 032.7</w:t>
            </w:r>
          </w:p>
        </w:tc>
      </w:tr>
      <w:tr w:rsidR="009F4A1E" w:rsidRPr="009F4A1E" w:rsidTr="004110F2">
        <w:trPr>
          <w:trHeight w:val="255"/>
          <w:jc w:val="center"/>
        </w:trPr>
        <w:tc>
          <w:tcPr>
            <w:cnfStyle w:val="001000000000"/>
            <w:tcW w:w="4189" w:type="dxa"/>
            <w:hideMark/>
          </w:tcPr>
          <w:p w:rsidR="009F4A1E" w:rsidRPr="008A774C" w:rsidRDefault="002B3C24" w:rsidP="0026336E">
            <w:pPr>
              <w:jc w:val="center"/>
              <w:outlineLvl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 xml:space="preserve">Corps de véhicule terrestre </w:t>
            </w:r>
          </w:p>
        </w:tc>
        <w:tc>
          <w:tcPr>
            <w:tcW w:w="1637" w:type="dxa"/>
            <w:noWrap/>
            <w:hideMark/>
          </w:tcPr>
          <w:p w:rsidR="00BF4ED9" w:rsidRPr="009F4A1E" w:rsidRDefault="005C48D5" w:rsidP="00BF4ED9">
            <w:pPr>
              <w:jc w:val="center"/>
              <w:outlineLvl w:val="0"/>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3 949 143.4</w:t>
            </w:r>
          </w:p>
        </w:tc>
      </w:tr>
      <w:tr w:rsidR="009F4A1E" w:rsidRPr="009F4A1E" w:rsidTr="004110F2">
        <w:trPr>
          <w:cnfStyle w:val="000000100000"/>
          <w:trHeight w:val="360"/>
          <w:jc w:val="center"/>
        </w:trPr>
        <w:tc>
          <w:tcPr>
            <w:cnfStyle w:val="001000000000"/>
            <w:tcW w:w="4189" w:type="dxa"/>
            <w:hideMark/>
          </w:tcPr>
          <w:p w:rsidR="009F4A1E" w:rsidRPr="008A774C" w:rsidRDefault="002B3C24" w:rsidP="0026336E">
            <w:pPr>
              <w:jc w:val="center"/>
              <w:outlineLvl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Transport</w:t>
            </w:r>
          </w:p>
        </w:tc>
        <w:tc>
          <w:tcPr>
            <w:tcW w:w="1637" w:type="dxa"/>
            <w:noWrap/>
            <w:hideMark/>
          </w:tcPr>
          <w:p w:rsidR="009F4A1E" w:rsidRPr="009F4A1E" w:rsidRDefault="005C48D5" w:rsidP="0026336E">
            <w:pPr>
              <w:jc w:val="center"/>
              <w:outlineLvl w:val="0"/>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399 478</w:t>
            </w:r>
          </w:p>
        </w:tc>
      </w:tr>
      <w:tr w:rsidR="009F4A1E" w:rsidRPr="009F4A1E" w:rsidTr="004110F2">
        <w:trPr>
          <w:trHeight w:val="255"/>
          <w:jc w:val="center"/>
        </w:trPr>
        <w:tc>
          <w:tcPr>
            <w:cnfStyle w:val="001000000000"/>
            <w:tcW w:w="4189" w:type="dxa"/>
            <w:hideMark/>
          </w:tcPr>
          <w:p w:rsidR="009F4A1E" w:rsidRPr="008A774C" w:rsidRDefault="002B3C24" w:rsidP="0026336E">
            <w:pPr>
              <w:jc w:val="center"/>
              <w:outlineLvl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Incendie et autres dommages aux biens</w:t>
            </w:r>
          </w:p>
        </w:tc>
        <w:tc>
          <w:tcPr>
            <w:tcW w:w="1637" w:type="dxa"/>
            <w:noWrap/>
            <w:hideMark/>
          </w:tcPr>
          <w:p w:rsidR="009F4A1E" w:rsidRPr="009F4A1E" w:rsidRDefault="005C48D5" w:rsidP="0026336E">
            <w:pPr>
              <w:jc w:val="center"/>
              <w:outlineLvl w:val="0"/>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2 041 860.6</w:t>
            </w:r>
          </w:p>
        </w:tc>
      </w:tr>
      <w:tr w:rsidR="009F4A1E" w:rsidRPr="009F4A1E" w:rsidTr="004110F2">
        <w:trPr>
          <w:cnfStyle w:val="000000100000"/>
          <w:trHeight w:val="255"/>
          <w:jc w:val="center"/>
        </w:trPr>
        <w:tc>
          <w:tcPr>
            <w:cnfStyle w:val="001000000000"/>
            <w:tcW w:w="4189" w:type="dxa"/>
            <w:hideMark/>
          </w:tcPr>
          <w:p w:rsidR="009F4A1E" w:rsidRPr="008A774C" w:rsidRDefault="002B3C24" w:rsidP="0026336E">
            <w:pPr>
              <w:jc w:val="center"/>
              <w:outlineLvl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 xml:space="preserve">RC générale </w:t>
            </w:r>
          </w:p>
        </w:tc>
        <w:tc>
          <w:tcPr>
            <w:tcW w:w="1637" w:type="dxa"/>
            <w:noWrap/>
            <w:hideMark/>
          </w:tcPr>
          <w:p w:rsidR="009F4A1E" w:rsidRPr="00BF4ED9" w:rsidRDefault="005C48D5" w:rsidP="005C48D5">
            <w:pPr>
              <w:pStyle w:val="Paragraphedeliste"/>
              <w:numPr>
                <w:ilvl w:val="0"/>
                <w:numId w:val="4"/>
              </w:numPr>
              <w:jc w:val="center"/>
              <w:outlineLvl w:val="0"/>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258 607</w:t>
            </w:r>
          </w:p>
        </w:tc>
      </w:tr>
      <w:tr w:rsidR="009F4A1E" w:rsidRPr="009F4A1E" w:rsidTr="004110F2">
        <w:trPr>
          <w:trHeight w:val="360"/>
          <w:jc w:val="center"/>
        </w:trPr>
        <w:tc>
          <w:tcPr>
            <w:cnfStyle w:val="001000000000"/>
            <w:tcW w:w="4189" w:type="dxa"/>
            <w:hideMark/>
          </w:tcPr>
          <w:p w:rsidR="009F4A1E" w:rsidRPr="008A774C" w:rsidRDefault="002B3C24" w:rsidP="0026336E">
            <w:pPr>
              <w:jc w:val="center"/>
              <w:outlineLvl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 xml:space="preserve">Crédit </w:t>
            </w:r>
          </w:p>
        </w:tc>
        <w:tc>
          <w:tcPr>
            <w:tcW w:w="1637" w:type="dxa"/>
            <w:noWrap/>
            <w:hideMark/>
          </w:tcPr>
          <w:p w:rsidR="009F4A1E" w:rsidRPr="009F4A1E" w:rsidRDefault="005C48D5" w:rsidP="0026336E">
            <w:pPr>
              <w:jc w:val="center"/>
              <w:outlineLvl w:val="0"/>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406 581</w:t>
            </w:r>
          </w:p>
        </w:tc>
      </w:tr>
    </w:tbl>
    <w:p w:rsidR="005C48D5" w:rsidRPr="009F4A1E" w:rsidRDefault="00AA0EA5" w:rsidP="00E3336A">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Tableau N°</w:t>
      </w:r>
      <w:proofErr w:type="gramStart"/>
      <w:r w:rsidR="00B73BA9">
        <w:rPr>
          <w:rFonts w:asciiTheme="majorBidi" w:hAnsiTheme="majorBidi" w:cstheme="majorBidi"/>
          <w:b/>
          <w:bCs/>
          <w:sz w:val="24"/>
          <w:szCs w:val="24"/>
        </w:rPr>
        <w:t>16</w:t>
      </w:r>
      <w:r>
        <w:rPr>
          <w:rFonts w:asciiTheme="majorBidi" w:hAnsiTheme="majorBidi" w:cstheme="majorBidi"/>
          <w:b/>
          <w:bCs/>
          <w:sz w:val="24"/>
          <w:szCs w:val="24"/>
        </w:rPr>
        <w:t>:</w:t>
      </w:r>
      <w:proofErr w:type="gramEnd"/>
      <w:r>
        <w:rPr>
          <w:rFonts w:asciiTheme="majorBidi" w:hAnsiTheme="majorBidi" w:cstheme="majorBidi"/>
          <w:b/>
          <w:bCs/>
          <w:sz w:val="24"/>
          <w:szCs w:val="24"/>
        </w:rPr>
        <w:t xml:space="preserve"> Le calcul de la</w:t>
      </w:r>
      <w:r w:rsidR="004110F2">
        <w:rPr>
          <w:rFonts w:asciiTheme="majorBidi" w:hAnsiTheme="majorBidi" w:cstheme="majorBidi"/>
          <w:b/>
          <w:bCs/>
          <w:sz w:val="24"/>
          <w:szCs w:val="24"/>
        </w:rPr>
        <w:t xml:space="preserve"> mesure du volume du</w:t>
      </w:r>
      <w:r w:rsidR="00292179">
        <w:rPr>
          <w:rFonts w:asciiTheme="majorBidi" w:hAnsiTheme="majorBidi" w:cstheme="majorBidi"/>
          <w:b/>
          <w:bCs/>
          <w:sz w:val="24"/>
          <w:szCs w:val="24"/>
        </w:rPr>
        <w:t xml:space="preserve"> risque de provisionnement </w:t>
      </w:r>
    </w:p>
    <w:p w:rsidR="0002150B" w:rsidRDefault="0002150B" w:rsidP="0002150B">
      <w:pPr>
        <w:autoSpaceDE w:val="0"/>
        <w:autoSpaceDN w:val="0"/>
        <w:adjustRightInd w:val="0"/>
        <w:spacing w:after="0" w:line="240" w:lineRule="auto"/>
        <w:rPr>
          <w:rFonts w:asciiTheme="majorBidi" w:hAnsiTheme="majorBidi" w:cstheme="majorBidi"/>
          <w:sz w:val="24"/>
          <w:szCs w:val="24"/>
        </w:rPr>
      </w:pPr>
    </w:p>
    <w:p w:rsidR="00C03670" w:rsidRPr="00B82264" w:rsidRDefault="004634AC" w:rsidP="00B82264">
      <w:pPr>
        <w:autoSpaceDE w:val="0"/>
        <w:autoSpaceDN w:val="0"/>
        <w:adjustRightInd w:val="0"/>
        <w:spacing w:after="0" w:line="360" w:lineRule="auto"/>
        <w:rPr>
          <w:rFonts w:asciiTheme="majorBidi" w:hAnsiTheme="majorBidi" w:cstheme="majorBidi"/>
          <w:sz w:val="24"/>
          <w:szCs w:val="24"/>
        </w:rPr>
      </w:pPr>
      <w:r w:rsidRPr="00C658EB">
        <w:rPr>
          <w:rFonts w:asciiTheme="majorBidi" w:hAnsiTheme="majorBidi" w:cstheme="majorBidi"/>
          <w:sz w:val="24"/>
          <w:szCs w:val="24"/>
        </w:rPr>
        <w:t xml:space="preserve"> </w:t>
      </w:r>
      <w:r w:rsidR="00C658EB" w:rsidRPr="00C658EB">
        <w:rPr>
          <w:rFonts w:asciiTheme="majorBidi" w:hAnsiTheme="majorBidi" w:cstheme="majorBidi"/>
          <w:sz w:val="24"/>
          <w:szCs w:val="24"/>
        </w:rPr>
        <w:t xml:space="preserve">Ce qui donne une </w:t>
      </w:r>
      <w:r w:rsidR="00C658EB">
        <w:rPr>
          <w:rFonts w:asciiTheme="majorBidi" w:hAnsiTheme="majorBidi" w:cstheme="majorBidi"/>
          <w:sz w:val="24"/>
          <w:szCs w:val="24"/>
        </w:rPr>
        <w:t>me</w:t>
      </w:r>
      <w:r w:rsidR="00B82264">
        <w:rPr>
          <w:rFonts w:asciiTheme="majorBidi" w:hAnsiTheme="majorBidi" w:cstheme="majorBidi"/>
          <w:sz w:val="24"/>
          <w:szCs w:val="24"/>
        </w:rPr>
        <w:t xml:space="preserve">sure du volume de risque (V) de :       </w:t>
      </w:r>
      <w:r w:rsidR="00C03670" w:rsidRPr="00B82264">
        <w:rPr>
          <w:rFonts w:asciiTheme="majorBidi" w:hAnsiTheme="majorBidi" w:cstheme="majorBidi"/>
          <w:b/>
          <w:bCs/>
          <w:i/>
          <w:iCs/>
          <w:sz w:val="24"/>
          <w:szCs w:val="24"/>
        </w:rPr>
        <w:t>V=</w:t>
      </w:r>
      <w:r w:rsidR="00B82264" w:rsidRPr="00B82264">
        <w:rPr>
          <w:rFonts w:asciiTheme="majorBidi" w:hAnsiTheme="majorBidi" w:cstheme="majorBidi"/>
          <w:b/>
          <w:bCs/>
          <w:i/>
          <w:iCs/>
          <w:sz w:val="24"/>
          <w:szCs w:val="24"/>
        </w:rPr>
        <w:t xml:space="preserve"> </w:t>
      </w:r>
      <w:proofErr w:type="spellStart"/>
      <w:r w:rsidR="00B82264" w:rsidRPr="00B82264">
        <w:rPr>
          <w:rFonts w:asciiTheme="majorBidi" w:hAnsiTheme="majorBidi" w:cstheme="majorBidi"/>
          <w:b/>
          <w:bCs/>
          <w:i/>
          <w:iCs/>
          <w:sz w:val="24"/>
          <w:szCs w:val="24"/>
        </w:rPr>
        <w:t>V</w:t>
      </w:r>
      <w:r w:rsidR="00B82264" w:rsidRPr="00B82264">
        <w:rPr>
          <w:rFonts w:asciiTheme="majorBidi" w:hAnsiTheme="majorBidi" w:cstheme="majorBidi"/>
          <w:b/>
          <w:bCs/>
          <w:i/>
          <w:iCs/>
          <w:sz w:val="24"/>
          <w:szCs w:val="24"/>
          <w:vertAlign w:val="subscript"/>
        </w:rPr>
        <w:t>prem</w:t>
      </w:r>
      <w:proofErr w:type="spellEnd"/>
      <w:r w:rsidR="00B82264" w:rsidRPr="00B82264">
        <w:rPr>
          <w:rFonts w:asciiTheme="majorBidi" w:hAnsiTheme="majorBidi" w:cstheme="majorBidi"/>
          <w:b/>
          <w:bCs/>
          <w:i/>
          <w:iCs/>
          <w:sz w:val="24"/>
          <w:szCs w:val="24"/>
        </w:rPr>
        <w:t>+</w:t>
      </w:r>
      <w:proofErr w:type="spellStart"/>
      <w:r w:rsidR="00B82264" w:rsidRPr="00B82264">
        <w:rPr>
          <w:rFonts w:asciiTheme="majorBidi" w:hAnsiTheme="majorBidi" w:cstheme="majorBidi"/>
          <w:b/>
          <w:bCs/>
          <w:i/>
          <w:iCs/>
          <w:sz w:val="24"/>
          <w:szCs w:val="24"/>
        </w:rPr>
        <w:t>V</w:t>
      </w:r>
      <w:r w:rsidR="00B82264" w:rsidRPr="00B82264">
        <w:rPr>
          <w:rFonts w:asciiTheme="majorBidi" w:hAnsiTheme="majorBidi" w:cstheme="majorBidi"/>
          <w:b/>
          <w:bCs/>
          <w:i/>
          <w:iCs/>
          <w:sz w:val="24"/>
          <w:szCs w:val="24"/>
          <w:vertAlign w:val="subscript"/>
        </w:rPr>
        <w:t>rres</w:t>
      </w:r>
      <w:proofErr w:type="spellEnd"/>
    </w:p>
    <w:p w:rsidR="0094759D" w:rsidRPr="00E3336A" w:rsidRDefault="00C658EB" w:rsidP="00E3336A">
      <w:pPr>
        <w:pStyle w:val="Paragraphedeliste"/>
        <w:autoSpaceDE w:val="0"/>
        <w:autoSpaceDN w:val="0"/>
        <w:adjustRightInd w:val="0"/>
        <w:spacing w:after="0" w:line="360" w:lineRule="auto"/>
        <w:ind w:left="0"/>
        <w:jc w:val="both"/>
        <w:rPr>
          <w:rFonts w:asciiTheme="majorBidi" w:hAnsiTheme="majorBidi" w:cstheme="majorBidi"/>
          <w:b/>
          <w:bCs/>
          <w:sz w:val="24"/>
          <w:szCs w:val="24"/>
          <w:vertAlign w:val="subscript"/>
        </w:rPr>
      </w:pPr>
      <w:r>
        <w:rPr>
          <w:rFonts w:asciiTheme="majorBidi" w:hAnsiTheme="majorBidi" w:cstheme="majorBidi"/>
          <w:sz w:val="24"/>
          <w:szCs w:val="24"/>
        </w:rPr>
        <w:t xml:space="preserve"> </w:t>
      </w:r>
      <w:r w:rsidR="00E3336A">
        <w:rPr>
          <w:rFonts w:asciiTheme="majorBidi" w:hAnsiTheme="majorBidi" w:cstheme="majorBidi"/>
          <w:b/>
          <w:bCs/>
          <w:sz w:val="24"/>
          <w:szCs w:val="24"/>
          <w:vertAlign w:val="subscript"/>
        </w:rPr>
        <w:t xml:space="preserve">                                                                                                                           (Montant exprimé en milliers)</w:t>
      </w:r>
    </w:p>
    <w:tbl>
      <w:tblPr>
        <w:tblStyle w:val="Grillemoyenne1-Accent4"/>
        <w:tblW w:w="5157" w:type="dxa"/>
        <w:jc w:val="center"/>
        <w:tblLook w:val="04A0"/>
      </w:tblPr>
      <w:tblGrid>
        <w:gridCol w:w="3456"/>
        <w:gridCol w:w="1701"/>
      </w:tblGrid>
      <w:tr w:rsidR="00C658EB" w:rsidRPr="00C658EB" w:rsidTr="004110F2">
        <w:trPr>
          <w:cnfStyle w:val="100000000000"/>
          <w:trHeight w:val="255"/>
          <w:jc w:val="center"/>
        </w:trPr>
        <w:tc>
          <w:tcPr>
            <w:cnfStyle w:val="001000000000"/>
            <w:tcW w:w="3456" w:type="dxa"/>
            <w:hideMark/>
          </w:tcPr>
          <w:p w:rsidR="00C658EB" w:rsidRPr="00C658EB" w:rsidRDefault="004110F2" w:rsidP="00B125F6">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Mesure du volume</w:t>
            </w:r>
          </w:p>
        </w:tc>
        <w:tc>
          <w:tcPr>
            <w:tcW w:w="1701" w:type="dxa"/>
            <w:hideMark/>
          </w:tcPr>
          <w:p w:rsidR="00C658EB" w:rsidRPr="0026336E" w:rsidRDefault="00C658EB" w:rsidP="0026336E">
            <w:pPr>
              <w:outlineLvl w:val="0"/>
              <w:cnfStyle w:val="100000000000"/>
              <w:rPr>
                <w:rFonts w:ascii="Times New Roman" w:eastAsia="Times New Roman" w:hAnsi="Times New Roman" w:cs="Times New Roman"/>
                <w:b w:val="0"/>
                <w:bCs w:val="0"/>
                <w:sz w:val="20"/>
                <w:szCs w:val="20"/>
              </w:rPr>
            </w:pPr>
            <w:r w:rsidRPr="00C658EB">
              <w:rPr>
                <w:rFonts w:ascii="Times New Roman" w:eastAsia="Times New Roman" w:hAnsi="Times New Roman" w:cs="Times New Roman"/>
                <w:sz w:val="20"/>
                <w:szCs w:val="20"/>
              </w:rPr>
              <w:t> </w:t>
            </w:r>
            <w:proofErr w:type="spellStart"/>
            <w:r w:rsidRPr="00C658EB">
              <w:rPr>
                <w:rFonts w:ascii="Times New Roman" w:eastAsia="Times New Roman" w:hAnsi="Times New Roman" w:cs="Times New Roman"/>
                <w:sz w:val="20"/>
                <w:szCs w:val="20"/>
              </w:rPr>
              <w:t>V</w:t>
            </w:r>
            <w:r w:rsidRPr="00C658EB">
              <w:rPr>
                <w:rFonts w:ascii="Times New Roman" w:eastAsia="Times New Roman" w:hAnsi="Times New Roman" w:cs="Times New Roman"/>
                <w:sz w:val="20"/>
                <w:szCs w:val="20"/>
                <w:vertAlign w:val="subscript"/>
              </w:rPr>
              <w:t>lob</w:t>
            </w:r>
            <w:proofErr w:type="spellEnd"/>
          </w:p>
        </w:tc>
      </w:tr>
      <w:tr w:rsidR="00C658EB" w:rsidRPr="00C658EB" w:rsidTr="004110F2">
        <w:trPr>
          <w:cnfStyle w:val="000000100000"/>
          <w:trHeight w:val="255"/>
          <w:jc w:val="center"/>
        </w:trPr>
        <w:tc>
          <w:tcPr>
            <w:cnfStyle w:val="001000000000"/>
            <w:tcW w:w="3456" w:type="dxa"/>
            <w:hideMark/>
          </w:tcPr>
          <w:p w:rsidR="00C658EB" w:rsidRPr="008A774C" w:rsidRDefault="004F7F91" w:rsidP="00B125F6">
            <w:pPr>
              <w:jc w:val="center"/>
              <w:outlineLvl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RC automobile</w:t>
            </w:r>
          </w:p>
        </w:tc>
        <w:tc>
          <w:tcPr>
            <w:tcW w:w="1701" w:type="dxa"/>
            <w:noWrap/>
            <w:hideMark/>
          </w:tcPr>
          <w:p w:rsidR="00C658EB" w:rsidRPr="00C658EB" w:rsidRDefault="00E3336A" w:rsidP="00B125F6">
            <w:pPr>
              <w:jc w:val="center"/>
              <w:outlineLvl w:val="0"/>
              <w:cnfStyle w:val="000000100000"/>
              <w:rPr>
                <w:rFonts w:asciiTheme="majorBidi" w:eastAsia="Times New Roman" w:hAnsiTheme="majorBidi" w:cstheme="majorBidi"/>
              </w:rPr>
            </w:pPr>
            <w:r>
              <w:rPr>
                <w:rFonts w:asciiTheme="majorBidi" w:eastAsia="Times New Roman" w:hAnsiTheme="majorBidi" w:cstheme="majorBidi"/>
              </w:rPr>
              <w:t>2 030</w:t>
            </w:r>
            <w:r w:rsidR="00BB1B6C">
              <w:rPr>
                <w:rFonts w:asciiTheme="majorBidi" w:eastAsia="Times New Roman" w:hAnsiTheme="majorBidi" w:cstheme="majorBidi"/>
              </w:rPr>
              <w:t> </w:t>
            </w:r>
            <w:r>
              <w:rPr>
                <w:rFonts w:asciiTheme="majorBidi" w:eastAsia="Times New Roman" w:hAnsiTheme="majorBidi" w:cstheme="majorBidi"/>
              </w:rPr>
              <w:t>718</w:t>
            </w:r>
            <w:r w:rsidR="00BB1B6C">
              <w:rPr>
                <w:rFonts w:asciiTheme="majorBidi" w:eastAsia="Times New Roman" w:hAnsiTheme="majorBidi" w:cstheme="majorBidi"/>
              </w:rPr>
              <w:t>.7</w:t>
            </w:r>
          </w:p>
        </w:tc>
      </w:tr>
      <w:tr w:rsidR="00C658EB" w:rsidRPr="00C658EB" w:rsidTr="004110F2">
        <w:trPr>
          <w:trHeight w:val="255"/>
          <w:jc w:val="center"/>
        </w:trPr>
        <w:tc>
          <w:tcPr>
            <w:cnfStyle w:val="001000000000"/>
            <w:tcW w:w="3456" w:type="dxa"/>
            <w:hideMark/>
          </w:tcPr>
          <w:p w:rsidR="00C658EB" w:rsidRPr="008A774C" w:rsidRDefault="004F7F91" w:rsidP="00B125F6">
            <w:pPr>
              <w:jc w:val="center"/>
              <w:outlineLvl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 xml:space="preserve">Corps de </w:t>
            </w:r>
            <w:r w:rsidR="0058355D">
              <w:rPr>
                <w:rFonts w:ascii="Times New Roman" w:eastAsia="Times New Roman" w:hAnsi="Times New Roman" w:cs="Times New Roman"/>
                <w:b w:val="0"/>
                <w:bCs w:val="0"/>
                <w:sz w:val="20"/>
                <w:szCs w:val="20"/>
              </w:rPr>
              <w:t>véhicule terrestre</w:t>
            </w:r>
          </w:p>
        </w:tc>
        <w:tc>
          <w:tcPr>
            <w:tcW w:w="1701" w:type="dxa"/>
            <w:noWrap/>
            <w:hideMark/>
          </w:tcPr>
          <w:p w:rsidR="00C658EB" w:rsidRPr="00C658EB" w:rsidRDefault="00BB1B6C" w:rsidP="00B125F6">
            <w:pPr>
              <w:jc w:val="center"/>
              <w:outlineLvl w:val="0"/>
              <w:cnfStyle w:val="000000000000"/>
              <w:rPr>
                <w:rFonts w:asciiTheme="majorBidi" w:eastAsia="Times New Roman" w:hAnsiTheme="majorBidi" w:cstheme="majorBidi"/>
              </w:rPr>
            </w:pPr>
            <w:r>
              <w:rPr>
                <w:rFonts w:asciiTheme="majorBidi" w:eastAsia="Times New Roman" w:hAnsiTheme="majorBidi" w:cstheme="majorBidi"/>
              </w:rPr>
              <w:t>7 886 581.4</w:t>
            </w:r>
          </w:p>
        </w:tc>
      </w:tr>
      <w:tr w:rsidR="00C658EB" w:rsidRPr="00C658EB" w:rsidTr="004110F2">
        <w:trPr>
          <w:cnfStyle w:val="000000100000"/>
          <w:trHeight w:val="255"/>
          <w:jc w:val="center"/>
        </w:trPr>
        <w:tc>
          <w:tcPr>
            <w:cnfStyle w:val="001000000000"/>
            <w:tcW w:w="3456" w:type="dxa"/>
            <w:hideMark/>
          </w:tcPr>
          <w:p w:rsidR="00C658EB" w:rsidRPr="008A774C" w:rsidRDefault="004110F2" w:rsidP="00B125F6">
            <w:pPr>
              <w:jc w:val="center"/>
              <w:outlineLvl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Transport</w:t>
            </w:r>
          </w:p>
        </w:tc>
        <w:tc>
          <w:tcPr>
            <w:tcW w:w="1701" w:type="dxa"/>
            <w:noWrap/>
            <w:hideMark/>
          </w:tcPr>
          <w:p w:rsidR="00C658EB" w:rsidRPr="00C658EB" w:rsidRDefault="00BB1B6C" w:rsidP="00B125F6">
            <w:pPr>
              <w:jc w:val="center"/>
              <w:outlineLvl w:val="0"/>
              <w:cnfStyle w:val="000000100000"/>
              <w:rPr>
                <w:rFonts w:asciiTheme="majorBidi" w:eastAsia="Times New Roman" w:hAnsiTheme="majorBidi" w:cstheme="majorBidi"/>
              </w:rPr>
            </w:pPr>
            <w:r>
              <w:rPr>
                <w:rFonts w:asciiTheme="majorBidi" w:eastAsia="Times New Roman" w:hAnsiTheme="majorBidi" w:cstheme="majorBidi"/>
              </w:rPr>
              <w:t>2 339 173.7</w:t>
            </w:r>
          </w:p>
        </w:tc>
      </w:tr>
      <w:tr w:rsidR="00C658EB" w:rsidRPr="00C658EB" w:rsidTr="004110F2">
        <w:trPr>
          <w:trHeight w:val="255"/>
          <w:jc w:val="center"/>
        </w:trPr>
        <w:tc>
          <w:tcPr>
            <w:cnfStyle w:val="001000000000"/>
            <w:tcW w:w="3456" w:type="dxa"/>
            <w:hideMark/>
          </w:tcPr>
          <w:p w:rsidR="00C658EB" w:rsidRPr="008A774C" w:rsidRDefault="004110F2" w:rsidP="00B125F6">
            <w:pPr>
              <w:jc w:val="center"/>
              <w:outlineLvl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Incendie et autres dommages aux biens</w:t>
            </w:r>
          </w:p>
        </w:tc>
        <w:tc>
          <w:tcPr>
            <w:tcW w:w="1701" w:type="dxa"/>
            <w:noWrap/>
            <w:hideMark/>
          </w:tcPr>
          <w:p w:rsidR="00C658EB" w:rsidRPr="00C658EB" w:rsidRDefault="00BB1B6C" w:rsidP="00B125F6">
            <w:pPr>
              <w:jc w:val="center"/>
              <w:outlineLvl w:val="0"/>
              <w:cnfStyle w:val="000000000000"/>
              <w:rPr>
                <w:rFonts w:asciiTheme="majorBidi" w:eastAsia="Times New Roman" w:hAnsiTheme="majorBidi" w:cstheme="majorBidi"/>
              </w:rPr>
            </w:pPr>
            <w:r>
              <w:rPr>
                <w:rFonts w:asciiTheme="majorBidi" w:eastAsia="Times New Roman" w:hAnsiTheme="majorBidi" w:cstheme="majorBidi"/>
              </w:rPr>
              <w:t>8 852 626.6</w:t>
            </w:r>
          </w:p>
        </w:tc>
      </w:tr>
      <w:tr w:rsidR="00C658EB" w:rsidRPr="00C658EB" w:rsidTr="004110F2">
        <w:trPr>
          <w:cnfStyle w:val="000000100000"/>
          <w:trHeight w:val="255"/>
          <w:jc w:val="center"/>
        </w:trPr>
        <w:tc>
          <w:tcPr>
            <w:cnfStyle w:val="001000000000"/>
            <w:tcW w:w="3456" w:type="dxa"/>
            <w:hideMark/>
          </w:tcPr>
          <w:p w:rsidR="00C658EB" w:rsidRPr="008A774C" w:rsidRDefault="004110F2" w:rsidP="00B125F6">
            <w:pPr>
              <w:jc w:val="center"/>
              <w:outlineLvl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RC générale</w:t>
            </w:r>
          </w:p>
        </w:tc>
        <w:tc>
          <w:tcPr>
            <w:tcW w:w="1701" w:type="dxa"/>
            <w:noWrap/>
            <w:hideMark/>
          </w:tcPr>
          <w:p w:rsidR="00C658EB" w:rsidRPr="00C658EB" w:rsidRDefault="00BB1B6C" w:rsidP="00B125F6">
            <w:pPr>
              <w:jc w:val="center"/>
              <w:outlineLvl w:val="0"/>
              <w:cnfStyle w:val="000000100000"/>
              <w:rPr>
                <w:rFonts w:asciiTheme="majorBidi" w:eastAsia="Times New Roman" w:hAnsiTheme="majorBidi" w:cstheme="majorBidi"/>
              </w:rPr>
            </w:pPr>
            <w:r>
              <w:rPr>
                <w:rFonts w:asciiTheme="majorBidi" w:eastAsia="Times New Roman" w:hAnsiTheme="majorBidi" w:cstheme="majorBidi"/>
              </w:rPr>
              <w:t>506 357.6</w:t>
            </w:r>
          </w:p>
        </w:tc>
      </w:tr>
      <w:tr w:rsidR="00C658EB" w:rsidRPr="00C658EB" w:rsidTr="004110F2">
        <w:trPr>
          <w:trHeight w:val="255"/>
          <w:jc w:val="center"/>
        </w:trPr>
        <w:tc>
          <w:tcPr>
            <w:cnfStyle w:val="001000000000"/>
            <w:tcW w:w="3456" w:type="dxa"/>
            <w:hideMark/>
          </w:tcPr>
          <w:p w:rsidR="00C658EB" w:rsidRPr="008A774C" w:rsidRDefault="00B125F6" w:rsidP="00B125F6">
            <w:pPr>
              <w:jc w:val="center"/>
              <w:outlineLvl w:val="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Crédit</w:t>
            </w:r>
          </w:p>
        </w:tc>
        <w:tc>
          <w:tcPr>
            <w:tcW w:w="1701" w:type="dxa"/>
            <w:noWrap/>
            <w:hideMark/>
          </w:tcPr>
          <w:p w:rsidR="00C658EB" w:rsidRPr="00C658EB" w:rsidRDefault="00BB1B6C" w:rsidP="00B125F6">
            <w:pPr>
              <w:jc w:val="center"/>
              <w:outlineLvl w:val="0"/>
              <w:cnfStyle w:val="000000000000"/>
              <w:rPr>
                <w:rFonts w:asciiTheme="majorBidi" w:eastAsia="Times New Roman" w:hAnsiTheme="majorBidi" w:cstheme="majorBidi"/>
              </w:rPr>
            </w:pPr>
            <w:r>
              <w:rPr>
                <w:rFonts w:asciiTheme="majorBidi" w:eastAsia="Times New Roman" w:hAnsiTheme="majorBidi" w:cstheme="majorBidi"/>
              </w:rPr>
              <w:t>445950.9</w:t>
            </w:r>
          </w:p>
        </w:tc>
      </w:tr>
    </w:tbl>
    <w:p w:rsidR="00B125F6" w:rsidRDefault="0026336E" w:rsidP="00B125F6">
      <w:pPr>
        <w:autoSpaceDE w:val="0"/>
        <w:autoSpaceDN w:val="0"/>
        <w:adjustRightInd w:val="0"/>
        <w:spacing w:after="0" w:line="360" w:lineRule="auto"/>
        <w:jc w:val="both"/>
        <w:rPr>
          <w:rFonts w:asciiTheme="majorBidi" w:hAnsiTheme="majorBidi" w:cstheme="majorBidi"/>
          <w:b/>
          <w:bCs/>
          <w:sz w:val="24"/>
          <w:szCs w:val="24"/>
        </w:rPr>
      </w:pPr>
      <w:r w:rsidRPr="0026336E">
        <w:rPr>
          <w:rFonts w:asciiTheme="majorBidi" w:hAnsiTheme="majorBidi" w:cstheme="majorBidi"/>
          <w:b/>
          <w:bCs/>
          <w:sz w:val="24"/>
          <w:szCs w:val="24"/>
        </w:rPr>
        <w:t>Tableau N°</w:t>
      </w:r>
      <w:proofErr w:type="gramStart"/>
      <w:r w:rsidR="00B73BA9">
        <w:rPr>
          <w:rFonts w:asciiTheme="majorBidi" w:hAnsiTheme="majorBidi" w:cstheme="majorBidi"/>
          <w:b/>
          <w:bCs/>
          <w:sz w:val="24"/>
          <w:szCs w:val="24"/>
        </w:rPr>
        <w:t>17</w:t>
      </w:r>
      <w:r w:rsidRPr="0026336E">
        <w:rPr>
          <w:rFonts w:asciiTheme="majorBidi" w:hAnsiTheme="majorBidi" w:cstheme="majorBidi"/>
          <w:b/>
          <w:bCs/>
          <w:sz w:val="24"/>
          <w:szCs w:val="24"/>
        </w:rPr>
        <w:t>:</w:t>
      </w:r>
      <w:proofErr w:type="gramEnd"/>
      <w:r w:rsidR="004E6C0C">
        <w:rPr>
          <w:rFonts w:asciiTheme="majorBidi" w:hAnsiTheme="majorBidi" w:cstheme="majorBidi"/>
          <w:b/>
          <w:bCs/>
          <w:sz w:val="24"/>
          <w:szCs w:val="24"/>
        </w:rPr>
        <w:t xml:space="preserve"> L</w:t>
      </w:r>
      <w:r w:rsidRPr="0026336E">
        <w:rPr>
          <w:rFonts w:asciiTheme="majorBidi" w:hAnsiTheme="majorBidi" w:cstheme="majorBidi"/>
          <w:b/>
          <w:bCs/>
          <w:sz w:val="24"/>
          <w:szCs w:val="24"/>
        </w:rPr>
        <w:t>e calcul de la mes</w:t>
      </w:r>
      <w:r w:rsidR="002A0052">
        <w:rPr>
          <w:rFonts w:asciiTheme="majorBidi" w:hAnsiTheme="majorBidi" w:cstheme="majorBidi"/>
          <w:b/>
          <w:bCs/>
          <w:sz w:val="24"/>
          <w:szCs w:val="24"/>
        </w:rPr>
        <w:t>ure du volume de risque de tarification</w:t>
      </w:r>
      <w:r w:rsidRPr="0026336E">
        <w:rPr>
          <w:rFonts w:asciiTheme="majorBidi" w:hAnsiTheme="majorBidi" w:cstheme="majorBidi"/>
          <w:b/>
          <w:bCs/>
          <w:sz w:val="24"/>
          <w:szCs w:val="24"/>
        </w:rPr>
        <w:t xml:space="preserve"> et de</w:t>
      </w:r>
      <w:r>
        <w:rPr>
          <w:rFonts w:asciiTheme="majorBidi" w:hAnsiTheme="majorBidi" w:cstheme="majorBidi"/>
          <w:sz w:val="24"/>
          <w:szCs w:val="24"/>
        </w:rPr>
        <w:t xml:space="preserve"> </w:t>
      </w:r>
      <w:r w:rsidR="002A0052">
        <w:rPr>
          <w:rFonts w:asciiTheme="majorBidi" w:hAnsiTheme="majorBidi" w:cstheme="majorBidi"/>
          <w:b/>
          <w:bCs/>
          <w:sz w:val="24"/>
          <w:szCs w:val="24"/>
        </w:rPr>
        <w:t>provisionnement</w:t>
      </w:r>
    </w:p>
    <w:p w:rsidR="0002150B" w:rsidRDefault="0002150B" w:rsidP="0002150B">
      <w:pPr>
        <w:autoSpaceDE w:val="0"/>
        <w:autoSpaceDN w:val="0"/>
        <w:adjustRightInd w:val="0"/>
        <w:spacing w:after="0" w:line="240" w:lineRule="auto"/>
        <w:jc w:val="both"/>
        <w:rPr>
          <w:rFonts w:asciiTheme="majorBidi" w:hAnsiTheme="majorBidi" w:cstheme="majorBidi"/>
          <w:sz w:val="24"/>
          <w:szCs w:val="24"/>
        </w:rPr>
      </w:pPr>
    </w:p>
    <w:p w:rsidR="00623CC7" w:rsidRDefault="0026336E" w:rsidP="008C3488">
      <w:pPr>
        <w:autoSpaceDE w:val="0"/>
        <w:autoSpaceDN w:val="0"/>
        <w:adjustRightInd w:val="0"/>
        <w:spacing w:after="0" w:line="360" w:lineRule="auto"/>
        <w:jc w:val="both"/>
        <w:rPr>
          <w:rFonts w:asciiTheme="majorBidi" w:hAnsiTheme="majorBidi" w:cstheme="majorBidi"/>
          <w:sz w:val="24"/>
          <w:szCs w:val="24"/>
        </w:rPr>
      </w:pPr>
      <w:r w:rsidRPr="005909A5">
        <w:rPr>
          <w:rFonts w:asciiTheme="majorBidi" w:hAnsiTheme="majorBidi" w:cstheme="majorBidi"/>
          <w:sz w:val="24"/>
          <w:szCs w:val="24"/>
        </w:rPr>
        <w:t xml:space="preserve"> </w:t>
      </w:r>
      <w:r w:rsidR="00955DB4" w:rsidRPr="005909A5">
        <w:rPr>
          <w:rFonts w:asciiTheme="majorBidi" w:hAnsiTheme="majorBidi" w:cstheme="majorBidi"/>
          <w:sz w:val="24"/>
          <w:szCs w:val="24"/>
        </w:rPr>
        <w:t>Ce qui résulte une charge de capital pour le risque de souscription non-vie</w:t>
      </w:r>
      <w:r w:rsidR="00E610AD">
        <w:rPr>
          <w:rFonts w:asciiTheme="majorBidi" w:hAnsiTheme="majorBidi" w:cstheme="majorBidi"/>
          <w:sz w:val="24"/>
          <w:szCs w:val="24"/>
        </w:rPr>
        <w:t xml:space="preserve"> </w:t>
      </w:r>
      <w:proofErr w:type="gramStart"/>
      <w:r w:rsidR="00E610AD">
        <w:rPr>
          <w:rFonts w:asciiTheme="majorBidi" w:hAnsiTheme="majorBidi" w:cstheme="majorBidi"/>
          <w:sz w:val="24"/>
          <w:szCs w:val="24"/>
        </w:rPr>
        <w:t>de:</w:t>
      </w:r>
      <w:proofErr w:type="gramEnd"/>
      <w:r w:rsidR="00955DB4" w:rsidRPr="005909A5">
        <w:rPr>
          <w:rFonts w:asciiTheme="majorBidi" w:hAnsiTheme="majorBidi" w:cstheme="majorBidi"/>
          <w:sz w:val="24"/>
          <w:szCs w:val="24"/>
        </w:rPr>
        <w:t xml:space="preserve"> </w:t>
      </w:r>
    </w:p>
    <w:p w:rsidR="0002150B" w:rsidRPr="005909A5" w:rsidRDefault="0002150B" w:rsidP="008C3488">
      <w:pPr>
        <w:autoSpaceDE w:val="0"/>
        <w:autoSpaceDN w:val="0"/>
        <w:adjustRightInd w:val="0"/>
        <w:spacing w:after="0" w:line="360" w:lineRule="auto"/>
        <w:jc w:val="both"/>
        <w:rPr>
          <w:rFonts w:asciiTheme="majorBidi" w:hAnsiTheme="majorBidi" w:cstheme="majorBidi"/>
          <w:sz w:val="24"/>
          <w:szCs w:val="24"/>
        </w:rPr>
      </w:pPr>
    </w:p>
    <w:tbl>
      <w:tblPr>
        <w:tblStyle w:val="Grillemoyenne3-Accent4"/>
        <w:tblpPr w:leftFromText="141" w:rightFromText="141" w:vertAnchor="text" w:horzAnchor="page" w:tblpXSpec="center" w:tblpY="105"/>
        <w:tblW w:w="7054" w:type="dxa"/>
        <w:tblLook w:val="04A0"/>
      </w:tblPr>
      <w:tblGrid>
        <w:gridCol w:w="4928"/>
        <w:gridCol w:w="2126"/>
      </w:tblGrid>
      <w:tr w:rsidR="00EB768F" w:rsidRPr="008A774C" w:rsidTr="009634CF">
        <w:trPr>
          <w:cnfStyle w:val="100000000000"/>
          <w:trHeight w:val="375"/>
        </w:trPr>
        <w:tc>
          <w:tcPr>
            <w:cnfStyle w:val="001000000000"/>
            <w:tcW w:w="4928" w:type="dxa"/>
            <w:noWrap/>
            <w:hideMark/>
          </w:tcPr>
          <w:p w:rsidR="008A774C" w:rsidRPr="00DC745E" w:rsidRDefault="008A774C" w:rsidP="008A774C">
            <w:pPr>
              <w:jc w:val="center"/>
              <w:outlineLvl w:val="0"/>
              <w:rPr>
                <w:rFonts w:asciiTheme="majorBidi" w:eastAsia="Times New Roman" w:hAnsiTheme="majorBidi" w:cstheme="majorBidi"/>
                <w:sz w:val="24"/>
                <w:szCs w:val="24"/>
              </w:rPr>
            </w:pPr>
            <w:r w:rsidRPr="00DC745E">
              <w:rPr>
                <w:rFonts w:asciiTheme="majorBidi" w:eastAsia="Times New Roman" w:hAnsiTheme="majorBidi" w:cstheme="majorBidi"/>
                <w:sz w:val="24"/>
                <w:szCs w:val="24"/>
              </w:rPr>
              <w:lastRenderedPageBreak/>
              <w:t>La charge de capital pour le risque de sousc</w:t>
            </w:r>
            <w:r w:rsidR="00EB768F" w:rsidRPr="00DC745E">
              <w:rPr>
                <w:rFonts w:asciiTheme="majorBidi" w:eastAsia="Times New Roman" w:hAnsiTheme="majorBidi" w:cstheme="majorBidi"/>
                <w:sz w:val="24"/>
                <w:szCs w:val="24"/>
              </w:rPr>
              <w:t>ription non-vie</w:t>
            </w:r>
            <w:r w:rsidR="001A3E4E" w:rsidRPr="00DC745E">
              <w:rPr>
                <w:rFonts w:asciiTheme="majorBidi" w:eastAsia="Times New Roman" w:hAnsiTheme="majorBidi" w:cstheme="majorBidi"/>
                <w:sz w:val="24"/>
                <w:szCs w:val="24"/>
              </w:rPr>
              <w:t xml:space="preserve"> (SCR</w:t>
            </w:r>
            <w:r w:rsidR="001A3E4E" w:rsidRPr="00DC745E">
              <w:rPr>
                <w:rFonts w:asciiTheme="majorBidi" w:eastAsia="Times New Roman" w:hAnsiTheme="majorBidi" w:cstheme="majorBidi"/>
                <w:sz w:val="24"/>
                <w:szCs w:val="24"/>
                <w:vertAlign w:val="subscript"/>
              </w:rPr>
              <w:t>NV</w:t>
            </w:r>
            <w:r w:rsidR="001A3E4E" w:rsidRPr="00DC745E">
              <w:rPr>
                <w:rFonts w:asciiTheme="majorBidi" w:eastAsia="Times New Roman" w:hAnsiTheme="majorBidi" w:cstheme="majorBidi"/>
                <w:sz w:val="24"/>
                <w:szCs w:val="24"/>
              </w:rPr>
              <w:t>)</w:t>
            </w:r>
          </w:p>
        </w:tc>
        <w:tc>
          <w:tcPr>
            <w:tcW w:w="2126" w:type="dxa"/>
            <w:noWrap/>
            <w:hideMark/>
          </w:tcPr>
          <w:p w:rsidR="008A774C" w:rsidRPr="008A774C" w:rsidRDefault="002D3781" w:rsidP="002D3781">
            <w:pPr>
              <w:jc w:val="right"/>
              <w:cnfStyle w:val="100000000000"/>
              <w:rPr>
                <w:rFonts w:asciiTheme="majorBidi" w:eastAsia="Times New Roman" w:hAnsiTheme="majorBidi" w:cstheme="majorBidi"/>
                <w:sz w:val="24"/>
                <w:szCs w:val="24"/>
              </w:rPr>
            </w:pPr>
            <w:r>
              <w:rPr>
                <w:rFonts w:asciiTheme="majorBidi" w:eastAsia="Times New Roman" w:hAnsiTheme="majorBidi" w:cstheme="majorBidi"/>
                <w:sz w:val="24"/>
                <w:szCs w:val="24"/>
              </w:rPr>
              <w:t>4 018 729 687</w:t>
            </w:r>
            <w:r w:rsidRPr="002D3781">
              <w:rPr>
                <w:rFonts w:asciiTheme="majorBidi" w:eastAsia="Times New Roman" w:hAnsiTheme="majorBidi" w:cstheme="majorBidi"/>
                <w:sz w:val="24"/>
                <w:szCs w:val="24"/>
              </w:rPr>
              <w:t xml:space="preserve">   </w:t>
            </w:r>
          </w:p>
        </w:tc>
      </w:tr>
      <w:tr w:rsidR="00EB768F" w:rsidRPr="008A774C" w:rsidTr="009634CF">
        <w:trPr>
          <w:cnfStyle w:val="000000100000"/>
          <w:trHeight w:val="255"/>
        </w:trPr>
        <w:tc>
          <w:tcPr>
            <w:cnfStyle w:val="001000000000"/>
            <w:tcW w:w="4928" w:type="dxa"/>
            <w:hideMark/>
          </w:tcPr>
          <w:p w:rsidR="00EB768F" w:rsidRPr="008A774C" w:rsidRDefault="00EB768F" w:rsidP="00EB768F">
            <w:pPr>
              <w:outlineLvl w:val="0"/>
              <w:rPr>
                <w:rFonts w:asciiTheme="majorBidi" w:eastAsia="Times New Roman" w:hAnsiTheme="majorBidi" w:cstheme="majorBidi"/>
                <w:b w:val="0"/>
                <w:bCs w:val="0"/>
                <w:i/>
                <w:iCs/>
                <w:sz w:val="24"/>
                <w:szCs w:val="24"/>
              </w:rPr>
            </w:pPr>
            <w:r w:rsidRPr="00EB768F">
              <w:rPr>
                <w:rFonts w:asciiTheme="majorBidi" w:eastAsia="Times New Roman" w:hAnsiTheme="majorBidi" w:cstheme="majorBidi"/>
                <w:i/>
                <w:iCs/>
                <w:sz w:val="24"/>
                <w:szCs w:val="24"/>
              </w:rPr>
              <w:t>La fonction de la déviation standard</w:t>
            </w:r>
          </w:p>
        </w:tc>
        <w:tc>
          <w:tcPr>
            <w:tcW w:w="2126" w:type="dxa"/>
            <w:noWrap/>
            <w:hideMark/>
          </w:tcPr>
          <w:p w:rsidR="00EB768F" w:rsidRPr="008A774C" w:rsidRDefault="00EB768F" w:rsidP="008A774C">
            <w:pPr>
              <w:jc w:val="right"/>
              <w:outlineLvl w:val="0"/>
              <w:cnfStyle w:val="000000100000"/>
              <w:rPr>
                <w:rFonts w:asciiTheme="majorBidi" w:eastAsia="Times New Roman" w:hAnsiTheme="majorBidi" w:cstheme="majorBidi"/>
                <w:sz w:val="24"/>
                <w:szCs w:val="24"/>
              </w:rPr>
            </w:pPr>
            <w:r w:rsidRPr="008A774C">
              <w:rPr>
                <w:rFonts w:asciiTheme="majorBidi" w:eastAsia="Times New Roman" w:hAnsiTheme="majorBidi" w:cstheme="majorBidi"/>
                <w:sz w:val="24"/>
                <w:szCs w:val="24"/>
              </w:rPr>
              <w:t>0.2</w:t>
            </w:r>
          </w:p>
        </w:tc>
      </w:tr>
      <w:tr w:rsidR="00EB768F" w:rsidRPr="008A774C" w:rsidTr="009634CF">
        <w:trPr>
          <w:trHeight w:val="255"/>
        </w:trPr>
        <w:tc>
          <w:tcPr>
            <w:cnfStyle w:val="001000000000"/>
            <w:tcW w:w="4928" w:type="dxa"/>
            <w:hideMark/>
          </w:tcPr>
          <w:p w:rsidR="00EB768F" w:rsidRPr="008A774C" w:rsidRDefault="00EB768F" w:rsidP="00EB768F">
            <w:pPr>
              <w:outlineLvl w:val="0"/>
              <w:rPr>
                <w:rFonts w:asciiTheme="majorBidi" w:eastAsia="Times New Roman" w:hAnsiTheme="majorBidi" w:cstheme="majorBidi"/>
                <w:b w:val="0"/>
                <w:bCs w:val="0"/>
                <w:sz w:val="24"/>
                <w:szCs w:val="24"/>
              </w:rPr>
            </w:pPr>
            <w:r w:rsidRPr="00EB768F">
              <w:rPr>
                <w:rFonts w:asciiTheme="majorBidi" w:eastAsia="Times New Roman" w:hAnsiTheme="majorBidi" w:cstheme="majorBidi"/>
                <w:sz w:val="24"/>
                <w:szCs w:val="24"/>
              </w:rPr>
              <w:t xml:space="preserve">La déviation standard </w:t>
            </w:r>
          </w:p>
        </w:tc>
        <w:tc>
          <w:tcPr>
            <w:tcW w:w="2126" w:type="dxa"/>
            <w:noWrap/>
            <w:hideMark/>
          </w:tcPr>
          <w:p w:rsidR="00EB768F" w:rsidRPr="008A774C" w:rsidRDefault="00EB768F" w:rsidP="008A774C">
            <w:pPr>
              <w:jc w:val="right"/>
              <w:outlineLvl w:val="0"/>
              <w:cnfStyle w:val="000000000000"/>
              <w:rPr>
                <w:rFonts w:asciiTheme="majorBidi" w:eastAsia="Times New Roman" w:hAnsiTheme="majorBidi" w:cstheme="majorBidi"/>
                <w:sz w:val="24"/>
                <w:szCs w:val="24"/>
              </w:rPr>
            </w:pPr>
            <w:r w:rsidRPr="008A774C">
              <w:rPr>
                <w:rFonts w:asciiTheme="majorBidi" w:eastAsia="Times New Roman" w:hAnsiTheme="majorBidi" w:cstheme="majorBidi"/>
                <w:sz w:val="24"/>
                <w:szCs w:val="24"/>
              </w:rPr>
              <w:t>0.1</w:t>
            </w:r>
          </w:p>
        </w:tc>
      </w:tr>
      <w:tr w:rsidR="00EB768F" w:rsidRPr="008A774C" w:rsidTr="009634CF">
        <w:trPr>
          <w:cnfStyle w:val="000000100000"/>
          <w:trHeight w:val="255"/>
        </w:trPr>
        <w:tc>
          <w:tcPr>
            <w:cnfStyle w:val="001000000000"/>
            <w:tcW w:w="4928" w:type="dxa"/>
            <w:hideMark/>
          </w:tcPr>
          <w:p w:rsidR="00EB768F" w:rsidRPr="008A774C" w:rsidRDefault="00EB768F" w:rsidP="00EB768F">
            <w:pPr>
              <w:outlineLvl w:val="0"/>
              <w:rPr>
                <w:rFonts w:asciiTheme="majorBidi" w:eastAsia="Times New Roman" w:hAnsiTheme="majorBidi" w:cstheme="majorBidi"/>
                <w:b w:val="0"/>
                <w:bCs w:val="0"/>
                <w:sz w:val="24"/>
                <w:szCs w:val="24"/>
              </w:rPr>
            </w:pPr>
            <w:r w:rsidRPr="00EB768F">
              <w:rPr>
                <w:rFonts w:asciiTheme="majorBidi" w:eastAsia="Times New Roman" w:hAnsiTheme="majorBidi" w:cstheme="majorBidi"/>
                <w:sz w:val="24"/>
                <w:szCs w:val="24"/>
              </w:rPr>
              <w:t xml:space="preserve">La </w:t>
            </w:r>
            <w:r>
              <w:rPr>
                <w:rFonts w:asciiTheme="majorBidi" w:eastAsia="Times New Roman" w:hAnsiTheme="majorBidi" w:cstheme="majorBidi"/>
                <w:sz w:val="24"/>
                <w:szCs w:val="24"/>
              </w:rPr>
              <w:t>mesure du</w:t>
            </w:r>
            <w:r w:rsidRPr="00EB768F">
              <w:rPr>
                <w:rFonts w:asciiTheme="majorBidi" w:eastAsia="Times New Roman" w:hAnsiTheme="majorBidi" w:cstheme="majorBidi"/>
                <w:sz w:val="24"/>
                <w:szCs w:val="24"/>
              </w:rPr>
              <w:t xml:space="preserve"> volume</w:t>
            </w:r>
            <w:r w:rsidR="009634CF">
              <w:rPr>
                <w:rFonts w:asciiTheme="majorBidi" w:eastAsia="Times New Roman" w:hAnsiTheme="majorBidi" w:cstheme="majorBidi"/>
                <w:sz w:val="24"/>
                <w:szCs w:val="24"/>
              </w:rPr>
              <w:t xml:space="preserve"> de </w:t>
            </w:r>
            <w:r w:rsidR="0002150B">
              <w:rPr>
                <w:rFonts w:asciiTheme="majorBidi" w:eastAsia="Times New Roman" w:hAnsiTheme="majorBidi" w:cstheme="majorBidi"/>
                <w:sz w:val="24"/>
                <w:szCs w:val="24"/>
              </w:rPr>
              <w:t>risque</w:t>
            </w:r>
            <w:r w:rsidRPr="00EB768F">
              <w:rPr>
                <w:rFonts w:asciiTheme="majorBidi" w:eastAsia="Times New Roman" w:hAnsiTheme="majorBidi" w:cstheme="majorBidi"/>
                <w:sz w:val="24"/>
                <w:szCs w:val="24"/>
              </w:rPr>
              <w:t xml:space="preserve"> </w:t>
            </w:r>
          </w:p>
        </w:tc>
        <w:tc>
          <w:tcPr>
            <w:tcW w:w="2126" w:type="dxa"/>
            <w:noWrap/>
            <w:hideMark/>
          </w:tcPr>
          <w:p w:rsidR="00EB768F" w:rsidRPr="008A774C" w:rsidRDefault="009634CF" w:rsidP="008A774C">
            <w:pPr>
              <w:jc w:val="right"/>
              <w:outlineLvl w:val="0"/>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22 061 409 017</w:t>
            </w:r>
            <w:r w:rsidRPr="009634CF">
              <w:rPr>
                <w:rFonts w:asciiTheme="majorBidi" w:eastAsia="Times New Roman" w:hAnsiTheme="majorBidi" w:cstheme="majorBidi"/>
                <w:sz w:val="24"/>
                <w:szCs w:val="24"/>
              </w:rPr>
              <w:t xml:space="preserve">   </w:t>
            </w:r>
          </w:p>
        </w:tc>
      </w:tr>
    </w:tbl>
    <w:p w:rsidR="008A774C" w:rsidRDefault="008C3488" w:rsidP="008C3488">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8C3488" w:rsidRDefault="008C3488" w:rsidP="008C3488">
      <w:pPr>
        <w:autoSpaceDE w:val="0"/>
        <w:autoSpaceDN w:val="0"/>
        <w:adjustRightInd w:val="0"/>
        <w:spacing w:after="0" w:line="360" w:lineRule="auto"/>
        <w:jc w:val="both"/>
        <w:rPr>
          <w:rFonts w:asciiTheme="majorBidi" w:hAnsiTheme="majorBidi" w:cstheme="majorBidi"/>
          <w:sz w:val="24"/>
          <w:szCs w:val="24"/>
        </w:rPr>
      </w:pPr>
    </w:p>
    <w:p w:rsidR="00D72A1F" w:rsidRDefault="00073599" w:rsidP="0034034A">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p>
    <w:p w:rsidR="004A156C" w:rsidRDefault="004A156C" w:rsidP="00C269C6">
      <w:pPr>
        <w:autoSpaceDE w:val="0"/>
        <w:autoSpaceDN w:val="0"/>
        <w:adjustRightInd w:val="0"/>
        <w:spacing w:after="0" w:line="240" w:lineRule="auto"/>
        <w:jc w:val="both"/>
        <w:rPr>
          <w:rFonts w:asciiTheme="majorBidi" w:hAnsiTheme="majorBidi" w:cstheme="majorBidi"/>
          <w:sz w:val="24"/>
          <w:szCs w:val="24"/>
        </w:rPr>
      </w:pPr>
    </w:p>
    <w:p w:rsidR="007F27A4" w:rsidRDefault="007F27A4" w:rsidP="00C269C6">
      <w:pPr>
        <w:autoSpaceDE w:val="0"/>
        <w:autoSpaceDN w:val="0"/>
        <w:adjustRightInd w:val="0"/>
        <w:spacing w:after="0" w:line="240" w:lineRule="auto"/>
        <w:jc w:val="both"/>
        <w:rPr>
          <w:rFonts w:asciiTheme="majorBidi" w:hAnsiTheme="majorBidi" w:cstheme="majorBidi"/>
          <w:sz w:val="24"/>
          <w:szCs w:val="24"/>
        </w:rPr>
      </w:pPr>
    </w:p>
    <w:p w:rsidR="007F27A4" w:rsidRPr="00C03670" w:rsidRDefault="00871CE6" w:rsidP="00C269C6">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7F27A4">
        <w:rPr>
          <w:rFonts w:asciiTheme="majorBidi" w:hAnsiTheme="majorBidi" w:cstheme="majorBidi"/>
          <w:sz w:val="24"/>
          <w:szCs w:val="24"/>
        </w:rPr>
        <w:t>La charge de capital pour le risque de tarification et</w:t>
      </w:r>
      <w:r w:rsidR="00C03670">
        <w:rPr>
          <w:rFonts w:asciiTheme="majorBidi" w:hAnsiTheme="majorBidi" w:cstheme="majorBidi"/>
          <w:sz w:val="24"/>
          <w:szCs w:val="24"/>
        </w:rPr>
        <w:t xml:space="preserve"> de provisionnement s’élève à                   </w:t>
      </w:r>
      <w:r w:rsidR="00C03670" w:rsidRPr="00C03670">
        <w:rPr>
          <w:rFonts w:asciiTheme="majorBidi" w:eastAsia="Times New Roman" w:hAnsiTheme="majorBidi" w:cstheme="majorBidi"/>
          <w:b/>
          <w:bCs/>
          <w:sz w:val="24"/>
          <w:szCs w:val="24"/>
        </w:rPr>
        <w:t xml:space="preserve">4 018 729 687 </w:t>
      </w:r>
      <w:r w:rsidR="00C03670" w:rsidRPr="00C03670">
        <w:rPr>
          <w:rFonts w:asciiTheme="majorBidi" w:hAnsiTheme="majorBidi" w:cstheme="majorBidi"/>
          <w:b/>
          <w:bCs/>
          <w:sz w:val="24"/>
          <w:szCs w:val="24"/>
        </w:rPr>
        <w:t>DA</w:t>
      </w:r>
      <w:r>
        <w:rPr>
          <w:rFonts w:asciiTheme="majorBidi" w:hAnsiTheme="majorBidi" w:cstheme="majorBidi"/>
          <w:b/>
          <w:bCs/>
          <w:sz w:val="24"/>
          <w:szCs w:val="24"/>
        </w:rPr>
        <w:t>.</w:t>
      </w:r>
      <w:r w:rsidR="00C03670" w:rsidRPr="00C03670">
        <w:rPr>
          <w:rFonts w:asciiTheme="majorBidi" w:hAnsiTheme="majorBidi" w:cstheme="majorBidi"/>
          <w:b/>
          <w:bCs/>
          <w:sz w:val="24"/>
          <w:szCs w:val="24"/>
        </w:rPr>
        <w:t xml:space="preserve"> </w:t>
      </w:r>
      <w:r w:rsidR="00C03670" w:rsidRPr="00C03670">
        <w:rPr>
          <w:rFonts w:asciiTheme="majorBidi" w:hAnsiTheme="majorBidi" w:cstheme="majorBidi"/>
          <w:sz w:val="24"/>
          <w:szCs w:val="24"/>
        </w:rPr>
        <w:t xml:space="preserve">   </w:t>
      </w:r>
      <w:r w:rsidR="007F27A4" w:rsidRPr="00C03670">
        <w:rPr>
          <w:rFonts w:asciiTheme="majorBidi" w:hAnsiTheme="majorBidi" w:cstheme="majorBidi"/>
          <w:sz w:val="24"/>
          <w:szCs w:val="24"/>
        </w:rPr>
        <w:t xml:space="preserve"> </w:t>
      </w:r>
    </w:p>
    <w:p w:rsidR="007F27A4" w:rsidRDefault="007F27A4" w:rsidP="00C269C6">
      <w:pPr>
        <w:autoSpaceDE w:val="0"/>
        <w:autoSpaceDN w:val="0"/>
        <w:adjustRightInd w:val="0"/>
        <w:spacing w:after="0" w:line="240" w:lineRule="auto"/>
        <w:jc w:val="both"/>
        <w:rPr>
          <w:rFonts w:asciiTheme="majorBidi" w:hAnsiTheme="majorBidi" w:cstheme="majorBidi"/>
          <w:sz w:val="24"/>
          <w:szCs w:val="24"/>
        </w:rPr>
      </w:pPr>
    </w:p>
    <w:p w:rsidR="004A156C" w:rsidRPr="00EB3674" w:rsidRDefault="004A156C" w:rsidP="00EB3674">
      <w:pPr>
        <w:pStyle w:val="Paragraphedeliste"/>
        <w:numPr>
          <w:ilvl w:val="3"/>
          <w:numId w:val="12"/>
        </w:numPr>
        <w:autoSpaceDE w:val="0"/>
        <w:autoSpaceDN w:val="0"/>
        <w:adjustRightInd w:val="0"/>
        <w:spacing w:after="0" w:line="360" w:lineRule="auto"/>
        <w:jc w:val="both"/>
        <w:rPr>
          <w:rFonts w:asciiTheme="majorBidi" w:hAnsiTheme="majorBidi" w:cstheme="majorBidi"/>
          <w:b/>
          <w:bCs/>
          <w:sz w:val="24"/>
          <w:szCs w:val="24"/>
        </w:rPr>
      </w:pPr>
      <w:r w:rsidRPr="00EB3674">
        <w:rPr>
          <w:rFonts w:asciiTheme="majorBidi" w:hAnsiTheme="majorBidi" w:cstheme="majorBidi"/>
          <w:b/>
          <w:bCs/>
          <w:sz w:val="24"/>
          <w:szCs w:val="24"/>
        </w:rPr>
        <w:t>La charge de capital pour le risque des actif</w:t>
      </w:r>
      <w:r w:rsidR="00C269C6" w:rsidRPr="00EB3674">
        <w:rPr>
          <w:rFonts w:asciiTheme="majorBidi" w:hAnsiTheme="majorBidi" w:cstheme="majorBidi"/>
          <w:b/>
          <w:bCs/>
          <w:sz w:val="24"/>
          <w:szCs w:val="24"/>
        </w:rPr>
        <w:t>s</w:t>
      </w:r>
      <w:r w:rsidRPr="00EB3674">
        <w:rPr>
          <w:rFonts w:asciiTheme="majorBidi" w:hAnsiTheme="majorBidi" w:cstheme="majorBidi"/>
          <w:b/>
          <w:bCs/>
          <w:sz w:val="24"/>
          <w:szCs w:val="24"/>
        </w:rPr>
        <w:t xml:space="preserve"> intangible</w:t>
      </w:r>
      <w:r w:rsidR="00C269C6" w:rsidRPr="00EB3674">
        <w:rPr>
          <w:rFonts w:asciiTheme="majorBidi" w:hAnsiTheme="majorBidi" w:cstheme="majorBidi"/>
          <w:b/>
          <w:bCs/>
          <w:sz w:val="24"/>
          <w:szCs w:val="24"/>
        </w:rPr>
        <w:t>s</w:t>
      </w:r>
      <w:r w:rsidRPr="00EB3674">
        <w:rPr>
          <w:rFonts w:asciiTheme="majorBidi" w:hAnsiTheme="majorBidi" w:cstheme="majorBidi"/>
          <w:b/>
          <w:bCs/>
          <w:sz w:val="24"/>
          <w:szCs w:val="24"/>
        </w:rPr>
        <w:t xml:space="preserve">  </w:t>
      </w:r>
    </w:p>
    <w:p w:rsidR="00C269C6" w:rsidRDefault="00CE53E8" w:rsidP="00C269C6">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sidR="00C269C6" w:rsidRPr="00CE53E8">
        <w:rPr>
          <w:rFonts w:asciiTheme="majorBidi" w:hAnsiTheme="majorBidi" w:cstheme="majorBidi"/>
          <w:sz w:val="24"/>
          <w:szCs w:val="24"/>
        </w:rPr>
        <w:t xml:space="preserve">Les actifs intangibles sont exposés </w:t>
      </w:r>
      <w:r w:rsidRPr="00CE53E8">
        <w:rPr>
          <w:rFonts w:asciiTheme="majorBidi" w:hAnsiTheme="majorBidi" w:cstheme="majorBidi"/>
          <w:sz w:val="24"/>
          <w:szCs w:val="24"/>
        </w:rPr>
        <w:t xml:space="preserve">à deux </w:t>
      </w:r>
      <w:proofErr w:type="gramStart"/>
      <w:r w:rsidRPr="00CE53E8">
        <w:rPr>
          <w:rFonts w:asciiTheme="majorBidi" w:hAnsiTheme="majorBidi" w:cstheme="majorBidi"/>
          <w:sz w:val="24"/>
          <w:szCs w:val="24"/>
        </w:rPr>
        <w:t>risques:</w:t>
      </w:r>
      <w:proofErr w:type="gramEnd"/>
    </w:p>
    <w:p w:rsidR="00B125F6" w:rsidRDefault="00B125F6" w:rsidP="00B125F6">
      <w:pPr>
        <w:autoSpaceDE w:val="0"/>
        <w:autoSpaceDN w:val="0"/>
        <w:adjustRightInd w:val="0"/>
        <w:spacing w:after="0" w:line="240" w:lineRule="auto"/>
        <w:jc w:val="both"/>
        <w:rPr>
          <w:rFonts w:asciiTheme="majorBidi" w:hAnsiTheme="majorBidi" w:cstheme="majorBidi"/>
          <w:sz w:val="24"/>
          <w:szCs w:val="24"/>
        </w:rPr>
      </w:pPr>
    </w:p>
    <w:p w:rsidR="004A156C" w:rsidRDefault="00CE53E8" w:rsidP="00CE53E8">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Le risque de marché, comme tous les postes du bilan.</w:t>
      </w:r>
    </w:p>
    <w:p w:rsidR="00CE53E8" w:rsidRDefault="00CE53E8" w:rsidP="00CE53E8">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Les risques internes, inhérents à la nature de ces éléments.</w:t>
      </w:r>
    </w:p>
    <w:p w:rsidR="003341A6" w:rsidRPr="003341A6" w:rsidRDefault="003341A6" w:rsidP="003341A6">
      <w:pPr>
        <w:autoSpaceDE w:val="0"/>
        <w:autoSpaceDN w:val="0"/>
        <w:adjustRightInd w:val="0"/>
        <w:spacing w:after="0" w:line="240" w:lineRule="auto"/>
        <w:jc w:val="both"/>
        <w:rPr>
          <w:rFonts w:asciiTheme="majorBidi" w:hAnsiTheme="majorBidi" w:cstheme="majorBidi"/>
          <w:sz w:val="24"/>
          <w:szCs w:val="24"/>
        </w:rPr>
      </w:pPr>
    </w:p>
    <w:p w:rsidR="00B179B3" w:rsidRDefault="003341A6" w:rsidP="00B179B3">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La charge de capital pour le risque des actifs intangibles est calculée d’une </w:t>
      </w:r>
      <w:proofErr w:type="gramStart"/>
      <w:r>
        <w:rPr>
          <w:rFonts w:asciiTheme="majorBidi" w:hAnsiTheme="majorBidi" w:cstheme="majorBidi"/>
          <w:sz w:val="24"/>
          <w:szCs w:val="24"/>
        </w:rPr>
        <w:t>façon  forfaitaire</w:t>
      </w:r>
      <w:proofErr w:type="gramEnd"/>
      <w:r>
        <w:rPr>
          <w:rFonts w:asciiTheme="majorBidi" w:hAnsiTheme="majorBidi" w:cstheme="majorBidi"/>
          <w:sz w:val="24"/>
          <w:szCs w:val="24"/>
        </w:rPr>
        <w:t>, elle est égale à</w:t>
      </w:r>
      <w:r w:rsidR="00B179B3">
        <w:rPr>
          <w:rFonts w:asciiTheme="majorBidi" w:hAnsiTheme="majorBidi" w:cstheme="majorBidi"/>
          <w:sz w:val="24"/>
          <w:szCs w:val="24"/>
        </w:rPr>
        <w:t xml:space="preserve">: </w:t>
      </w:r>
    </w:p>
    <w:p w:rsidR="00415939" w:rsidRDefault="00B85085" w:rsidP="00B179B3">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rPr>
        <w:pict>
          <v:roundrect id="_x0000_s1056" style="position:absolute;left:0;text-align:left;margin-left:103.9pt;margin-top:3.4pt;width:169.5pt;height:31.5pt;z-index:251686912" arcsize="10923f" fillcolor="white [3201]" strokecolor="#b2a1c7 [1943]" strokeweight="1pt">
            <v:fill color2="#ccc0d9 [1303]" focusposition="1" focussize="" focus="100%" type="gradient"/>
            <v:shadow on="t" type="perspective" color="#3f3151 [1607]" opacity=".5" offset="1pt" offset2="-3pt"/>
            <v:textbox style="mso-next-textbox:#_x0000_s1056">
              <w:txbxContent>
                <w:p w:rsidR="00341914" w:rsidRDefault="00341914" w:rsidP="00B179B3">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SCR </w:t>
                  </w:r>
                  <w:r>
                    <w:rPr>
                      <w:rFonts w:asciiTheme="majorBidi" w:hAnsiTheme="majorBidi" w:cstheme="majorBidi"/>
                      <w:sz w:val="24"/>
                      <w:szCs w:val="24"/>
                      <w:vertAlign w:val="subscript"/>
                    </w:rPr>
                    <w:t>intangible</w:t>
                  </w:r>
                  <w:r>
                    <w:rPr>
                      <w:rFonts w:asciiTheme="majorBidi" w:hAnsiTheme="majorBidi" w:cstheme="majorBidi"/>
                      <w:sz w:val="24"/>
                      <w:szCs w:val="24"/>
                    </w:rPr>
                    <w:t>= 0.8*Actif Intangible</w:t>
                  </w:r>
                </w:p>
                <w:p w:rsidR="00341914" w:rsidRDefault="00341914"/>
              </w:txbxContent>
            </v:textbox>
          </v:roundrect>
        </w:pict>
      </w:r>
    </w:p>
    <w:p w:rsidR="00B179B3" w:rsidRDefault="00B179B3" w:rsidP="00B179B3">
      <w:pPr>
        <w:autoSpaceDE w:val="0"/>
        <w:autoSpaceDN w:val="0"/>
        <w:adjustRightInd w:val="0"/>
        <w:spacing w:after="0" w:line="360" w:lineRule="auto"/>
        <w:jc w:val="both"/>
        <w:rPr>
          <w:rFonts w:asciiTheme="majorBidi" w:hAnsiTheme="majorBidi" w:cstheme="majorBidi"/>
          <w:sz w:val="24"/>
          <w:szCs w:val="24"/>
        </w:rPr>
      </w:pPr>
    </w:p>
    <w:p w:rsidR="00B179B3" w:rsidRDefault="00B179B3" w:rsidP="00415939">
      <w:pPr>
        <w:autoSpaceDE w:val="0"/>
        <w:autoSpaceDN w:val="0"/>
        <w:adjustRightInd w:val="0"/>
        <w:spacing w:after="0" w:line="240" w:lineRule="auto"/>
        <w:jc w:val="center"/>
        <w:rPr>
          <w:rFonts w:asciiTheme="majorBidi" w:hAnsiTheme="majorBidi" w:cstheme="majorBidi"/>
          <w:sz w:val="24"/>
          <w:szCs w:val="24"/>
        </w:rPr>
      </w:pPr>
    </w:p>
    <w:p w:rsidR="00F84104" w:rsidRPr="00F84104" w:rsidRDefault="00B179B3" w:rsidP="00F84104">
      <w:pPr>
        <w:ind w:firstLineChars="100" w:firstLine="240"/>
        <w:rPr>
          <w:rFonts w:asciiTheme="majorBidi" w:hAnsiTheme="majorBidi" w:cstheme="majorBidi"/>
          <w:b/>
          <w:bCs/>
          <w:i/>
          <w:iCs/>
          <w:sz w:val="24"/>
          <w:szCs w:val="24"/>
        </w:rPr>
      </w:pPr>
      <w:r>
        <w:rPr>
          <w:rFonts w:asciiTheme="majorBidi" w:hAnsiTheme="majorBidi" w:cstheme="majorBidi"/>
          <w:sz w:val="24"/>
          <w:szCs w:val="24"/>
        </w:rPr>
        <w:t>Donc</w:t>
      </w:r>
      <w:proofErr w:type="gramStart"/>
      <w:r>
        <w:rPr>
          <w:rFonts w:asciiTheme="majorBidi" w:hAnsiTheme="majorBidi" w:cstheme="majorBidi"/>
          <w:sz w:val="24"/>
          <w:szCs w:val="24"/>
        </w:rPr>
        <w:t xml:space="preserve">,  </w:t>
      </w:r>
      <w:proofErr w:type="spellStart"/>
      <w:r w:rsidRPr="007F4B61">
        <w:rPr>
          <w:rFonts w:asciiTheme="majorBidi" w:hAnsiTheme="majorBidi" w:cstheme="majorBidi"/>
          <w:b/>
          <w:bCs/>
          <w:i/>
          <w:iCs/>
          <w:sz w:val="24"/>
          <w:szCs w:val="24"/>
        </w:rPr>
        <w:t>SCR</w:t>
      </w:r>
      <w:r w:rsidRPr="007F4B61">
        <w:rPr>
          <w:rFonts w:asciiTheme="majorBidi" w:hAnsiTheme="majorBidi" w:cstheme="majorBidi"/>
          <w:b/>
          <w:bCs/>
          <w:i/>
          <w:iCs/>
          <w:sz w:val="24"/>
          <w:szCs w:val="24"/>
          <w:vertAlign w:val="subscript"/>
        </w:rPr>
        <w:t>intangible</w:t>
      </w:r>
      <w:proofErr w:type="spellEnd"/>
      <w:proofErr w:type="gramEnd"/>
      <w:r w:rsidRPr="007F4B61">
        <w:rPr>
          <w:rFonts w:asciiTheme="majorBidi" w:hAnsiTheme="majorBidi" w:cstheme="majorBidi"/>
          <w:b/>
          <w:bCs/>
          <w:i/>
          <w:iCs/>
          <w:sz w:val="24"/>
          <w:szCs w:val="24"/>
        </w:rPr>
        <w:t xml:space="preserve">= </w:t>
      </w:r>
      <w:r w:rsidR="00CE7E9D" w:rsidRPr="007F4B61">
        <w:rPr>
          <w:rFonts w:asciiTheme="majorBidi" w:hAnsiTheme="majorBidi" w:cstheme="majorBidi"/>
          <w:b/>
          <w:bCs/>
          <w:i/>
          <w:iCs/>
          <w:sz w:val="24"/>
          <w:szCs w:val="24"/>
        </w:rPr>
        <w:t xml:space="preserve"> </w:t>
      </w:r>
      <w:r w:rsidR="007F4B61" w:rsidRPr="007F4B61">
        <w:rPr>
          <w:rFonts w:asciiTheme="majorBidi" w:hAnsiTheme="majorBidi" w:cstheme="majorBidi"/>
          <w:b/>
          <w:bCs/>
          <w:i/>
          <w:iCs/>
          <w:sz w:val="24"/>
          <w:szCs w:val="24"/>
        </w:rPr>
        <w:t>17</w:t>
      </w:r>
      <w:r w:rsidR="0056216A">
        <w:rPr>
          <w:rFonts w:asciiTheme="majorBidi" w:hAnsiTheme="majorBidi" w:cstheme="majorBidi"/>
          <w:b/>
          <w:bCs/>
          <w:i/>
          <w:iCs/>
          <w:sz w:val="24"/>
          <w:szCs w:val="24"/>
        </w:rPr>
        <w:t xml:space="preserve"> </w:t>
      </w:r>
      <w:r w:rsidR="007F4B61" w:rsidRPr="007F4B61">
        <w:rPr>
          <w:rFonts w:asciiTheme="majorBidi" w:hAnsiTheme="majorBidi" w:cstheme="majorBidi"/>
          <w:b/>
          <w:bCs/>
          <w:i/>
          <w:iCs/>
          <w:sz w:val="24"/>
          <w:szCs w:val="24"/>
        </w:rPr>
        <w:t>653</w:t>
      </w:r>
      <w:r w:rsidR="0056216A">
        <w:rPr>
          <w:rFonts w:asciiTheme="majorBidi" w:hAnsiTheme="majorBidi" w:cstheme="majorBidi"/>
          <w:b/>
          <w:bCs/>
          <w:i/>
          <w:iCs/>
          <w:sz w:val="24"/>
          <w:szCs w:val="24"/>
        </w:rPr>
        <w:t xml:space="preserve"> </w:t>
      </w:r>
      <w:r w:rsidR="007F4B61" w:rsidRPr="007F4B61">
        <w:rPr>
          <w:rFonts w:asciiTheme="majorBidi" w:hAnsiTheme="majorBidi" w:cstheme="majorBidi"/>
          <w:b/>
          <w:bCs/>
          <w:i/>
          <w:iCs/>
          <w:sz w:val="24"/>
          <w:szCs w:val="24"/>
        </w:rPr>
        <w:t>210 DA</w:t>
      </w:r>
    </w:p>
    <w:p w:rsidR="00FF5DB4" w:rsidRDefault="0087654F" w:rsidP="00847595">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847595">
        <w:rPr>
          <w:rFonts w:asciiTheme="majorBidi" w:hAnsiTheme="majorBidi" w:cstheme="majorBidi"/>
          <w:sz w:val="24"/>
          <w:szCs w:val="24"/>
        </w:rPr>
        <w:t>Nous pouvons à présent calculer le SCR de base (BSCR)</w:t>
      </w:r>
      <w:r w:rsidR="00972718">
        <w:rPr>
          <w:rFonts w:asciiTheme="majorBidi" w:hAnsiTheme="majorBidi" w:cstheme="majorBidi"/>
          <w:sz w:val="24"/>
          <w:szCs w:val="24"/>
        </w:rPr>
        <w:t>, en tenant</w:t>
      </w:r>
      <w:r w:rsidR="007F4B61">
        <w:rPr>
          <w:rFonts w:asciiTheme="majorBidi" w:hAnsiTheme="majorBidi" w:cstheme="majorBidi"/>
          <w:sz w:val="24"/>
          <w:szCs w:val="24"/>
        </w:rPr>
        <w:t xml:space="preserve"> compte de</w:t>
      </w:r>
      <w:r w:rsidR="00972718">
        <w:rPr>
          <w:rFonts w:asciiTheme="majorBidi" w:hAnsiTheme="majorBidi" w:cstheme="majorBidi"/>
          <w:sz w:val="24"/>
          <w:szCs w:val="24"/>
        </w:rPr>
        <w:t xml:space="preserve"> la corrélation qui existe</w:t>
      </w:r>
      <w:r w:rsidR="00FF5DB4">
        <w:rPr>
          <w:rFonts w:asciiTheme="majorBidi" w:hAnsiTheme="majorBidi" w:cstheme="majorBidi"/>
          <w:sz w:val="24"/>
          <w:szCs w:val="24"/>
        </w:rPr>
        <w:t xml:space="preserve"> entre le risque de marché et le risque de souscription non vie : </w:t>
      </w:r>
    </w:p>
    <w:p w:rsidR="00F84104" w:rsidRDefault="00F84104" w:rsidP="00415939">
      <w:pPr>
        <w:autoSpaceDE w:val="0"/>
        <w:autoSpaceDN w:val="0"/>
        <w:adjustRightInd w:val="0"/>
        <w:spacing w:after="0" w:line="240" w:lineRule="auto"/>
        <w:jc w:val="both"/>
        <w:rPr>
          <w:rFonts w:asciiTheme="majorBidi" w:hAnsiTheme="majorBidi" w:cstheme="majorBidi"/>
          <w:sz w:val="24"/>
          <w:szCs w:val="24"/>
        </w:rPr>
      </w:pPr>
    </w:p>
    <w:p w:rsidR="00073599" w:rsidRPr="0056216A" w:rsidRDefault="0056216A" w:rsidP="00AB4513">
      <w:pPr>
        <w:autoSpaceDE w:val="0"/>
        <w:autoSpaceDN w:val="0"/>
        <w:adjustRightInd w:val="0"/>
        <w:spacing w:after="0" w:line="360" w:lineRule="auto"/>
        <w:jc w:val="both"/>
        <w:rPr>
          <w:rFonts w:asciiTheme="majorBidi" w:hAnsiTheme="majorBidi" w:cstheme="majorBidi"/>
          <w:sz w:val="24"/>
          <w:szCs w:val="24"/>
          <w:vertAlign w:val="subscript"/>
        </w:rPr>
      </w:pPr>
      <m:oMath>
        <m:r>
          <m:rPr>
            <m:sty m:val="bi"/>
          </m:rPr>
          <w:rPr>
            <w:rFonts w:ascii="Cambria Math" w:hAnsi="Cambria Math" w:cstheme="majorBidi"/>
            <w:sz w:val="20"/>
            <w:szCs w:val="20"/>
          </w:rPr>
          <m:t>BSCR</m:t>
        </m:r>
        <m:r>
          <m:rPr>
            <m:sty m:val="b"/>
          </m:rPr>
          <w:rPr>
            <w:rFonts w:ascii="Cambria Math" w:hAnsiTheme="majorBidi" w:cstheme="majorBidi"/>
            <w:sz w:val="20"/>
            <w:szCs w:val="20"/>
          </w:rPr>
          <m:t>=</m:t>
        </m:r>
        <m:rad>
          <m:radPr>
            <m:degHide m:val="on"/>
            <m:ctrlPr>
              <w:rPr>
                <w:rFonts w:ascii="Cambria Math" w:hAnsiTheme="majorBidi" w:cstheme="majorBidi"/>
                <w:sz w:val="20"/>
                <w:szCs w:val="20"/>
              </w:rPr>
            </m:ctrlPr>
          </m:radPr>
          <m:deg/>
          <m:e>
            <m:r>
              <m:rPr>
                <m:sty m:val="p"/>
              </m:rPr>
              <w:rPr>
                <w:rFonts w:ascii="Cambria Math" w:hAnsiTheme="majorBidi" w:cstheme="majorBidi"/>
                <w:sz w:val="20"/>
                <w:szCs w:val="20"/>
              </w:rPr>
              <m:t xml:space="preserve"> </m:t>
            </m:r>
            <m:d>
              <m:dPr>
                <m:begChr m:val="["/>
                <m:endChr m:val="]"/>
                <m:ctrlPr>
                  <w:rPr>
                    <w:rFonts w:ascii="Cambria Math" w:hAnsi="Cambria Math" w:cstheme="majorBidi"/>
                    <w:b/>
                    <w:i/>
                    <w:sz w:val="20"/>
                    <w:szCs w:val="20"/>
                  </w:rPr>
                </m:ctrlPr>
              </m:dPr>
              <m:e>
                <m:r>
                  <m:rPr>
                    <m:sty m:val="bi"/>
                  </m:rPr>
                  <w:rPr>
                    <w:rFonts w:ascii="Cambria Math" w:hAnsi="Cambria Math" w:cstheme="majorBidi"/>
                    <w:sz w:val="20"/>
                    <w:szCs w:val="20"/>
                  </w:rPr>
                  <m:t>615 060 650 ;4 018 729 687</m:t>
                </m:r>
              </m:e>
            </m:d>
            <m:r>
              <m:rPr>
                <m:sty m:val="p"/>
              </m:rPr>
              <w:rPr>
                <w:rFonts w:asciiTheme="majorBidi" w:hAnsi="Cambria Math" w:cstheme="majorBidi"/>
                <w:sz w:val="20"/>
                <w:szCs w:val="20"/>
              </w:rPr>
              <m:t>*</m:t>
            </m:r>
            <m:d>
              <m:dPr>
                <m:begChr m:val="["/>
                <m:endChr m:val="]"/>
                <m:ctrlPr>
                  <w:rPr>
                    <w:rFonts w:ascii="Cambria Math" w:hAnsiTheme="majorBidi" w:cstheme="majorBidi"/>
                    <w:sz w:val="20"/>
                    <w:szCs w:val="20"/>
                  </w:rPr>
                </m:ctrlPr>
              </m:dPr>
              <m:e>
                <m:m>
                  <m:mPr>
                    <m:mcs>
                      <m:mc>
                        <m:mcPr>
                          <m:count m:val="3"/>
                          <m:mcJc m:val="center"/>
                        </m:mcPr>
                      </m:mc>
                    </m:mcs>
                    <m:ctrlPr>
                      <w:rPr>
                        <w:rFonts w:ascii="Cambria Math" w:hAnsiTheme="majorBidi" w:cstheme="majorBidi"/>
                        <w:sz w:val="20"/>
                        <w:szCs w:val="20"/>
                      </w:rPr>
                    </m:ctrlPr>
                  </m:mPr>
                  <m:mr>
                    <m:e>
                      <m:r>
                        <m:rPr>
                          <m:sty m:val="p"/>
                        </m:rPr>
                        <w:rPr>
                          <w:rFonts w:ascii="Cambria Math" w:hAnsiTheme="majorBidi" w:cstheme="majorBidi"/>
                          <w:sz w:val="20"/>
                          <w:szCs w:val="20"/>
                        </w:rPr>
                        <m:t>100%</m:t>
                      </m:r>
                    </m:e>
                    <m:e>
                      <m:r>
                        <m:rPr>
                          <m:sty m:val="p"/>
                        </m:rPr>
                        <w:rPr>
                          <w:rFonts w:asciiTheme="majorBidi" w:hAnsi="Cambria Math" w:cstheme="majorBidi"/>
                          <w:sz w:val="20"/>
                          <w:szCs w:val="20"/>
                        </w:rPr>
                        <m:t>⋯</m:t>
                      </m:r>
                    </m:e>
                    <m:e>
                      <m:r>
                        <m:rPr>
                          <m:sty m:val="p"/>
                        </m:rPr>
                        <w:rPr>
                          <w:rFonts w:ascii="Cambria Math" w:hAnsiTheme="majorBidi" w:cstheme="majorBidi"/>
                          <w:sz w:val="20"/>
                          <w:szCs w:val="20"/>
                        </w:rPr>
                        <m:t>25%</m:t>
                      </m:r>
                    </m:e>
                  </m:mr>
                  <m:mr>
                    <m:e>
                      <m:r>
                        <m:rPr>
                          <m:sty m:val="p"/>
                        </m:rPr>
                        <w:rPr>
                          <w:rFonts w:asciiTheme="majorBidi" w:hAnsi="Cambria Math" w:cstheme="majorBidi"/>
                          <w:sz w:val="20"/>
                          <w:szCs w:val="20"/>
                        </w:rPr>
                        <m:t>⋮</m:t>
                      </m:r>
                    </m:e>
                    <m:e>
                      <m:r>
                        <m:rPr>
                          <m:sty m:val="p"/>
                        </m:rPr>
                        <w:rPr>
                          <w:rFonts w:asciiTheme="majorBidi" w:hAnsi="Cambria Math" w:cstheme="majorBidi"/>
                          <w:sz w:val="20"/>
                          <w:szCs w:val="20"/>
                        </w:rPr>
                        <m:t>⋱</m:t>
                      </m:r>
                    </m:e>
                    <m:e>
                      <m:r>
                        <m:rPr>
                          <m:sty m:val="p"/>
                        </m:rPr>
                        <w:rPr>
                          <w:rFonts w:asciiTheme="majorBidi" w:hAnsi="Cambria Math" w:cstheme="majorBidi"/>
                          <w:sz w:val="20"/>
                          <w:szCs w:val="20"/>
                        </w:rPr>
                        <m:t>⋮</m:t>
                      </m:r>
                    </m:e>
                  </m:mr>
                  <m:mr>
                    <m:e>
                      <m:r>
                        <m:rPr>
                          <m:sty m:val="p"/>
                        </m:rPr>
                        <w:rPr>
                          <w:rFonts w:ascii="Cambria Math" w:hAnsiTheme="majorBidi" w:cstheme="majorBidi"/>
                          <w:sz w:val="20"/>
                          <w:szCs w:val="20"/>
                        </w:rPr>
                        <m:t>25%</m:t>
                      </m:r>
                    </m:e>
                    <m:e>
                      <m:r>
                        <m:rPr>
                          <m:sty m:val="p"/>
                        </m:rPr>
                        <w:rPr>
                          <w:rFonts w:asciiTheme="majorBidi" w:hAnsi="Cambria Math" w:cstheme="majorBidi"/>
                          <w:sz w:val="20"/>
                          <w:szCs w:val="20"/>
                        </w:rPr>
                        <m:t>⋯</m:t>
                      </m:r>
                    </m:e>
                    <m:e>
                      <m:r>
                        <m:rPr>
                          <m:sty m:val="p"/>
                        </m:rPr>
                        <w:rPr>
                          <w:rFonts w:ascii="Cambria Math" w:hAnsiTheme="majorBidi" w:cstheme="majorBidi"/>
                          <w:sz w:val="20"/>
                          <w:szCs w:val="20"/>
                        </w:rPr>
                        <m:t>100%</m:t>
                      </m:r>
                    </m:e>
                  </m:mr>
                </m:m>
              </m:e>
            </m:d>
            <m:r>
              <m:rPr>
                <m:sty m:val="p"/>
              </m:rPr>
              <w:rPr>
                <w:rFonts w:asciiTheme="majorBidi" w:hAnsi="Cambria Math" w:cstheme="majorBidi"/>
                <w:sz w:val="20"/>
                <w:szCs w:val="20"/>
              </w:rPr>
              <m:t>*</m:t>
            </m:r>
            <m:d>
              <m:dPr>
                <m:begChr m:val="["/>
                <m:endChr m:val="]"/>
                <m:ctrlPr>
                  <w:rPr>
                    <w:rFonts w:ascii="Cambria Math" w:hAnsiTheme="majorBidi" w:cstheme="majorBidi"/>
                    <w:sz w:val="20"/>
                    <w:szCs w:val="20"/>
                  </w:rPr>
                </m:ctrlPr>
              </m:dPr>
              <m:e>
                <m:m>
                  <m:mPr>
                    <m:mcs>
                      <m:mc>
                        <m:mcPr>
                          <m:count m:val="3"/>
                          <m:mcJc m:val="center"/>
                        </m:mcPr>
                      </m:mc>
                    </m:mcs>
                    <m:ctrlPr>
                      <w:rPr>
                        <w:rFonts w:ascii="Cambria Math" w:hAnsiTheme="majorBidi" w:cstheme="majorBidi"/>
                        <w:sz w:val="20"/>
                        <w:szCs w:val="20"/>
                      </w:rPr>
                    </m:ctrlPr>
                  </m:mPr>
                  <m:mr>
                    <m:e>
                      <m:r>
                        <m:rPr>
                          <m:sty m:val="bi"/>
                        </m:rPr>
                        <w:rPr>
                          <w:rFonts w:ascii="Cambria Math" w:hAnsi="Cambria Math" w:cstheme="majorBidi"/>
                          <w:sz w:val="20"/>
                          <w:szCs w:val="20"/>
                        </w:rPr>
                        <m:t>318</m:t>
                      </m:r>
                      <m:r>
                        <m:rPr>
                          <m:sty m:val="bi"/>
                        </m:rPr>
                        <w:rPr>
                          <w:rFonts w:asciiTheme="majorBidi" w:hAnsiTheme="majorBidi" w:cstheme="majorBidi"/>
                          <w:sz w:val="20"/>
                          <w:szCs w:val="20"/>
                        </w:rPr>
                        <m:t> </m:t>
                      </m:r>
                      <m:r>
                        <m:rPr>
                          <m:sty m:val="bi"/>
                        </m:rPr>
                        <w:rPr>
                          <w:rFonts w:ascii="Cambria Math" w:hAnsi="Cambria Math" w:cstheme="majorBidi"/>
                          <w:sz w:val="20"/>
                          <w:szCs w:val="20"/>
                        </w:rPr>
                        <m:t>703</m:t>
                      </m:r>
                      <m:r>
                        <m:rPr>
                          <m:sty m:val="bi"/>
                        </m:rPr>
                        <w:rPr>
                          <w:rFonts w:ascii="Cambria Math" w:hAnsiTheme="majorBidi" w:cstheme="majorBidi"/>
                          <w:sz w:val="20"/>
                          <w:szCs w:val="20"/>
                        </w:rPr>
                        <m:t xml:space="preserve"> </m:t>
                      </m:r>
                      <m:r>
                        <m:rPr>
                          <m:sty m:val="b"/>
                        </m:rPr>
                        <w:rPr>
                          <w:rFonts w:ascii="Cambria Math" w:hAnsi="Cambria Math" w:cstheme="majorBidi"/>
                          <w:sz w:val="20"/>
                          <w:szCs w:val="20"/>
                        </w:rPr>
                        <m:t>294</m:t>
                      </m:r>
                    </m:e>
                    <m:e/>
                    <m:e/>
                  </m:mr>
                  <m:mr>
                    <m:e/>
                    <m:e/>
                    <m:e/>
                  </m:mr>
                  <m:mr>
                    <m:e>
                      <m:r>
                        <m:rPr>
                          <m:sty m:val="p"/>
                        </m:rPr>
                        <w:rPr>
                          <w:rFonts w:ascii="Cambria Math" w:hAnsiTheme="majorBidi" w:cstheme="majorBidi"/>
                          <w:sz w:val="20"/>
                          <w:szCs w:val="20"/>
                        </w:rPr>
                        <m:t>3</m:t>
                      </m:r>
                      <m:r>
                        <m:rPr>
                          <m:sty m:val="p"/>
                        </m:rPr>
                        <w:rPr>
                          <w:rFonts w:asciiTheme="majorBidi" w:hAnsiTheme="majorBidi" w:cstheme="majorBidi"/>
                          <w:sz w:val="20"/>
                          <w:szCs w:val="20"/>
                        </w:rPr>
                        <m:t> </m:t>
                      </m:r>
                      <m:r>
                        <m:rPr>
                          <m:sty m:val="p"/>
                        </m:rPr>
                        <w:rPr>
                          <w:rFonts w:ascii="Cambria Math" w:hAnsiTheme="majorBidi" w:cstheme="majorBidi"/>
                          <w:sz w:val="20"/>
                          <w:szCs w:val="20"/>
                        </w:rPr>
                        <m:t>731</m:t>
                      </m:r>
                      <m:r>
                        <m:rPr>
                          <m:sty m:val="p"/>
                        </m:rPr>
                        <w:rPr>
                          <w:rFonts w:asciiTheme="majorBidi" w:hAnsiTheme="majorBidi" w:cstheme="majorBidi"/>
                          <w:sz w:val="20"/>
                          <w:szCs w:val="20"/>
                        </w:rPr>
                        <m:t> </m:t>
                      </m:r>
                      <m:r>
                        <m:rPr>
                          <m:sty m:val="p"/>
                        </m:rPr>
                        <w:rPr>
                          <w:rFonts w:ascii="Cambria Math" w:hAnsiTheme="majorBidi" w:cstheme="majorBidi"/>
                          <w:sz w:val="20"/>
                          <w:szCs w:val="20"/>
                        </w:rPr>
                        <m:t>423 762</m:t>
                      </m:r>
                    </m:e>
                    <m:e/>
                    <m:e/>
                  </m:mr>
                </m:m>
              </m:e>
            </m:d>
          </m:e>
        </m:rad>
      </m:oMath>
      <w:r w:rsidR="0087654F">
        <w:rPr>
          <w:rFonts w:asciiTheme="majorBidi" w:hAnsiTheme="majorBidi" w:cstheme="majorBidi"/>
          <w:sz w:val="24"/>
          <w:szCs w:val="24"/>
        </w:rPr>
        <w:t xml:space="preserve"> </w:t>
      </w:r>
      <w:r>
        <w:rPr>
          <w:rFonts w:asciiTheme="majorBidi" w:hAnsiTheme="majorBidi" w:cstheme="majorBidi"/>
          <w:sz w:val="24"/>
          <w:szCs w:val="24"/>
        </w:rPr>
        <w:t>+</w:t>
      </w:r>
      <w:r w:rsidRPr="0078011B">
        <w:rPr>
          <w:rFonts w:asciiTheme="majorBidi" w:hAnsiTheme="majorBidi" w:cstheme="majorBidi"/>
          <w:b/>
          <w:bCs/>
          <w:sz w:val="20"/>
          <w:szCs w:val="20"/>
        </w:rPr>
        <w:t>17</w:t>
      </w:r>
      <w:r w:rsidR="001B3390">
        <w:rPr>
          <w:rFonts w:asciiTheme="majorBidi" w:hAnsiTheme="majorBidi" w:cstheme="majorBidi"/>
          <w:b/>
          <w:bCs/>
          <w:sz w:val="20"/>
          <w:szCs w:val="20"/>
        </w:rPr>
        <w:t>653</w:t>
      </w:r>
      <w:r w:rsidR="0078011B" w:rsidRPr="0078011B">
        <w:rPr>
          <w:rFonts w:asciiTheme="majorBidi" w:hAnsiTheme="majorBidi" w:cstheme="majorBidi"/>
          <w:b/>
          <w:bCs/>
          <w:sz w:val="20"/>
          <w:szCs w:val="20"/>
        </w:rPr>
        <w:t>210</w:t>
      </w:r>
      <w:r>
        <w:rPr>
          <w:rFonts w:asciiTheme="majorBidi" w:hAnsiTheme="majorBidi" w:cstheme="majorBidi"/>
          <w:sz w:val="24"/>
          <w:szCs w:val="24"/>
          <w:vertAlign w:val="subscript"/>
        </w:rPr>
        <w:t xml:space="preserve">  </w:t>
      </w:r>
    </w:p>
    <w:p w:rsidR="00F84104" w:rsidRPr="00395A73" w:rsidRDefault="007A0FAD" w:rsidP="00395A73">
      <w:pPr>
        <w:jc w:val="center"/>
        <w:rPr>
          <w:rFonts w:ascii="Arial" w:eastAsia="Times New Roman" w:hAnsi="Arial" w:cs="Arial"/>
          <w:sz w:val="20"/>
          <w:szCs w:val="20"/>
        </w:rPr>
      </w:pPr>
      <w:r w:rsidRPr="00CD5B8C">
        <w:rPr>
          <w:rFonts w:asciiTheme="majorBidi" w:hAnsiTheme="majorBidi" w:cstheme="majorBidi"/>
          <w:b/>
          <w:bCs/>
          <w:i/>
          <w:iCs/>
          <w:sz w:val="24"/>
          <w:szCs w:val="24"/>
        </w:rPr>
        <w:t>BSCR</w:t>
      </w:r>
      <w:r w:rsidR="0078011B" w:rsidRPr="00CD5B8C">
        <w:rPr>
          <w:rFonts w:asciiTheme="majorBidi" w:hAnsiTheme="majorBidi" w:cstheme="majorBidi"/>
          <w:b/>
          <w:bCs/>
          <w:i/>
          <w:iCs/>
          <w:sz w:val="24"/>
          <w:szCs w:val="24"/>
        </w:rPr>
        <w:t>=</w:t>
      </w:r>
      <w:r w:rsidR="0078011B" w:rsidRPr="00CD5B8C">
        <w:rPr>
          <w:rFonts w:asciiTheme="majorBidi" w:hAnsiTheme="majorBidi" w:cstheme="majorBidi"/>
          <w:i/>
          <w:iCs/>
          <w:sz w:val="24"/>
          <w:szCs w:val="24"/>
        </w:rPr>
        <w:t xml:space="preserve">  </w:t>
      </w:r>
      <w:r w:rsidR="00395A73" w:rsidRPr="00395A73">
        <w:rPr>
          <w:rFonts w:ascii="Arial" w:eastAsia="Times New Roman" w:hAnsi="Arial" w:cs="Arial"/>
          <w:sz w:val="20"/>
          <w:szCs w:val="20"/>
        </w:rPr>
        <w:t xml:space="preserve">     </w:t>
      </w:r>
      <w:r w:rsidR="00395A73" w:rsidRPr="00395A73">
        <w:rPr>
          <w:rFonts w:asciiTheme="majorBidi" w:hAnsiTheme="majorBidi" w:cstheme="majorBidi"/>
          <w:b/>
          <w:bCs/>
          <w:i/>
          <w:iCs/>
          <w:sz w:val="24"/>
          <w:szCs w:val="24"/>
        </w:rPr>
        <w:t>4 232 433 055</w:t>
      </w:r>
      <w:r w:rsidR="00A2321E" w:rsidRPr="00CD5B8C">
        <w:rPr>
          <w:rFonts w:asciiTheme="majorBidi" w:hAnsiTheme="majorBidi" w:cstheme="majorBidi"/>
          <w:b/>
          <w:bCs/>
          <w:i/>
          <w:iCs/>
          <w:sz w:val="24"/>
          <w:szCs w:val="24"/>
        </w:rPr>
        <w:t xml:space="preserve"> DA</w:t>
      </w:r>
    </w:p>
    <w:p w:rsidR="007A0FAD" w:rsidRPr="00460661" w:rsidRDefault="007A0FAD" w:rsidP="007A0FAD">
      <w:pPr>
        <w:autoSpaceDE w:val="0"/>
        <w:autoSpaceDN w:val="0"/>
        <w:adjustRightInd w:val="0"/>
        <w:spacing w:after="0" w:line="240" w:lineRule="auto"/>
        <w:jc w:val="center"/>
        <w:rPr>
          <w:rFonts w:asciiTheme="majorBidi" w:hAnsiTheme="majorBidi" w:cstheme="majorBidi"/>
          <w:sz w:val="24"/>
          <w:szCs w:val="24"/>
        </w:rPr>
      </w:pPr>
    </w:p>
    <w:p w:rsidR="00B06480" w:rsidRDefault="00C07882" w:rsidP="008A24FE">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3-1-4</w:t>
      </w:r>
      <w:proofErr w:type="gramStart"/>
      <w:r w:rsidR="00A835C3" w:rsidRPr="00A835C3">
        <w:rPr>
          <w:rFonts w:asciiTheme="majorBidi" w:hAnsiTheme="majorBidi" w:cstheme="majorBidi"/>
          <w:b/>
          <w:bCs/>
          <w:sz w:val="24"/>
          <w:szCs w:val="24"/>
        </w:rPr>
        <w:t xml:space="preserve">- </w:t>
      </w:r>
      <w:r w:rsidR="008A24FE" w:rsidRPr="00A835C3">
        <w:rPr>
          <w:rFonts w:asciiTheme="majorBidi" w:hAnsiTheme="majorBidi" w:cstheme="majorBidi"/>
          <w:b/>
          <w:bCs/>
          <w:sz w:val="24"/>
          <w:szCs w:val="24"/>
        </w:rPr>
        <w:t xml:space="preserve"> </w:t>
      </w:r>
      <w:r w:rsidR="00A835C3">
        <w:rPr>
          <w:rFonts w:asciiTheme="majorBidi" w:hAnsiTheme="majorBidi" w:cstheme="majorBidi"/>
          <w:b/>
          <w:bCs/>
          <w:sz w:val="24"/>
          <w:szCs w:val="24"/>
        </w:rPr>
        <w:t>L</w:t>
      </w:r>
      <w:r w:rsidR="00B06480">
        <w:rPr>
          <w:rFonts w:asciiTheme="majorBidi" w:hAnsiTheme="majorBidi" w:cstheme="majorBidi"/>
          <w:b/>
          <w:bCs/>
          <w:sz w:val="24"/>
          <w:szCs w:val="24"/>
        </w:rPr>
        <w:t>e</w:t>
      </w:r>
      <w:proofErr w:type="gramEnd"/>
      <w:r w:rsidR="00B06480">
        <w:rPr>
          <w:rFonts w:asciiTheme="majorBidi" w:hAnsiTheme="majorBidi" w:cstheme="majorBidi"/>
          <w:b/>
          <w:bCs/>
          <w:sz w:val="24"/>
          <w:szCs w:val="24"/>
        </w:rPr>
        <w:t xml:space="preserve"> calcul du SCR du risque opérationnel (</w:t>
      </w:r>
      <w:proofErr w:type="spellStart"/>
      <w:r w:rsidR="00B06480">
        <w:rPr>
          <w:rFonts w:asciiTheme="majorBidi" w:hAnsiTheme="majorBidi" w:cstheme="majorBidi"/>
          <w:b/>
          <w:bCs/>
          <w:sz w:val="24"/>
          <w:szCs w:val="24"/>
        </w:rPr>
        <w:t>SCR</w:t>
      </w:r>
      <w:r w:rsidR="00B06480" w:rsidRPr="00B06480">
        <w:rPr>
          <w:rFonts w:asciiTheme="majorBidi" w:hAnsiTheme="majorBidi" w:cstheme="majorBidi"/>
          <w:b/>
          <w:bCs/>
          <w:sz w:val="24"/>
          <w:szCs w:val="24"/>
          <w:vertAlign w:val="subscript"/>
        </w:rPr>
        <w:t>op</w:t>
      </w:r>
      <w:proofErr w:type="spellEnd"/>
      <w:r w:rsidR="00B06480">
        <w:rPr>
          <w:rFonts w:asciiTheme="majorBidi" w:hAnsiTheme="majorBidi" w:cstheme="majorBidi"/>
          <w:b/>
          <w:bCs/>
          <w:sz w:val="24"/>
          <w:szCs w:val="24"/>
        </w:rPr>
        <w:t xml:space="preserve"> )</w:t>
      </w:r>
    </w:p>
    <w:p w:rsidR="001B3390" w:rsidRDefault="001B3390" w:rsidP="001B3390">
      <w:pPr>
        <w:autoSpaceDE w:val="0"/>
        <w:autoSpaceDN w:val="0"/>
        <w:adjustRightInd w:val="0"/>
        <w:spacing w:after="0" w:line="240" w:lineRule="auto"/>
        <w:jc w:val="both"/>
        <w:rPr>
          <w:rFonts w:asciiTheme="majorBidi" w:hAnsiTheme="majorBidi" w:cstheme="majorBidi"/>
          <w:b/>
          <w:bCs/>
          <w:sz w:val="24"/>
          <w:szCs w:val="24"/>
        </w:rPr>
      </w:pPr>
    </w:p>
    <w:p w:rsidR="00796723" w:rsidRPr="00F01A12" w:rsidRDefault="00B06480" w:rsidP="00F01A12">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sz w:val="24"/>
          <w:szCs w:val="24"/>
        </w:rPr>
        <w:tab/>
      </w:r>
      <w:r w:rsidR="001B3390" w:rsidRPr="001B3390">
        <w:rPr>
          <w:rStyle w:val="A0"/>
          <w:rFonts w:asciiTheme="majorBidi" w:hAnsiTheme="majorBidi" w:cstheme="majorBidi"/>
          <w:sz w:val="24"/>
          <w:szCs w:val="24"/>
        </w:rPr>
        <w:t>Le risque opérationnel fait référence</w:t>
      </w:r>
      <w:r w:rsidR="001B3390" w:rsidRPr="001B3390">
        <w:rPr>
          <w:rStyle w:val="A0"/>
          <w:rFonts w:asciiTheme="majorBidi" w:hAnsiTheme="majorBidi" w:cstheme="majorBidi"/>
          <w:b/>
          <w:bCs/>
          <w:sz w:val="24"/>
          <w:szCs w:val="24"/>
        </w:rPr>
        <w:t xml:space="preserve"> </w:t>
      </w:r>
      <w:r w:rsidR="001B3390" w:rsidRPr="001B3390">
        <w:rPr>
          <w:rStyle w:val="A0"/>
          <w:rFonts w:asciiTheme="majorBidi" w:hAnsiTheme="majorBidi" w:cstheme="majorBidi"/>
          <w:sz w:val="24"/>
          <w:szCs w:val="24"/>
        </w:rPr>
        <w:t xml:space="preserve">au risque de pertes résultant de l’inadaptabilité ou de la défaillance des processus internes, du personnel, des systèmes d’information ou d’évènements extérieurs, qui n’ont pas été explicitement pris en compte dans les autres modules de risque. Notons que le risque opérationnel ne tient pas compte des risques émanant des stratégies de décisions ou de la réputation de l’entreprise. </w:t>
      </w:r>
      <w:r w:rsidR="001B3390">
        <w:rPr>
          <w:rStyle w:val="A0"/>
          <w:rFonts w:asciiTheme="majorBidi" w:hAnsiTheme="majorBidi" w:cstheme="majorBidi"/>
          <w:sz w:val="24"/>
          <w:szCs w:val="24"/>
        </w:rPr>
        <w:t>(CEIOPS QIS5)</w:t>
      </w:r>
      <w:r w:rsidR="001B3390" w:rsidRPr="001B3390">
        <w:rPr>
          <w:rFonts w:asciiTheme="majorBidi" w:hAnsiTheme="majorBidi" w:cstheme="majorBidi"/>
          <w:color w:val="000000"/>
          <w:sz w:val="24"/>
          <w:szCs w:val="24"/>
        </w:rPr>
        <w:t xml:space="preserve">. </w:t>
      </w:r>
      <w:r w:rsidRPr="001B3390">
        <w:rPr>
          <w:rFonts w:asciiTheme="majorBidi" w:hAnsiTheme="majorBidi" w:cstheme="majorBidi"/>
          <w:b/>
          <w:bCs/>
          <w:sz w:val="24"/>
          <w:szCs w:val="24"/>
        </w:rPr>
        <w:t xml:space="preserve"> </w:t>
      </w:r>
    </w:p>
    <w:p w:rsidR="00F01A12" w:rsidRDefault="00F01A12" w:rsidP="00F01A12">
      <w:pPr>
        <w:autoSpaceDE w:val="0"/>
        <w:autoSpaceDN w:val="0"/>
        <w:adjustRightInd w:val="0"/>
        <w:spacing w:after="0" w:line="240" w:lineRule="auto"/>
        <w:jc w:val="both"/>
        <w:rPr>
          <w:rFonts w:asciiTheme="majorBidi" w:hAnsiTheme="majorBidi" w:cstheme="majorBidi"/>
          <w:b/>
          <w:bCs/>
          <w:sz w:val="24"/>
          <w:szCs w:val="24"/>
        </w:rPr>
      </w:pPr>
    </w:p>
    <w:p w:rsidR="00F01A12" w:rsidRPr="00F01A12" w:rsidRDefault="00F01A12" w:rsidP="00F01A12">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Pr="00F01A12">
        <w:rPr>
          <w:rFonts w:asciiTheme="majorBidi" w:hAnsiTheme="majorBidi" w:cstheme="majorBidi"/>
          <w:color w:val="000000"/>
          <w:sz w:val="24"/>
          <w:szCs w:val="24"/>
        </w:rPr>
        <w:t xml:space="preserve">La gestion du risque opérationnel demande la mise en place d’un dispositif de mesure et de contrôle du risque, qui englobe souvent des aspects traités par des entités différentes </w:t>
      </w:r>
      <w:r w:rsidRPr="00F01A12">
        <w:rPr>
          <w:rFonts w:asciiTheme="majorBidi" w:hAnsiTheme="majorBidi" w:cstheme="majorBidi"/>
          <w:color w:val="000000"/>
          <w:sz w:val="24"/>
          <w:szCs w:val="24"/>
        </w:rPr>
        <w:lastRenderedPageBreak/>
        <w:t xml:space="preserve">d’une compagnie. Il faut donc pouvoir disposer d’un cadre cohérent qui s’articule autour de six grandes </w:t>
      </w:r>
      <w:proofErr w:type="gramStart"/>
      <w:r w:rsidRPr="00F01A12">
        <w:rPr>
          <w:rFonts w:asciiTheme="majorBidi" w:hAnsiTheme="majorBidi" w:cstheme="majorBidi"/>
          <w:color w:val="000000"/>
          <w:sz w:val="24"/>
          <w:szCs w:val="24"/>
        </w:rPr>
        <w:t>étapes</w:t>
      </w:r>
      <w:proofErr w:type="gramEnd"/>
      <w:r w:rsidR="00CD5B8C">
        <w:rPr>
          <w:rStyle w:val="Appelnotedebasdep"/>
          <w:rFonts w:asciiTheme="majorBidi" w:hAnsiTheme="majorBidi" w:cstheme="majorBidi"/>
          <w:color w:val="000000"/>
          <w:sz w:val="24"/>
          <w:szCs w:val="24"/>
        </w:rPr>
        <w:footnoteReference w:id="3"/>
      </w:r>
      <w:r w:rsidRPr="00F01A12">
        <w:rPr>
          <w:rFonts w:asciiTheme="majorBidi" w:hAnsiTheme="majorBidi" w:cstheme="majorBidi"/>
          <w:color w:val="000000"/>
          <w:sz w:val="24"/>
          <w:szCs w:val="24"/>
        </w:rPr>
        <w:t xml:space="preserve">: </w:t>
      </w:r>
    </w:p>
    <w:p w:rsidR="00F01A12" w:rsidRPr="00F01A12" w:rsidRDefault="00F01A12" w:rsidP="00F01A12">
      <w:pPr>
        <w:autoSpaceDE w:val="0"/>
        <w:autoSpaceDN w:val="0"/>
        <w:adjustRightInd w:val="0"/>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692C73">
        <w:rPr>
          <w:rFonts w:asciiTheme="majorBidi" w:hAnsiTheme="majorBidi" w:cstheme="majorBidi"/>
          <w:color w:val="000000"/>
          <w:sz w:val="24"/>
          <w:szCs w:val="24"/>
        </w:rPr>
        <w:t xml:space="preserve"> L’identification des </w:t>
      </w:r>
      <w:proofErr w:type="gramStart"/>
      <w:r w:rsidR="00692C73">
        <w:rPr>
          <w:rFonts w:asciiTheme="majorBidi" w:hAnsiTheme="majorBidi" w:cstheme="majorBidi"/>
          <w:color w:val="000000"/>
          <w:sz w:val="24"/>
          <w:szCs w:val="24"/>
        </w:rPr>
        <w:t>processus</w:t>
      </w:r>
      <w:r w:rsidRPr="00F01A12">
        <w:rPr>
          <w:rFonts w:asciiTheme="majorBidi" w:hAnsiTheme="majorBidi" w:cstheme="majorBidi"/>
          <w:color w:val="000000"/>
          <w:sz w:val="24"/>
          <w:szCs w:val="24"/>
        </w:rPr>
        <w:t>:</w:t>
      </w:r>
      <w:proofErr w:type="gramEnd"/>
      <w:r w:rsidRPr="00F01A12">
        <w:rPr>
          <w:rFonts w:asciiTheme="majorBidi" w:hAnsiTheme="majorBidi" w:cstheme="majorBidi"/>
          <w:color w:val="000000"/>
          <w:sz w:val="24"/>
          <w:szCs w:val="24"/>
        </w:rPr>
        <w:t xml:space="preserve"> création d’un référentiel et identification des experts </w:t>
      </w:r>
    </w:p>
    <w:p w:rsidR="00F01A12" w:rsidRPr="00F01A12" w:rsidRDefault="00F01A12" w:rsidP="00F01A12">
      <w:pPr>
        <w:autoSpaceDE w:val="0"/>
        <w:autoSpaceDN w:val="0"/>
        <w:adjustRightInd w:val="0"/>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w:t>
      </w:r>
      <w:r w:rsidRPr="00F01A12">
        <w:rPr>
          <w:rFonts w:asciiTheme="majorBidi" w:hAnsiTheme="majorBidi" w:cstheme="majorBidi"/>
          <w:color w:val="000000"/>
          <w:sz w:val="24"/>
          <w:szCs w:val="24"/>
        </w:rPr>
        <w:t xml:space="preserve"> L’identificat</w:t>
      </w:r>
      <w:r w:rsidR="00692C73">
        <w:rPr>
          <w:rFonts w:asciiTheme="majorBidi" w:hAnsiTheme="majorBidi" w:cstheme="majorBidi"/>
          <w:color w:val="000000"/>
          <w:sz w:val="24"/>
          <w:szCs w:val="24"/>
        </w:rPr>
        <w:t xml:space="preserve">ion et l’évaluation des </w:t>
      </w:r>
      <w:proofErr w:type="gramStart"/>
      <w:r w:rsidR="00692C73">
        <w:rPr>
          <w:rFonts w:asciiTheme="majorBidi" w:hAnsiTheme="majorBidi" w:cstheme="majorBidi"/>
          <w:color w:val="000000"/>
          <w:sz w:val="24"/>
          <w:szCs w:val="24"/>
        </w:rPr>
        <w:t>risques</w:t>
      </w:r>
      <w:r w:rsidRPr="00F01A12">
        <w:rPr>
          <w:rFonts w:asciiTheme="majorBidi" w:hAnsiTheme="majorBidi" w:cstheme="majorBidi"/>
          <w:color w:val="000000"/>
          <w:sz w:val="24"/>
          <w:szCs w:val="24"/>
        </w:rPr>
        <w:t>:</w:t>
      </w:r>
      <w:proofErr w:type="gramEnd"/>
      <w:r w:rsidRPr="00F01A12">
        <w:rPr>
          <w:rFonts w:asciiTheme="majorBidi" w:hAnsiTheme="majorBidi" w:cstheme="majorBidi"/>
          <w:color w:val="000000"/>
          <w:sz w:val="24"/>
          <w:szCs w:val="24"/>
        </w:rPr>
        <w:t xml:space="preserve"> étape cruciale </w:t>
      </w:r>
    </w:p>
    <w:p w:rsidR="00F01A12" w:rsidRPr="00F01A12" w:rsidRDefault="00F01A12" w:rsidP="00F01A12">
      <w:pPr>
        <w:autoSpaceDE w:val="0"/>
        <w:autoSpaceDN w:val="0"/>
        <w:adjustRightInd w:val="0"/>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F01A12">
        <w:rPr>
          <w:rFonts w:asciiTheme="majorBidi" w:hAnsiTheme="majorBidi" w:cstheme="majorBidi"/>
          <w:color w:val="000000"/>
          <w:sz w:val="24"/>
          <w:szCs w:val="24"/>
        </w:rPr>
        <w:t xml:space="preserve"> L’identification d’indicateurs de suivi des risques </w:t>
      </w:r>
    </w:p>
    <w:p w:rsidR="00F01A12" w:rsidRPr="00F01A12" w:rsidRDefault="00F01A12" w:rsidP="00F01A12">
      <w:pPr>
        <w:autoSpaceDE w:val="0"/>
        <w:autoSpaceDN w:val="0"/>
        <w:adjustRightInd w:val="0"/>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F01A12">
        <w:rPr>
          <w:rFonts w:asciiTheme="majorBidi" w:hAnsiTheme="majorBidi" w:cstheme="majorBidi"/>
          <w:color w:val="000000"/>
          <w:sz w:val="24"/>
          <w:szCs w:val="24"/>
        </w:rPr>
        <w:t xml:space="preserve"> La mise en œuvre d’a</w:t>
      </w:r>
      <w:r w:rsidR="00692C73">
        <w:rPr>
          <w:rFonts w:asciiTheme="majorBidi" w:hAnsiTheme="majorBidi" w:cstheme="majorBidi"/>
          <w:color w:val="000000"/>
          <w:sz w:val="24"/>
          <w:szCs w:val="24"/>
        </w:rPr>
        <w:t xml:space="preserve">ctions de réduction des </w:t>
      </w:r>
      <w:proofErr w:type="gramStart"/>
      <w:r w:rsidR="00692C73">
        <w:rPr>
          <w:rFonts w:asciiTheme="majorBidi" w:hAnsiTheme="majorBidi" w:cstheme="majorBidi"/>
          <w:color w:val="000000"/>
          <w:sz w:val="24"/>
          <w:szCs w:val="24"/>
        </w:rPr>
        <w:t>risques</w:t>
      </w:r>
      <w:r w:rsidRPr="00F01A12">
        <w:rPr>
          <w:rFonts w:asciiTheme="majorBidi" w:hAnsiTheme="majorBidi" w:cstheme="majorBidi"/>
          <w:color w:val="000000"/>
          <w:sz w:val="24"/>
          <w:szCs w:val="24"/>
        </w:rPr>
        <w:t>:</w:t>
      </w:r>
      <w:proofErr w:type="gramEnd"/>
      <w:r w:rsidRPr="00F01A12">
        <w:rPr>
          <w:rFonts w:asciiTheme="majorBidi" w:hAnsiTheme="majorBidi" w:cstheme="majorBidi"/>
          <w:color w:val="000000"/>
          <w:sz w:val="24"/>
          <w:szCs w:val="24"/>
        </w:rPr>
        <w:t xml:space="preserve"> essayer de maîtriser et de réduire le coût, la perte financière liée aux risques </w:t>
      </w:r>
    </w:p>
    <w:p w:rsidR="00F01A12" w:rsidRPr="00F01A12" w:rsidRDefault="00F01A12" w:rsidP="00F01A12">
      <w:pPr>
        <w:autoSpaceDE w:val="0"/>
        <w:autoSpaceDN w:val="0"/>
        <w:adjustRightInd w:val="0"/>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F01A12">
        <w:rPr>
          <w:rFonts w:asciiTheme="majorBidi" w:hAnsiTheme="majorBidi" w:cstheme="majorBidi"/>
          <w:color w:val="000000"/>
          <w:sz w:val="24"/>
          <w:szCs w:val="24"/>
        </w:rPr>
        <w:t xml:space="preserve"> La mise en place d’un disp</w:t>
      </w:r>
      <w:r w:rsidR="00692C73">
        <w:rPr>
          <w:rFonts w:asciiTheme="majorBidi" w:hAnsiTheme="majorBidi" w:cstheme="majorBidi"/>
          <w:color w:val="000000"/>
          <w:sz w:val="24"/>
          <w:szCs w:val="24"/>
        </w:rPr>
        <w:t xml:space="preserve">ositif de gestion des </w:t>
      </w:r>
      <w:proofErr w:type="gramStart"/>
      <w:r w:rsidR="00692C73">
        <w:rPr>
          <w:rFonts w:asciiTheme="majorBidi" w:hAnsiTheme="majorBidi" w:cstheme="majorBidi"/>
          <w:color w:val="000000"/>
          <w:sz w:val="24"/>
          <w:szCs w:val="24"/>
        </w:rPr>
        <w:t>incidents</w:t>
      </w:r>
      <w:r w:rsidRPr="00F01A12">
        <w:rPr>
          <w:rFonts w:asciiTheme="majorBidi" w:hAnsiTheme="majorBidi" w:cstheme="majorBidi"/>
          <w:color w:val="000000"/>
          <w:sz w:val="24"/>
          <w:szCs w:val="24"/>
        </w:rPr>
        <w:t>:</w:t>
      </w:r>
      <w:proofErr w:type="gramEnd"/>
      <w:r w:rsidRPr="00F01A12">
        <w:rPr>
          <w:rFonts w:asciiTheme="majorBidi" w:hAnsiTheme="majorBidi" w:cstheme="majorBidi"/>
          <w:color w:val="000000"/>
          <w:sz w:val="24"/>
          <w:szCs w:val="24"/>
        </w:rPr>
        <w:t xml:space="preserve"> cette étape peut être réalisée en parallèle du dispositif de collecte des incidents </w:t>
      </w:r>
    </w:p>
    <w:p w:rsidR="00F01A12" w:rsidRDefault="00F01A12" w:rsidP="00F01A12">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w:t>
      </w:r>
      <w:r w:rsidRPr="00F01A12">
        <w:rPr>
          <w:rFonts w:asciiTheme="majorBidi" w:hAnsiTheme="majorBidi" w:cstheme="majorBidi"/>
          <w:color w:val="000000"/>
          <w:sz w:val="24"/>
          <w:szCs w:val="24"/>
        </w:rPr>
        <w:t xml:space="preserve"> Le back-</w:t>
      </w:r>
      <w:proofErr w:type="spellStart"/>
      <w:r w:rsidRPr="00F01A12">
        <w:rPr>
          <w:rFonts w:asciiTheme="majorBidi" w:hAnsiTheme="majorBidi" w:cstheme="majorBidi"/>
          <w:color w:val="000000"/>
          <w:sz w:val="24"/>
          <w:szCs w:val="24"/>
        </w:rPr>
        <w:t>testing</w:t>
      </w:r>
      <w:proofErr w:type="spellEnd"/>
      <w:r w:rsidR="00692C73">
        <w:rPr>
          <w:rFonts w:asciiTheme="majorBidi" w:hAnsiTheme="majorBidi" w:cstheme="majorBidi"/>
          <w:color w:val="000000"/>
          <w:sz w:val="24"/>
          <w:szCs w:val="24"/>
        </w:rPr>
        <w:t xml:space="preserve"> et la réévaluation des </w:t>
      </w:r>
      <w:proofErr w:type="gramStart"/>
      <w:r w:rsidR="00692C73">
        <w:rPr>
          <w:rFonts w:asciiTheme="majorBidi" w:hAnsiTheme="majorBidi" w:cstheme="majorBidi"/>
          <w:color w:val="000000"/>
          <w:sz w:val="24"/>
          <w:szCs w:val="24"/>
        </w:rPr>
        <w:t>risques</w:t>
      </w:r>
      <w:r w:rsidRPr="00F01A12">
        <w:rPr>
          <w:rFonts w:asciiTheme="majorBidi" w:hAnsiTheme="majorBidi" w:cstheme="majorBidi"/>
          <w:color w:val="000000"/>
          <w:sz w:val="24"/>
          <w:szCs w:val="24"/>
        </w:rPr>
        <w:t>:</w:t>
      </w:r>
      <w:proofErr w:type="gramEnd"/>
      <w:r w:rsidRPr="00F01A12">
        <w:rPr>
          <w:rFonts w:asciiTheme="majorBidi" w:hAnsiTheme="majorBidi" w:cstheme="majorBidi"/>
          <w:color w:val="000000"/>
          <w:sz w:val="24"/>
          <w:szCs w:val="24"/>
        </w:rPr>
        <w:t xml:space="preserve"> étude des incidents enregistrés et mise en perspective avec les dires de l’expert.</w:t>
      </w:r>
    </w:p>
    <w:p w:rsidR="00F01A12" w:rsidRPr="00F01A12" w:rsidRDefault="00F01A12" w:rsidP="00F01A12">
      <w:pPr>
        <w:autoSpaceDE w:val="0"/>
        <w:autoSpaceDN w:val="0"/>
        <w:adjustRightInd w:val="0"/>
        <w:spacing w:after="0" w:line="240" w:lineRule="auto"/>
        <w:jc w:val="both"/>
        <w:rPr>
          <w:rFonts w:asciiTheme="majorBidi" w:hAnsiTheme="majorBidi" w:cstheme="majorBidi"/>
          <w:b/>
          <w:bCs/>
          <w:sz w:val="24"/>
          <w:szCs w:val="24"/>
        </w:rPr>
      </w:pPr>
    </w:p>
    <w:p w:rsidR="00F03BE8" w:rsidRDefault="00F01A12" w:rsidP="001B3390">
      <w:pPr>
        <w:autoSpaceDE w:val="0"/>
        <w:autoSpaceDN w:val="0"/>
        <w:adjustRightInd w:val="0"/>
        <w:spacing w:after="0" w:line="360" w:lineRule="auto"/>
        <w:jc w:val="both"/>
        <w:rPr>
          <w:rFonts w:asciiTheme="majorBidi" w:hAnsiTheme="majorBidi" w:cstheme="majorBidi"/>
          <w:color w:val="000000"/>
          <w:sz w:val="24"/>
          <w:szCs w:val="24"/>
        </w:rPr>
      </w:pPr>
      <w:r>
        <w:rPr>
          <w:rStyle w:val="A0"/>
          <w:rFonts w:asciiTheme="majorBidi" w:hAnsiTheme="majorBidi" w:cstheme="majorBidi"/>
          <w:sz w:val="24"/>
          <w:szCs w:val="24"/>
        </w:rPr>
        <w:tab/>
        <w:t xml:space="preserve">La formule de calcul de </w:t>
      </w:r>
      <w:r w:rsidRPr="001B3390">
        <w:rPr>
          <w:rFonts w:asciiTheme="majorBidi" w:hAnsiTheme="majorBidi" w:cstheme="majorBidi"/>
          <w:color w:val="000000"/>
          <w:sz w:val="24"/>
          <w:szCs w:val="24"/>
        </w:rPr>
        <w:t>La charge</w:t>
      </w:r>
      <w:r>
        <w:rPr>
          <w:rFonts w:asciiTheme="majorBidi" w:hAnsiTheme="majorBidi" w:cstheme="majorBidi"/>
          <w:color w:val="000000"/>
          <w:sz w:val="24"/>
          <w:szCs w:val="24"/>
        </w:rPr>
        <w:t xml:space="preserve"> en capital pour le risque opérationnel est </w:t>
      </w:r>
      <w:r w:rsidRPr="001B3390">
        <w:rPr>
          <w:rFonts w:asciiTheme="majorBidi" w:hAnsiTheme="majorBidi" w:cstheme="majorBidi"/>
          <w:color w:val="000000"/>
          <w:sz w:val="24"/>
          <w:szCs w:val="24"/>
        </w:rPr>
        <w:t xml:space="preserve">calculée en fonction du SCR basique, des provisions techniques et des primes </w:t>
      </w:r>
      <w:proofErr w:type="gramStart"/>
      <w:r w:rsidRPr="001B3390">
        <w:rPr>
          <w:rFonts w:asciiTheme="majorBidi" w:hAnsiTheme="majorBidi" w:cstheme="majorBidi"/>
          <w:color w:val="000000"/>
          <w:sz w:val="24"/>
          <w:szCs w:val="24"/>
        </w:rPr>
        <w:t>acquises</w:t>
      </w:r>
      <w:r w:rsidR="00F03BE8">
        <w:rPr>
          <w:rFonts w:asciiTheme="majorBidi" w:hAnsiTheme="majorBidi" w:cstheme="majorBidi"/>
          <w:color w:val="000000"/>
          <w:sz w:val="24"/>
          <w:szCs w:val="24"/>
        </w:rPr>
        <w:t>:</w:t>
      </w:r>
      <w:proofErr w:type="gramEnd"/>
    </w:p>
    <w:p w:rsidR="00415939" w:rsidRDefault="00B85085" w:rsidP="001B3390">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noProof/>
          <w:color w:val="000000"/>
          <w:sz w:val="24"/>
          <w:szCs w:val="24"/>
        </w:rPr>
        <w:pict>
          <v:roundrect id="_x0000_s1060" style="position:absolute;left:0;text-align:left;margin-left:122.65pt;margin-top:10.75pt;width:204pt;height:33.75pt;z-index:251687936" arcsize="10923f" fillcolor="white [3201]" strokecolor="#b2a1c7 [1943]" strokeweight="1pt">
            <v:fill color2="#ccc0d9 [1303]" focusposition="1" focussize="" focus="100%" type="gradient"/>
            <v:shadow on="t" type="perspective" color="#3f3151 [1607]" opacity=".5" offset="1pt" offset2="-3pt"/>
            <v:textbox>
              <w:txbxContent>
                <w:p w:rsidR="00341914" w:rsidRPr="001B3390" w:rsidRDefault="00341914" w:rsidP="00F03BE8">
                  <w:pPr>
                    <w:autoSpaceDE w:val="0"/>
                    <w:autoSpaceDN w:val="0"/>
                    <w:adjustRightInd w:val="0"/>
                    <w:spacing w:after="0" w:line="360" w:lineRule="auto"/>
                    <w:jc w:val="center"/>
                    <w:rPr>
                      <w:rFonts w:asciiTheme="majorBidi" w:hAnsiTheme="majorBidi" w:cstheme="majorBidi"/>
                      <w:b/>
                      <w:bCs/>
                      <w:sz w:val="24"/>
                      <w:szCs w:val="24"/>
                    </w:rPr>
                  </w:pPr>
                  <w:r>
                    <w:rPr>
                      <w:rFonts w:asciiTheme="majorBidi" w:hAnsiTheme="majorBidi" w:cstheme="majorBidi"/>
                      <w:color w:val="000000"/>
                      <w:sz w:val="24"/>
                      <w:szCs w:val="24"/>
                    </w:rPr>
                    <w:t>SCR</w:t>
                  </w:r>
                  <w:r>
                    <w:rPr>
                      <w:rFonts w:asciiTheme="majorBidi" w:hAnsiTheme="majorBidi" w:cstheme="majorBidi"/>
                      <w:color w:val="000000"/>
                      <w:sz w:val="24"/>
                      <w:szCs w:val="24"/>
                      <w:vertAlign w:val="subscript"/>
                    </w:rPr>
                    <w:t>OP</w:t>
                  </w:r>
                  <w:r>
                    <w:rPr>
                      <w:rFonts w:asciiTheme="majorBidi" w:hAnsiTheme="majorBidi" w:cstheme="majorBidi"/>
                      <w:color w:val="000000"/>
                      <w:sz w:val="24"/>
                      <w:szCs w:val="24"/>
                    </w:rPr>
                    <w:t>= MIN (30%*BSCR ; OP</w:t>
                  </w:r>
                  <w:r>
                    <w:rPr>
                      <w:rFonts w:asciiTheme="majorBidi" w:hAnsiTheme="majorBidi" w:cstheme="majorBidi"/>
                      <w:color w:val="000000"/>
                      <w:sz w:val="28"/>
                      <w:szCs w:val="28"/>
                    </w:rPr>
                    <w:t>)</w:t>
                  </w:r>
                </w:p>
                <w:p w:rsidR="00341914" w:rsidRDefault="00341914"/>
              </w:txbxContent>
            </v:textbox>
          </v:roundrect>
        </w:pict>
      </w:r>
    </w:p>
    <w:p w:rsidR="00F03BE8" w:rsidRDefault="00F03BE8" w:rsidP="00F03BE8">
      <w:pPr>
        <w:autoSpaceDE w:val="0"/>
        <w:autoSpaceDN w:val="0"/>
        <w:adjustRightInd w:val="0"/>
        <w:spacing w:after="0" w:line="360" w:lineRule="auto"/>
        <w:jc w:val="center"/>
        <w:rPr>
          <w:rFonts w:asciiTheme="majorBidi" w:hAnsiTheme="majorBidi" w:cstheme="majorBidi"/>
          <w:color w:val="000000"/>
          <w:sz w:val="24"/>
          <w:szCs w:val="24"/>
        </w:rPr>
      </w:pPr>
    </w:p>
    <w:p w:rsidR="009D2D3E" w:rsidRDefault="009D2D3E" w:rsidP="00E3430D">
      <w:pPr>
        <w:autoSpaceDE w:val="0"/>
        <w:autoSpaceDN w:val="0"/>
        <w:adjustRightInd w:val="0"/>
        <w:spacing w:after="0" w:line="360" w:lineRule="auto"/>
        <w:jc w:val="both"/>
        <w:rPr>
          <w:rFonts w:asciiTheme="majorBidi" w:hAnsiTheme="majorBidi" w:cstheme="majorBidi"/>
          <w:color w:val="000000"/>
          <w:sz w:val="24"/>
          <w:szCs w:val="24"/>
        </w:rPr>
      </w:pPr>
    </w:p>
    <w:p w:rsidR="0050234D" w:rsidRPr="0050234D" w:rsidRDefault="0050234D" w:rsidP="0050234D">
      <w:pPr>
        <w:pStyle w:val="Paragraphedeliste"/>
        <w:numPr>
          <w:ilvl w:val="0"/>
          <w:numId w:val="4"/>
        </w:numPr>
        <w:rPr>
          <w:rFonts w:asciiTheme="majorBidi" w:hAnsiTheme="majorBidi" w:cstheme="majorBidi"/>
          <w:color w:val="000000"/>
          <w:sz w:val="24"/>
          <w:szCs w:val="24"/>
        </w:rPr>
      </w:pPr>
      <w:r w:rsidRPr="0050234D">
        <w:rPr>
          <w:rFonts w:asciiTheme="majorBidi" w:hAnsiTheme="majorBidi" w:cstheme="majorBidi"/>
          <w:i/>
          <w:iCs/>
          <w:sz w:val="24"/>
          <w:szCs w:val="24"/>
        </w:rPr>
        <w:t xml:space="preserve">Op </w:t>
      </w:r>
      <w:r w:rsidRPr="0050234D">
        <w:rPr>
          <w:rFonts w:asciiTheme="majorBidi" w:hAnsiTheme="majorBidi" w:cstheme="majorBidi"/>
          <w:sz w:val="24"/>
          <w:szCs w:val="24"/>
        </w:rPr>
        <w:t xml:space="preserve">= max </w:t>
      </w:r>
      <w:r w:rsidRPr="0050234D">
        <w:rPr>
          <w:rFonts w:asciiTheme="majorBidi" w:hAnsiTheme="majorBidi" w:cstheme="majorBidi"/>
          <w:b/>
          <w:bCs/>
          <w:sz w:val="24"/>
          <w:szCs w:val="24"/>
        </w:rPr>
        <w:t>(</w:t>
      </w:r>
      <w:r w:rsidRPr="0050234D">
        <w:rPr>
          <w:rFonts w:asciiTheme="majorBidi" w:hAnsiTheme="majorBidi" w:cstheme="majorBidi"/>
          <w:b/>
          <w:bCs/>
          <w:i/>
          <w:iCs/>
          <w:sz w:val="24"/>
          <w:szCs w:val="24"/>
        </w:rPr>
        <w:t>Op</w:t>
      </w:r>
      <w:r w:rsidR="007A5D16">
        <w:rPr>
          <w:rFonts w:asciiTheme="majorBidi" w:hAnsiTheme="majorBidi" w:cstheme="majorBidi"/>
          <w:b/>
          <w:bCs/>
          <w:i/>
          <w:iCs/>
          <w:sz w:val="24"/>
          <w:szCs w:val="24"/>
        </w:rPr>
        <w:t>primes</w:t>
      </w:r>
      <w:r w:rsidRPr="0050234D">
        <w:rPr>
          <w:rFonts w:asciiTheme="majorBidi" w:hAnsiTheme="majorBidi" w:cstheme="majorBidi"/>
          <w:i/>
          <w:iCs/>
          <w:sz w:val="24"/>
          <w:szCs w:val="24"/>
        </w:rPr>
        <w:t xml:space="preserve"> </w:t>
      </w:r>
      <w:r w:rsidRPr="0050234D">
        <w:rPr>
          <w:rFonts w:asciiTheme="majorBidi" w:hAnsiTheme="majorBidi" w:cstheme="majorBidi"/>
          <w:sz w:val="24"/>
          <w:szCs w:val="24"/>
        </w:rPr>
        <w:t xml:space="preserve">; </w:t>
      </w:r>
      <w:proofErr w:type="spellStart"/>
      <w:proofErr w:type="gramStart"/>
      <w:r w:rsidRPr="0050234D">
        <w:rPr>
          <w:rFonts w:asciiTheme="majorBidi" w:hAnsiTheme="majorBidi" w:cstheme="majorBidi"/>
          <w:b/>
          <w:bCs/>
          <w:i/>
          <w:iCs/>
          <w:sz w:val="24"/>
          <w:szCs w:val="24"/>
        </w:rPr>
        <w:t>Opprovisions</w:t>
      </w:r>
      <w:proofErr w:type="spellEnd"/>
      <w:r w:rsidRPr="0050234D">
        <w:rPr>
          <w:rFonts w:asciiTheme="majorBidi" w:hAnsiTheme="majorBidi" w:cstheme="majorBidi"/>
          <w:i/>
          <w:iCs/>
          <w:sz w:val="24"/>
          <w:szCs w:val="24"/>
        </w:rPr>
        <w:t xml:space="preserve"> </w:t>
      </w:r>
      <w:r w:rsidRPr="0050234D">
        <w:rPr>
          <w:rFonts w:asciiTheme="majorBidi" w:hAnsiTheme="majorBidi" w:cstheme="majorBidi"/>
          <w:sz w:val="24"/>
          <w:szCs w:val="24"/>
        </w:rPr>
        <w:t>)</w:t>
      </w:r>
      <w:proofErr w:type="gramEnd"/>
    </w:p>
    <w:p w:rsidR="0050234D" w:rsidRDefault="000673C5" w:rsidP="0050234D">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Sachant </w:t>
      </w:r>
      <w:proofErr w:type="gramStart"/>
      <w:r>
        <w:rPr>
          <w:rFonts w:asciiTheme="majorBidi" w:hAnsiTheme="majorBidi" w:cstheme="majorBidi"/>
          <w:sz w:val="24"/>
          <w:szCs w:val="24"/>
        </w:rPr>
        <w:t>que</w:t>
      </w:r>
      <w:r w:rsidR="0050234D">
        <w:rPr>
          <w:rFonts w:asciiTheme="majorBidi" w:hAnsiTheme="majorBidi" w:cstheme="majorBidi"/>
          <w:sz w:val="24"/>
          <w:szCs w:val="24"/>
        </w:rPr>
        <w:t>:</w:t>
      </w:r>
      <w:proofErr w:type="gramEnd"/>
      <w:r w:rsidR="0050234D">
        <w:rPr>
          <w:rFonts w:asciiTheme="majorBidi" w:hAnsiTheme="majorBidi" w:cstheme="majorBidi"/>
          <w:sz w:val="24"/>
          <w:szCs w:val="24"/>
        </w:rPr>
        <w:t xml:space="preserve"> </w:t>
      </w:r>
    </w:p>
    <w:p w:rsidR="0050234D" w:rsidRDefault="0050234D" w:rsidP="0050234D">
      <w:pPr>
        <w:autoSpaceDE w:val="0"/>
        <w:autoSpaceDN w:val="0"/>
        <w:adjustRightInd w:val="0"/>
        <w:spacing w:after="0" w:line="240" w:lineRule="auto"/>
        <w:jc w:val="both"/>
        <w:rPr>
          <w:rFonts w:asciiTheme="majorBidi" w:hAnsiTheme="majorBidi" w:cstheme="majorBidi"/>
          <w:sz w:val="24"/>
          <w:szCs w:val="24"/>
        </w:rPr>
      </w:pPr>
    </w:p>
    <w:p w:rsidR="0050234D" w:rsidRDefault="0050234D" w:rsidP="0050234D">
      <w:pPr>
        <w:autoSpaceDE w:val="0"/>
        <w:autoSpaceDN w:val="0"/>
        <w:adjustRightInd w:val="0"/>
        <w:spacing w:after="0" w:line="240" w:lineRule="auto"/>
        <w:rPr>
          <w:rFonts w:asciiTheme="majorBidi" w:hAnsiTheme="majorBidi" w:cstheme="majorBidi"/>
          <w:sz w:val="24"/>
          <w:szCs w:val="24"/>
        </w:rPr>
      </w:pPr>
      <w:r w:rsidRPr="0050234D">
        <w:rPr>
          <w:rFonts w:asciiTheme="majorBidi" w:hAnsiTheme="majorBidi" w:cstheme="majorBidi"/>
          <w:b/>
          <w:bCs/>
          <w:i/>
          <w:iCs/>
          <w:sz w:val="24"/>
          <w:szCs w:val="24"/>
        </w:rPr>
        <w:t>Oppr</w:t>
      </w:r>
      <w:r w:rsidR="007A5D16">
        <w:rPr>
          <w:rFonts w:asciiTheme="majorBidi" w:hAnsiTheme="majorBidi" w:cstheme="majorBidi"/>
          <w:b/>
          <w:bCs/>
          <w:i/>
          <w:iCs/>
          <w:sz w:val="24"/>
          <w:szCs w:val="24"/>
        </w:rPr>
        <w:t>imes</w:t>
      </w:r>
      <w:r w:rsidRPr="0050234D">
        <w:rPr>
          <w:rFonts w:asciiTheme="majorBidi" w:hAnsiTheme="majorBidi" w:cstheme="majorBidi"/>
          <w:i/>
          <w:iCs/>
          <w:sz w:val="24"/>
          <w:szCs w:val="24"/>
        </w:rPr>
        <w:t xml:space="preserve"> </w:t>
      </w:r>
      <w:proofErr w:type="gramStart"/>
      <w:r w:rsidRPr="0050234D">
        <w:rPr>
          <w:rFonts w:asciiTheme="majorBidi" w:hAnsiTheme="majorBidi" w:cstheme="majorBidi"/>
          <w:b/>
          <w:bCs/>
          <w:i/>
          <w:iCs/>
          <w:sz w:val="24"/>
          <w:szCs w:val="24"/>
        </w:rPr>
        <w:t>=</w:t>
      </w:r>
      <w:r w:rsidRPr="0050234D">
        <w:rPr>
          <w:rFonts w:asciiTheme="majorBidi" w:hAnsiTheme="majorBidi" w:cstheme="majorBidi"/>
          <w:sz w:val="24"/>
          <w:szCs w:val="24"/>
        </w:rPr>
        <w:t xml:space="preserve"> </w:t>
      </w:r>
      <w:r w:rsidRPr="0050234D">
        <w:rPr>
          <w:rFonts w:asciiTheme="majorBidi" w:hAnsiTheme="majorBidi" w:cstheme="majorBidi"/>
          <w:i/>
          <w:iCs/>
          <w:sz w:val="24"/>
          <w:szCs w:val="24"/>
        </w:rPr>
        <w:t xml:space="preserve"> </w:t>
      </w:r>
      <w:r>
        <w:rPr>
          <w:rFonts w:asciiTheme="majorBidi" w:hAnsiTheme="majorBidi" w:cstheme="majorBidi"/>
          <w:sz w:val="24"/>
          <w:szCs w:val="24"/>
        </w:rPr>
        <w:t>3</w:t>
      </w:r>
      <w:proofErr w:type="gramEnd"/>
      <w:r>
        <w:rPr>
          <w:rFonts w:asciiTheme="majorBidi" w:hAnsiTheme="majorBidi" w:cstheme="majorBidi"/>
          <w:sz w:val="24"/>
          <w:szCs w:val="24"/>
        </w:rPr>
        <w:t>% *</w:t>
      </w:r>
      <w:r w:rsidRPr="0050234D">
        <w:rPr>
          <w:rFonts w:asciiTheme="majorBidi" w:hAnsiTheme="majorBidi" w:cstheme="majorBidi"/>
          <w:sz w:val="24"/>
          <w:szCs w:val="24"/>
        </w:rPr>
        <w:t xml:space="preserve"> </w:t>
      </w:r>
      <w:r>
        <w:rPr>
          <w:rFonts w:asciiTheme="majorBidi" w:hAnsiTheme="majorBidi" w:cstheme="majorBidi"/>
          <w:i/>
          <w:iCs/>
          <w:sz w:val="24"/>
          <w:szCs w:val="24"/>
        </w:rPr>
        <w:t xml:space="preserve">prime acquises </w:t>
      </w:r>
      <w:r>
        <w:rPr>
          <w:rFonts w:asciiTheme="majorBidi" w:hAnsiTheme="majorBidi" w:cstheme="majorBidi"/>
          <w:i/>
          <w:iCs/>
          <w:sz w:val="24"/>
          <w:szCs w:val="24"/>
          <w:vertAlign w:val="subscript"/>
        </w:rPr>
        <w:t>non vie</w:t>
      </w:r>
      <w:r w:rsidRPr="0050234D">
        <w:rPr>
          <w:rFonts w:asciiTheme="majorBidi" w:hAnsiTheme="majorBidi" w:cstheme="majorBidi"/>
          <w:i/>
          <w:iCs/>
          <w:sz w:val="24"/>
          <w:szCs w:val="24"/>
        </w:rPr>
        <w:t xml:space="preserve"> </w:t>
      </w:r>
      <w:r w:rsidRPr="0050234D">
        <w:rPr>
          <w:rFonts w:asciiTheme="majorBidi" w:hAnsiTheme="majorBidi" w:cstheme="majorBidi"/>
          <w:sz w:val="24"/>
          <w:szCs w:val="24"/>
        </w:rPr>
        <w:t xml:space="preserve"> </w:t>
      </w:r>
      <w:r w:rsidRPr="0050234D">
        <w:rPr>
          <w:rFonts w:asciiTheme="majorBidi" w:hAnsiTheme="majorBidi" w:cstheme="majorBidi"/>
          <w:i/>
          <w:iCs/>
          <w:sz w:val="24"/>
          <w:szCs w:val="24"/>
        </w:rPr>
        <w:t xml:space="preserve">+ </w:t>
      </w:r>
      <w:r w:rsidRPr="0050234D">
        <w:rPr>
          <w:rFonts w:asciiTheme="majorBidi" w:hAnsiTheme="majorBidi" w:cstheme="majorBidi"/>
          <w:sz w:val="24"/>
          <w:szCs w:val="24"/>
        </w:rPr>
        <w:t xml:space="preserve">max (0, 0.03 · </w:t>
      </w:r>
      <w:r>
        <w:rPr>
          <w:rFonts w:asciiTheme="majorBidi" w:hAnsiTheme="majorBidi" w:cstheme="majorBidi"/>
          <w:i/>
          <w:iCs/>
          <w:sz w:val="24"/>
          <w:szCs w:val="24"/>
        </w:rPr>
        <w:t xml:space="preserve">primes acquises </w:t>
      </w:r>
      <w:r>
        <w:rPr>
          <w:rFonts w:asciiTheme="majorBidi" w:hAnsiTheme="majorBidi" w:cstheme="majorBidi"/>
          <w:i/>
          <w:iCs/>
          <w:sz w:val="24"/>
          <w:szCs w:val="24"/>
          <w:vertAlign w:val="subscript"/>
        </w:rPr>
        <w:t>non vie</w:t>
      </w:r>
      <w:r w:rsidRPr="0050234D">
        <w:rPr>
          <w:rFonts w:asciiTheme="majorBidi" w:hAnsiTheme="majorBidi" w:cstheme="majorBidi"/>
          <w:i/>
          <w:iCs/>
          <w:sz w:val="24"/>
          <w:szCs w:val="24"/>
        </w:rPr>
        <w:t xml:space="preserve"> </w:t>
      </w:r>
      <w:r w:rsidRPr="0050234D">
        <w:rPr>
          <w:rFonts w:asciiTheme="majorBidi" w:hAnsiTheme="majorBidi" w:cstheme="majorBidi"/>
          <w:sz w:val="24"/>
          <w:szCs w:val="24"/>
        </w:rPr>
        <w:t>– 1.1</w:t>
      </w:r>
      <w:r w:rsidR="009253FB">
        <w:rPr>
          <w:rFonts w:asciiTheme="majorBidi" w:hAnsiTheme="majorBidi" w:cstheme="majorBidi"/>
          <w:sz w:val="24"/>
          <w:szCs w:val="24"/>
        </w:rPr>
        <w:t>*</w:t>
      </w:r>
      <w:r w:rsidR="009253FB">
        <w:rPr>
          <w:rFonts w:asciiTheme="majorBidi" w:hAnsiTheme="majorBidi" w:cstheme="majorBidi"/>
          <w:i/>
          <w:iCs/>
          <w:sz w:val="24"/>
          <w:szCs w:val="24"/>
        </w:rPr>
        <w:t>primes acquises prévisionnelles</w:t>
      </w:r>
      <w:r w:rsidR="00DF7FFD">
        <w:rPr>
          <w:rFonts w:asciiTheme="majorBidi" w:hAnsiTheme="majorBidi" w:cstheme="majorBidi"/>
          <w:i/>
          <w:iCs/>
          <w:sz w:val="24"/>
          <w:szCs w:val="24"/>
        </w:rPr>
        <w:t xml:space="preserve"> </w:t>
      </w:r>
      <w:r w:rsidRPr="001B3CD0">
        <w:rPr>
          <w:rFonts w:asciiTheme="majorBidi" w:hAnsiTheme="majorBidi" w:cstheme="majorBidi"/>
          <w:i/>
          <w:iCs/>
          <w:sz w:val="24"/>
          <w:szCs w:val="24"/>
          <w:vertAlign w:val="subscript"/>
        </w:rPr>
        <w:t>non-</w:t>
      </w:r>
      <w:r w:rsidR="009253FB">
        <w:rPr>
          <w:rFonts w:asciiTheme="majorBidi" w:hAnsiTheme="majorBidi" w:cstheme="majorBidi"/>
          <w:i/>
          <w:iCs/>
          <w:sz w:val="24"/>
          <w:szCs w:val="24"/>
          <w:vertAlign w:val="subscript"/>
        </w:rPr>
        <w:t>vie</w:t>
      </w:r>
      <w:r w:rsidRPr="0050234D">
        <w:rPr>
          <w:rFonts w:asciiTheme="majorBidi" w:hAnsiTheme="majorBidi" w:cstheme="majorBidi"/>
          <w:sz w:val="24"/>
          <w:szCs w:val="24"/>
        </w:rPr>
        <w:t>)</w:t>
      </w:r>
    </w:p>
    <w:p w:rsidR="007A5D16" w:rsidRDefault="007A5D16" w:rsidP="0050234D">
      <w:pPr>
        <w:autoSpaceDE w:val="0"/>
        <w:autoSpaceDN w:val="0"/>
        <w:adjustRightInd w:val="0"/>
        <w:spacing w:after="0" w:line="240" w:lineRule="auto"/>
        <w:rPr>
          <w:rFonts w:asciiTheme="majorBidi" w:hAnsiTheme="majorBidi" w:cstheme="majorBidi"/>
          <w:sz w:val="24"/>
          <w:szCs w:val="24"/>
        </w:rPr>
      </w:pPr>
    </w:p>
    <w:p w:rsidR="009253FB" w:rsidRPr="007A5D16" w:rsidRDefault="007A5D16" w:rsidP="007A5D16">
      <w:pPr>
        <w:autoSpaceDE w:val="0"/>
        <w:autoSpaceDN w:val="0"/>
        <w:adjustRightInd w:val="0"/>
        <w:spacing w:after="0" w:line="240" w:lineRule="auto"/>
        <w:rPr>
          <w:rFonts w:asciiTheme="majorBidi" w:hAnsiTheme="majorBidi" w:cstheme="majorBidi"/>
          <w:sz w:val="24"/>
          <w:szCs w:val="24"/>
        </w:rPr>
      </w:pPr>
      <w:proofErr w:type="spellStart"/>
      <w:r w:rsidRPr="007A5D16">
        <w:rPr>
          <w:rFonts w:asciiTheme="majorBidi" w:hAnsiTheme="majorBidi" w:cstheme="majorBidi"/>
          <w:b/>
          <w:bCs/>
          <w:i/>
          <w:iCs/>
          <w:sz w:val="24"/>
          <w:szCs w:val="24"/>
        </w:rPr>
        <w:t>Opprovision</w:t>
      </w:r>
      <w:r w:rsidRPr="007A5D16">
        <w:rPr>
          <w:rFonts w:asciiTheme="majorBidi" w:hAnsiTheme="majorBidi" w:cstheme="majorBidi"/>
          <w:b/>
          <w:bCs/>
          <w:sz w:val="24"/>
          <w:szCs w:val="24"/>
        </w:rPr>
        <w:t>s</w:t>
      </w:r>
      <w:proofErr w:type="spellEnd"/>
      <w:r w:rsidRPr="007A5D16">
        <w:rPr>
          <w:rFonts w:asciiTheme="majorBidi" w:hAnsiTheme="majorBidi" w:cstheme="majorBidi"/>
          <w:sz w:val="24"/>
          <w:szCs w:val="24"/>
        </w:rPr>
        <w:t xml:space="preserve"> </w:t>
      </w:r>
      <w:r w:rsidRPr="007A5D16">
        <w:rPr>
          <w:rFonts w:asciiTheme="majorBidi" w:hAnsiTheme="majorBidi" w:cstheme="majorBidi"/>
          <w:b/>
          <w:bCs/>
          <w:sz w:val="24"/>
          <w:szCs w:val="24"/>
        </w:rPr>
        <w:t>=</w:t>
      </w:r>
      <w:r>
        <w:rPr>
          <w:rFonts w:asciiTheme="majorBidi" w:hAnsiTheme="majorBidi" w:cstheme="majorBidi"/>
          <w:sz w:val="24"/>
          <w:szCs w:val="24"/>
        </w:rPr>
        <w:t xml:space="preserve"> 3% *</w:t>
      </w:r>
      <w:r w:rsidRPr="007A5D16">
        <w:rPr>
          <w:rFonts w:asciiTheme="majorBidi" w:hAnsiTheme="majorBidi" w:cstheme="majorBidi"/>
          <w:sz w:val="24"/>
          <w:szCs w:val="24"/>
        </w:rPr>
        <w:t xml:space="preserve"> max (0, </w:t>
      </w:r>
      <w:r>
        <w:rPr>
          <w:rFonts w:asciiTheme="majorBidi" w:hAnsiTheme="majorBidi" w:cstheme="majorBidi"/>
          <w:i/>
          <w:iCs/>
          <w:sz w:val="24"/>
          <w:szCs w:val="24"/>
        </w:rPr>
        <w:t xml:space="preserve">provisions </w:t>
      </w:r>
      <w:proofErr w:type="spellStart"/>
      <w:r>
        <w:rPr>
          <w:rFonts w:asciiTheme="majorBidi" w:hAnsiTheme="majorBidi" w:cstheme="majorBidi"/>
          <w:i/>
          <w:iCs/>
          <w:sz w:val="24"/>
          <w:szCs w:val="24"/>
        </w:rPr>
        <w:t>techniques</w:t>
      </w:r>
      <w:r w:rsidRPr="007A5D16">
        <w:rPr>
          <w:rFonts w:asciiTheme="majorBidi" w:hAnsiTheme="majorBidi" w:cstheme="majorBidi"/>
          <w:i/>
          <w:iCs/>
          <w:sz w:val="24"/>
          <w:szCs w:val="24"/>
          <w:vertAlign w:val="subscript"/>
        </w:rPr>
        <w:t>non</w:t>
      </w:r>
      <w:proofErr w:type="spellEnd"/>
      <w:r w:rsidRPr="007A5D16">
        <w:rPr>
          <w:rFonts w:asciiTheme="majorBidi" w:hAnsiTheme="majorBidi" w:cstheme="majorBidi"/>
          <w:i/>
          <w:iCs/>
          <w:sz w:val="24"/>
          <w:szCs w:val="24"/>
          <w:vertAlign w:val="subscript"/>
        </w:rPr>
        <w:t>-</w:t>
      </w:r>
      <w:proofErr w:type="gramStart"/>
      <w:r w:rsidR="00DC745E">
        <w:rPr>
          <w:rFonts w:asciiTheme="majorBidi" w:hAnsiTheme="majorBidi" w:cstheme="majorBidi"/>
          <w:i/>
          <w:iCs/>
          <w:sz w:val="24"/>
          <w:szCs w:val="24"/>
          <w:vertAlign w:val="subscript"/>
        </w:rPr>
        <w:t>vie</w:t>
      </w:r>
      <w:r w:rsidRPr="007A5D16">
        <w:rPr>
          <w:rFonts w:asciiTheme="majorBidi" w:hAnsiTheme="majorBidi" w:cstheme="majorBidi"/>
          <w:i/>
          <w:iCs/>
          <w:sz w:val="24"/>
          <w:szCs w:val="24"/>
        </w:rPr>
        <w:t xml:space="preserve"> </w:t>
      </w:r>
      <w:r w:rsidRPr="007A5D16">
        <w:rPr>
          <w:rFonts w:asciiTheme="majorBidi" w:hAnsiTheme="majorBidi" w:cstheme="majorBidi"/>
          <w:sz w:val="24"/>
          <w:szCs w:val="24"/>
        </w:rPr>
        <w:t>)</w:t>
      </w:r>
      <w:proofErr w:type="gramEnd"/>
    </w:p>
    <w:p w:rsidR="0050234D" w:rsidRPr="0050234D" w:rsidRDefault="0050234D" w:rsidP="0050234D">
      <w:pPr>
        <w:autoSpaceDE w:val="0"/>
        <w:autoSpaceDN w:val="0"/>
        <w:adjustRightInd w:val="0"/>
        <w:spacing w:after="0" w:line="240" w:lineRule="auto"/>
        <w:rPr>
          <w:rFonts w:asciiTheme="majorBidi" w:hAnsiTheme="majorBidi" w:cstheme="majorBidi"/>
          <w:i/>
          <w:iCs/>
          <w:sz w:val="24"/>
          <w:szCs w:val="24"/>
        </w:rPr>
      </w:pPr>
    </w:p>
    <w:p w:rsidR="00CD5B8C" w:rsidRDefault="00E77504" w:rsidP="00CD5B8C">
      <w:pPr>
        <w:jc w:val="both"/>
        <w:rPr>
          <w:rFonts w:asciiTheme="majorBidi" w:hAnsiTheme="majorBidi" w:cstheme="majorBidi"/>
          <w:b/>
          <w:bCs/>
          <w:sz w:val="24"/>
          <w:szCs w:val="24"/>
        </w:rPr>
      </w:pPr>
      <w:r>
        <w:rPr>
          <w:rFonts w:asciiTheme="majorBidi" w:hAnsiTheme="majorBidi" w:cstheme="majorBidi"/>
          <w:sz w:val="24"/>
          <w:szCs w:val="24"/>
        </w:rPr>
        <w:t xml:space="preserve">En effet la charge de capital pour le risque opérationnel </w:t>
      </w:r>
      <w:r w:rsidR="00CD5B8C">
        <w:rPr>
          <w:rFonts w:asciiTheme="majorBidi" w:hAnsiTheme="majorBidi" w:cstheme="majorBidi"/>
          <w:sz w:val="24"/>
          <w:szCs w:val="24"/>
        </w:rPr>
        <w:t xml:space="preserve">est équivalente </w:t>
      </w:r>
      <w:proofErr w:type="gramStart"/>
      <w:r w:rsidR="00CD5B8C">
        <w:rPr>
          <w:rFonts w:asciiTheme="majorBidi" w:hAnsiTheme="majorBidi" w:cstheme="majorBidi"/>
          <w:sz w:val="24"/>
          <w:szCs w:val="24"/>
        </w:rPr>
        <w:t>à</w:t>
      </w:r>
      <w:r w:rsidR="00CD5B8C" w:rsidRPr="00CD5B8C">
        <w:rPr>
          <w:rFonts w:asciiTheme="majorBidi" w:hAnsiTheme="majorBidi" w:cstheme="majorBidi"/>
          <w:b/>
          <w:bCs/>
          <w:sz w:val="24"/>
          <w:szCs w:val="24"/>
        </w:rPr>
        <w:t>:</w:t>
      </w:r>
      <w:proofErr w:type="gramEnd"/>
    </w:p>
    <w:p w:rsidR="00E71322" w:rsidRPr="005B50B6" w:rsidRDefault="00CD5B8C" w:rsidP="005B50B6">
      <w:pPr>
        <w:jc w:val="center"/>
        <w:rPr>
          <w:rFonts w:ascii="Arial" w:eastAsia="Times New Roman" w:hAnsi="Arial" w:cs="Arial"/>
          <w:sz w:val="20"/>
          <w:szCs w:val="20"/>
        </w:rPr>
      </w:pPr>
      <w:r w:rsidRPr="00CD5B8C">
        <w:rPr>
          <w:rFonts w:asciiTheme="majorBidi" w:hAnsiTheme="majorBidi" w:cstheme="majorBidi"/>
          <w:b/>
          <w:bCs/>
          <w:i/>
          <w:iCs/>
          <w:sz w:val="24"/>
          <w:szCs w:val="24"/>
        </w:rPr>
        <w:t>SCR</w:t>
      </w:r>
      <w:r w:rsidRPr="00CD5B8C">
        <w:rPr>
          <w:rFonts w:asciiTheme="majorBidi" w:hAnsiTheme="majorBidi" w:cstheme="majorBidi"/>
          <w:b/>
          <w:bCs/>
          <w:i/>
          <w:iCs/>
          <w:sz w:val="24"/>
          <w:szCs w:val="24"/>
          <w:vertAlign w:val="subscript"/>
        </w:rPr>
        <w:t>OP</w:t>
      </w:r>
      <w:r w:rsidRPr="00CD5B8C">
        <w:rPr>
          <w:rFonts w:asciiTheme="majorBidi" w:hAnsiTheme="majorBidi" w:cstheme="majorBidi"/>
          <w:i/>
          <w:iCs/>
          <w:sz w:val="24"/>
          <w:szCs w:val="24"/>
        </w:rPr>
        <w:t>=</w:t>
      </w:r>
      <w:r w:rsidR="005B50B6" w:rsidRPr="005B50B6">
        <w:rPr>
          <w:rFonts w:asciiTheme="majorBidi" w:eastAsia="Times New Roman" w:hAnsiTheme="majorBidi" w:cstheme="majorBidi"/>
          <w:b/>
          <w:bCs/>
          <w:sz w:val="28"/>
          <w:szCs w:val="28"/>
        </w:rPr>
        <w:t>415</w:t>
      </w:r>
      <w:r w:rsidR="005B50B6">
        <w:rPr>
          <w:rFonts w:asciiTheme="majorBidi" w:eastAsia="Times New Roman" w:hAnsiTheme="majorBidi" w:cstheme="majorBidi"/>
          <w:b/>
          <w:bCs/>
          <w:sz w:val="28"/>
          <w:szCs w:val="28"/>
        </w:rPr>
        <w:t xml:space="preserve"> </w:t>
      </w:r>
      <w:r w:rsidR="005B50B6" w:rsidRPr="005B50B6">
        <w:rPr>
          <w:rFonts w:asciiTheme="majorBidi" w:eastAsia="Times New Roman" w:hAnsiTheme="majorBidi" w:cstheme="majorBidi"/>
          <w:b/>
          <w:bCs/>
          <w:sz w:val="28"/>
          <w:szCs w:val="28"/>
        </w:rPr>
        <w:t>198</w:t>
      </w:r>
      <w:r w:rsidR="005B50B6">
        <w:rPr>
          <w:rFonts w:asciiTheme="majorBidi" w:eastAsia="Times New Roman" w:hAnsiTheme="majorBidi" w:cstheme="majorBidi"/>
          <w:b/>
          <w:bCs/>
          <w:sz w:val="28"/>
          <w:szCs w:val="28"/>
        </w:rPr>
        <w:t xml:space="preserve"> </w:t>
      </w:r>
      <w:r w:rsidR="005B50B6" w:rsidRPr="005B50B6">
        <w:rPr>
          <w:rFonts w:asciiTheme="majorBidi" w:eastAsia="Times New Roman" w:hAnsiTheme="majorBidi" w:cstheme="majorBidi"/>
          <w:b/>
          <w:bCs/>
          <w:sz w:val="28"/>
          <w:szCs w:val="28"/>
        </w:rPr>
        <w:t>176</w:t>
      </w:r>
      <w:r>
        <w:rPr>
          <w:rFonts w:asciiTheme="majorBidi" w:eastAsia="Times New Roman" w:hAnsiTheme="majorBidi" w:cstheme="majorBidi"/>
          <w:b/>
          <w:bCs/>
          <w:i/>
          <w:iCs/>
          <w:sz w:val="24"/>
          <w:szCs w:val="24"/>
        </w:rPr>
        <w:t xml:space="preserve"> DA</w:t>
      </w:r>
    </w:p>
    <w:p w:rsidR="00942F8C" w:rsidRPr="00C07882" w:rsidRDefault="00834876" w:rsidP="00C07882">
      <w:pPr>
        <w:pStyle w:val="Paragraphedeliste"/>
        <w:numPr>
          <w:ilvl w:val="2"/>
          <w:numId w:val="13"/>
        </w:numPr>
        <w:rPr>
          <w:rFonts w:asciiTheme="majorBidi" w:eastAsia="Times New Roman" w:hAnsiTheme="majorBidi" w:cstheme="majorBidi"/>
          <w:b/>
          <w:bCs/>
          <w:color w:val="000000"/>
          <w:sz w:val="24"/>
          <w:szCs w:val="24"/>
        </w:rPr>
      </w:pPr>
      <w:r w:rsidRPr="00C07882">
        <w:rPr>
          <w:rFonts w:asciiTheme="majorBidi" w:eastAsia="Times New Roman" w:hAnsiTheme="majorBidi" w:cstheme="majorBidi"/>
          <w:b/>
          <w:bCs/>
          <w:color w:val="000000"/>
          <w:sz w:val="24"/>
          <w:szCs w:val="24"/>
        </w:rPr>
        <w:t>Le</w:t>
      </w:r>
      <w:r w:rsidR="00C07882">
        <w:rPr>
          <w:rFonts w:asciiTheme="majorBidi" w:eastAsia="Times New Roman" w:hAnsiTheme="majorBidi" w:cstheme="majorBidi"/>
          <w:b/>
          <w:bCs/>
          <w:color w:val="000000"/>
          <w:sz w:val="24"/>
          <w:szCs w:val="24"/>
        </w:rPr>
        <w:t xml:space="preserve"> calcul du</w:t>
      </w:r>
      <w:r w:rsidRPr="00C07882">
        <w:rPr>
          <w:rFonts w:asciiTheme="majorBidi" w:eastAsia="Times New Roman" w:hAnsiTheme="majorBidi" w:cstheme="majorBidi"/>
          <w:b/>
          <w:bCs/>
          <w:color w:val="000000"/>
          <w:sz w:val="24"/>
          <w:szCs w:val="24"/>
        </w:rPr>
        <w:t xml:space="preserve"> SCR global </w:t>
      </w:r>
    </w:p>
    <w:p w:rsidR="00415939" w:rsidRDefault="00A661F2" w:rsidP="000E5B93">
      <w:pPr>
        <w:rPr>
          <w:rFonts w:asciiTheme="majorBidi" w:eastAsia="Times New Roman" w:hAnsiTheme="majorBidi" w:cstheme="majorBidi"/>
          <w:color w:val="000000"/>
          <w:sz w:val="24"/>
          <w:szCs w:val="24"/>
        </w:rPr>
      </w:pPr>
      <w:r w:rsidRPr="00A661F2">
        <w:rPr>
          <w:rFonts w:asciiTheme="majorBidi" w:eastAsia="Times New Roman" w:hAnsiTheme="majorBidi" w:cstheme="majorBidi"/>
          <w:color w:val="000000"/>
          <w:sz w:val="24"/>
          <w:szCs w:val="24"/>
        </w:rPr>
        <w:t xml:space="preserve"> L</w:t>
      </w:r>
      <w:r w:rsidR="00C46E7C" w:rsidRPr="00A661F2">
        <w:rPr>
          <w:rFonts w:asciiTheme="majorBidi" w:eastAsia="Times New Roman" w:hAnsiTheme="majorBidi" w:cstheme="majorBidi"/>
          <w:color w:val="000000"/>
          <w:sz w:val="24"/>
          <w:szCs w:val="24"/>
        </w:rPr>
        <w:t>es calculs présenté</w:t>
      </w:r>
      <w:r w:rsidRPr="00A661F2">
        <w:rPr>
          <w:rFonts w:asciiTheme="majorBidi" w:eastAsia="Times New Roman" w:hAnsiTheme="majorBidi" w:cstheme="majorBidi"/>
          <w:color w:val="000000"/>
          <w:sz w:val="24"/>
          <w:szCs w:val="24"/>
        </w:rPr>
        <w:t>s</w:t>
      </w:r>
      <w:r w:rsidR="00C46E7C" w:rsidRPr="00A661F2">
        <w:rPr>
          <w:rFonts w:asciiTheme="majorBidi" w:eastAsia="Times New Roman" w:hAnsiTheme="majorBidi" w:cstheme="majorBidi"/>
          <w:color w:val="000000"/>
          <w:sz w:val="24"/>
          <w:szCs w:val="24"/>
        </w:rPr>
        <w:t xml:space="preserve"> précédemment</w:t>
      </w:r>
      <w:r w:rsidRPr="00A661F2">
        <w:rPr>
          <w:rFonts w:asciiTheme="majorBidi" w:eastAsia="Times New Roman" w:hAnsiTheme="majorBidi" w:cstheme="majorBidi"/>
          <w:color w:val="000000"/>
          <w:sz w:val="24"/>
          <w:szCs w:val="24"/>
        </w:rPr>
        <w:t xml:space="preserve"> se récapitulent au tableau </w:t>
      </w:r>
      <w:proofErr w:type="gramStart"/>
      <w:r w:rsidRPr="00A661F2">
        <w:rPr>
          <w:rFonts w:asciiTheme="majorBidi" w:eastAsia="Times New Roman" w:hAnsiTheme="majorBidi" w:cstheme="majorBidi"/>
          <w:color w:val="000000"/>
          <w:sz w:val="24"/>
          <w:szCs w:val="24"/>
        </w:rPr>
        <w:t>suivant</w:t>
      </w:r>
      <w:r>
        <w:rPr>
          <w:rFonts w:asciiTheme="majorBidi" w:eastAsia="Times New Roman" w:hAnsiTheme="majorBidi" w:cstheme="majorBidi"/>
          <w:color w:val="000000"/>
          <w:sz w:val="24"/>
          <w:szCs w:val="24"/>
        </w:rPr>
        <w:t>:</w:t>
      </w:r>
      <w:proofErr w:type="gramEnd"/>
      <w:r w:rsidR="00452CEB">
        <w:rPr>
          <w:rFonts w:asciiTheme="majorBidi" w:eastAsia="Times New Roman" w:hAnsiTheme="majorBidi" w:cstheme="majorBidi"/>
          <w:color w:val="000000"/>
          <w:sz w:val="24"/>
          <w:szCs w:val="24"/>
        </w:rPr>
        <w:t xml:space="preserve"> </w:t>
      </w:r>
    </w:p>
    <w:p w:rsidR="000E5B93" w:rsidRDefault="000E5B93" w:rsidP="000E5B93">
      <w:pPr>
        <w:rPr>
          <w:rFonts w:asciiTheme="majorBidi" w:eastAsia="Times New Roman" w:hAnsiTheme="majorBidi" w:cstheme="majorBidi"/>
          <w:color w:val="000000"/>
          <w:sz w:val="24"/>
          <w:szCs w:val="24"/>
        </w:rPr>
      </w:pPr>
    </w:p>
    <w:p w:rsidR="000E5B93" w:rsidRDefault="000E5B93" w:rsidP="000E5B93">
      <w:pPr>
        <w:rPr>
          <w:rFonts w:asciiTheme="majorBidi" w:eastAsia="Times New Roman" w:hAnsiTheme="majorBidi" w:cstheme="majorBidi"/>
          <w:color w:val="000000"/>
          <w:sz w:val="24"/>
          <w:szCs w:val="24"/>
        </w:rPr>
      </w:pPr>
    </w:p>
    <w:p w:rsidR="000E5B93" w:rsidRDefault="000E5B93" w:rsidP="000E5B93">
      <w:pPr>
        <w:rPr>
          <w:rFonts w:asciiTheme="majorBidi" w:eastAsia="Times New Roman" w:hAnsiTheme="majorBidi" w:cstheme="majorBidi"/>
          <w:color w:val="000000"/>
          <w:sz w:val="24"/>
          <w:szCs w:val="24"/>
        </w:rPr>
      </w:pPr>
    </w:p>
    <w:tbl>
      <w:tblPr>
        <w:tblStyle w:val="Grillemoyenne1-Accent4"/>
        <w:tblW w:w="0" w:type="auto"/>
        <w:jc w:val="center"/>
        <w:tblLook w:val="04A0"/>
      </w:tblPr>
      <w:tblGrid>
        <w:gridCol w:w="1160"/>
        <w:gridCol w:w="2159"/>
      </w:tblGrid>
      <w:tr w:rsidR="00452CEB" w:rsidTr="00DC745E">
        <w:trPr>
          <w:cnfStyle w:val="100000000000"/>
          <w:trHeight w:val="281"/>
          <w:jc w:val="center"/>
        </w:trPr>
        <w:tc>
          <w:tcPr>
            <w:cnfStyle w:val="001000000000"/>
            <w:tcW w:w="1160" w:type="dxa"/>
          </w:tcPr>
          <w:p w:rsidR="00452CEB" w:rsidRPr="00DC745E" w:rsidRDefault="001A3E4E" w:rsidP="00242790">
            <w:pPr>
              <w:jc w:val="center"/>
              <w:rPr>
                <w:rFonts w:asciiTheme="majorBidi" w:eastAsia="Times New Roman" w:hAnsiTheme="majorBidi" w:cstheme="majorBidi"/>
                <w:b w:val="0"/>
                <w:bCs w:val="0"/>
                <w:color w:val="000000"/>
                <w:sz w:val="24"/>
                <w:szCs w:val="24"/>
              </w:rPr>
            </w:pPr>
            <w:r w:rsidRPr="00DC745E">
              <w:rPr>
                <w:rFonts w:asciiTheme="majorBidi" w:hAnsiTheme="majorBidi" w:cstheme="majorBidi"/>
                <w:b w:val="0"/>
                <w:bCs w:val="0"/>
                <w:sz w:val="24"/>
                <w:szCs w:val="24"/>
              </w:rPr>
              <w:lastRenderedPageBreak/>
              <w:t xml:space="preserve">SCR </w:t>
            </w:r>
            <w:proofErr w:type="spellStart"/>
            <w:r w:rsidRPr="00DC745E">
              <w:rPr>
                <w:rFonts w:asciiTheme="majorBidi" w:hAnsiTheme="majorBidi" w:cstheme="majorBidi"/>
                <w:b w:val="0"/>
                <w:bCs w:val="0"/>
                <w:sz w:val="24"/>
                <w:szCs w:val="24"/>
                <w:vertAlign w:val="subscript"/>
              </w:rPr>
              <w:t>mkt</w:t>
            </w:r>
            <w:proofErr w:type="spellEnd"/>
          </w:p>
        </w:tc>
        <w:tc>
          <w:tcPr>
            <w:tcW w:w="2159" w:type="dxa"/>
          </w:tcPr>
          <w:p w:rsidR="00452CEB" w:rsidRPr="009D6F6B" w:rsidRDefault="00395A73" w:rsidP="00242790">
            <w:pPr>
              <w:jc w:val="center"/>
              <w:cnfStyle w:val="100000000000"/>
              <w:rPr>
                <w:rFonts w:asciiTheme="majorBidi" w:eastAsia="Times New Roman" w:hAnsiTheme="majorBidi" w:cstheme="majorBidi"/>
                <w:color w:val="000000"/>
                <w:sz w:val="24"/>
                <w:szCs w:val="24"/>
              </w:rPr>
            </w:pPr>
            <w:r w:rsidRPr="00AE2DD7">
              <w:rPr>
                <w:rFonts w:asciiTheme="majorBidi" w:hAnsiTheme="majorBidi" w:cstheme="majorBidi"/>
                <w:b w:val="0"/>
                <w:bCs w:val="0"/>
                <w:i/>
                <w:iCs/>
                <w:sz w:val="24"/>
                <w:szCs w:val="24"/>
              </w:rPr>
              <w:t>615 060 650</w:t>
            </w:r>
          </w:p>
        </w:tc>
      </w:tr>
      <w:tr w:rsidR="00452CEB" w:rsidTr="00DC745E">
        <w:trPr>
          <w:cnfStyle w:val="000000100000"/>
          <w:trHeight w:val="281"/>
          <w:jc w:val="center"/>
        </w:trPr>
        <w:tc>
          <w:tcPr>
            <w:cnfStyle w:val="001000000000"/>
            <w:tcW w:w="1160" w:type="dxa"/>
          </w:tcPr>
          <w:p w:rsidR="00452CEB" w:rsidRPr="00DC745E" w:rsidRDefault="001A3E4E" w:rsidP="00242790">
            <w:pPr>
              <w:jc w:val="center"/>
              <w:rPr>
                <w:rFonts w:asciiTheme="majorBidi" w:eastAsia="Times New Roman" w:hAnsiTheme="majorBidi" w:cstheme="majorBidi"/>
                <w:b w:val="0"/>
                <w:bCs w:val="0"/>
                <w:color w:val="000000"/>
                <w:sz w:val="24"/>
                <w:szCs w:val="24"/>
              </w:rPr>
            </w:pPr>
            <w:r w:rsidRPr="00DC745E">
              <w:rPr>
                <w:rFonts w:asciiTheme="majorBidi" w:eastAsia="Times New Roman" w:hAnsiTheme="majorBidi" w:cstheme="majorBidi"/>
                <w:b w:val="0"/>
                <w:bCs w:val="0"/>
                <w:sz w:val="24"/>
                <w:szCs w:val="24"/>
              </w:rPr>
              <w:t>SCR</w:t>
            </w:r>
            <w:r w:rsidRPr="00DC745E">
              <w:rPr>
                <w:rFonts w:asciiTheme="majorBidi" w:eastAsia="Times New Roman" w:hAnsiTheme="majorBidi" w:cstheme="majorBidi"/>
                <w:b w:val="0"/>
                <w:bCs w:val="0"/>
                <w:sz w:val="24"/>
                <w:szCs w:val="24"/>
                <w:vertAlign w:val="subscript"/>
              </w:rPr>
              <w:t>NV</w:t>
            </w:r>
          </w:p>
        </w:tc>
        <w:tc>
          <w:tcPr>
            <w:tcW w:w="2159" w:type="dxa"/>
          </w:tcPr>
          <w:p w:rsidR="00452CEB" w:rsidRPr="009D6F6B" w:rsidRDefault="00395A73" w:rsidP="00242790">
            <w:pPr>
              <w:jc w:val="center"/>
              <w:cnfStyle w:val="000000100000"/>
              <w:rPr>
                <w:rFonts w:asciiTheme="majorBidi" w:hAnsiTheme="majorBidi" w:cstheme="majorBidi"/>
                <w:sz w:val="24"/>
                <w:szCs w:val="24"/>
              </w:rPr>
            </w:pPr>
            <w:r>
              <w:rPr>
                <w:rFonts w:asciiTheme="majorBidi" w:eastAsia="Times New Roman" w:hAnsiTheme="majorBidi" w:cstheme="majorBidi"/>
                <w:sz w:val="24"/>
                <w:szCs w:val="24"/>
              </w:rPr>
              <w:t>4 018 729 687</w:t>
            </w:r>
          </w:p>
        </w:tc>
      </w:tr>
      <w:tr w:rsidR="00452CEB" w:rsidTr="00DC745E">
        <w:trPr>
          <w:trHeight w:val="281"/>
          <w:jc w:val="center"/>
        </w:trPr>
        <w:tc>
          <w:tcPr>
            <w:cnfStyle w:val="001000000000"/>
            <w:tcW w:w="1160" w:type="dxa"/>
          </w:tcPr>
          <w:p w:rsidR="00452CEB" w:rsidRPr="00DC745E" w:rsidRDefault="001743AB" w:rsidP="00242790">
            <w:pPr>
              <w:jc w:val="center"/>
              <w:rPr>
                <w:rFonts w:asciiTheme="majorBidi" w:eastAsia="Times New Roman" w:hAnsiTheme="majorBidi" w:cstheme="majorBidi"/>
                <w:b w:val="0"/>
                <w:bCs w:val="0"/>
                <w:color w:val="000000"/>
                <w:sz w:val="24"/>
                <w:szCs w:val="24"/>
                <w:vertAlign w:val="subscript"/>
              </w:rPr>
            </w:pPr>
            <w:r w:rsidRPr="00DC745E">
              <w:rPr>
                <w:rFonts w:asciiTheme="majorBidi" w:eastAsia="Times New Roman" w:hAnsiTheme="majorBidi" w:cstheme="majorBidi"/>
                <w:b w:val="0"/>
                <w:bCs w:val="0"/>
                <w:color w:val="000000"/>
                <w:sz w:val="24"/>
                <w:szCs w:val="24"/>
              </w:rPr>
              <w:t>SCR</w:t>
            </w:r>
            <w:r w:rsidRPr="00DC745E">
              <w:rPr>
                <w:rFonts w:asciiTheme="majorBidi" w:eastAsia="Times New Roman" w:hAnsiTheme="majorBidi" w:cstheme="majorBidi"/>
                <w:b w:val="0"/>
                <w:bCs w:val="0"/>
                <w:color w:val="000000"/>
                <w:sz w:val="24"/>
                <w:szCs w:val="24"/>
                <w:vertAlign w:val="subscript"/>
              </w:rPr>
              <w:t>AI</w:t>
            </w:r>
          </w:p>
        </w:tc>
        <w:tc>
          <w:tcPr>
            <w:tcW w:w="2159" w:type="dxa"/>
          </w:tcPr>
          <w:p w:rsidR="00452CEB" w:rsidRPr="009D6F6B" w:rsidRDefault="00B34A60" w:rsidP="00242790">
            <w:pPr>
              <w:jc w:val="center"/>
              <w:cnfStyle w:val="000000000000"/>
              <w:rPr>
                <w:rFonts w:asciiTheme="majorBidi" w:eastAsia="Times New Roman" w:hAnsiTheme="majorBidi" w:cstheme="majorBidi"/>
                <w:color w:val="000000"/>
                <w:sz w:val="24"/>
                <w:szCs w:val="24"/>
              </w:rPr>
            </w:pPr>
            <w:r w:rsidRPr="009D6F6B">
              <w:rPr>
                <w:rFonts w:asciiTheme="majorBidi" w:hAnsiTheme="majorBidi" w:cstheme="majorBidi"/>
                <w:i/>
                <w:iCs/>
                <w:sz w:val="24"/>
                <w:szCs w:val="24"/>
              </w:rPr>
              <w:t>17 653 210</w:t>
            </w:r>
          </w:p>
        </w:tc>
      </w:tr>
      <w:tr w:rsidR="009D6F6B" w:rsidTr="00DC745E">
        <w:trPr>
          <w:cnfStyle w:val="000000100000"/>
          <w:trHeight w:val="281"/>
          <w:jc w:val="center"/>
        </w:trPr>
        <w:tc>
          <w:tcPr>
            <w:cnfStyle w:val="001000000000"/>
            <w:tcW w:w="1160" w:type="dxa"/>
          </w:tcPr>
          <w:p w:rsidR="009D6F6B" w:rsidRPr="00DC745E" w:rsidRDefault="009D6F6B" w:rsidP="00242790">
            <w:pPr>
              <w:jc w:val="center"/>
              <w:rPr>
                <w:rFonts w:asciiTheme="majorBidi" w:eastAsia="Times New Roman" w:hAnsiTheme="majorBidi" w:cstheme="majorBidi"/>
                <w:i/>
                <w:iCs/>
                <w:color w:val="000000"/>
                <w:sz w:val="28"/>
                <w:szCs w:val="28"/>
              </w:rPr>
            </w:pPr>
            <w:r w:rsidRPr="00DC745E">
              <w:rPr>
                <w:rFonts w:asciiTheme="majorBidi" w:eastAsia="Times New Roman" w:hAnsiTheme="majorBidi" w:cstheme="majorBidi"/>
                <w:i/>
                <w:iCs/>
                <w:color w:val="000000"/>
                <w:sz w:val="28"/>
                <w:szCs w:val="28"/>
              </w:rPr>
              <w:t>BSCR</w:t>
            </w:r>
          </w:p>
        </w:tc>
        <w:tc>
          <w:tcPr>
            <w:tcW w:w="2159" w:type="dxa"/>
          </w:tcPr>
          <w:p w:rsidR="009D6F6B" w:rsidRPr="009D6F6B" w:rsidRDefault="00395A73" w:rsidP="00242790">
            <w:pPr>
              <w:jc w:val="center"/>
              <w:cnfStyle w:val="000000100000"/>
              <w:rPr>
                <w:rFonts w:asciiTheme="majorBidi" w:hAnsiTheme="majorBidi" w:cstheme="majorBidi"/>
                <w:b/>
                <w:bCs/>
                <w:i/>
                <w:iCs/>
                <w:sz w:val="28"/>
                <w:szCs w:val="28"/>
              </w:rPr>
            </w:pPr>
            <w:r w:rsidRPr="00395A73">
              <w:rPr>
                <w:rFonts w:asciiTheme="majorBidi" w:hAnsiTheme="majorBidi" w:cstheme="majorBidi"/>
                <w:b/>
                <w:bCs/>
                <w:i/>
                <w:iCs/>
                <w:sz w:val="24"/>
                <w:szCs w:val="24"/>
              </w:rPr>
              <w:t>4 232 433 055</w:t>
            </w:r>
          </w:p>
        </w:tc>
      </w:tr>
      <w:tr w:rsidR="00452CEB" w:rsidTr="00DC745E">
        <w:trPr>
          <w:trHeight w:val="296"/>
          <w:jc w:val="center"/>
        </w:trPr>
        <w:tc>
          <w:tcPr>
            <w:cnfStyle w:val="001000000000"/>
            <w:tcW w:w="1160" w:type="dxa"/>
          </w:tcPr>
          <w:p w:rsidR="00452CEB" w:rsidRPr="00DC745E" w:rsidRDefault="008849C7" w:rsidP="00242790">
            <w:pPr>
              <w:jc w:val="center"/>
              <w:rPr>
                <w:rFonts w:asciiTheme="majorBidi" w:eastAsia="Times New Roman" w:hAnsiTheme="majorBidi" w:cstheme="majorBidi"/>
                <w:b w:val="0"/>
                <w:bCs w:val="0"/>
                <w:color w:val="000000"/>
                <w:sz w:val="24"/>
                <w:szCs w:val="24"/>
                <w:vertAlign w:val="subscript"/>
              </w:rPr>
            </w:pPr>
            <w:r w:rsidRPr="00DC745E">
              <w:rPr>
                <w:rFonts w:asciiTheme="majorBidi" w:eastAsia="Times New Roman" w:hAnsiTheme="majorBidi" w:cstheme="majorBidi"/>
                <w:b w:val="0"/>
                <w:bCs w:val="0"/>
                <w:color w:val="000000"/>
                <w:sz w:val="24"/>
                <w:szCs w:val="24"/>
              </w:rPr>
              <w:t xml:space="preserve">SCR </w:t>
            </w:r>
            <w:r w:rsidRPr="00DC745E">
              <w:rPr>
                <w:rFonts w:asciiTheme="majorBidi" w:eastAsia="Times New Roman" w:hAnsiTheme="majorBidi" w:cstheme="majorBidi"/>
                <w:b w:val="0"/>
                <w:bCs w:val="0"/>
                <w:color w:val="000000"/>
                <w:sz w:val="24"/>
                <w:szCs w:val="24"/>
                <w:vertAlign w:val="subscript"/>
              </w:rPr>
              <w:t>op</w:t>
            </w:r>
          </w:p>
        </w:tc>
        <w:tc>
          <w:tcPr>
            <w:tcW w:w="2159" w:type="dxa"/>
          </w:tcPr>
          <w:p w:rsidR="00452CEB" w:rsidRPr="009D6F6B" w:rsidRDefault="005B50B6" w:rsidP="00242790">
            <w:pPr>
              <w:jc w:val="center"/>
              <w:cnfStyle w:val="00000000000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415</w:t>
            </w:r>
            <w:r w:rsidR="009D6F6B" w:rsidRPr="009D6F6B">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19</w:t>
            </w:r>
            <w:r w:rsidR="009D6F6B" w:rsidRPr="009D6F6B">
              <w:rPr>
                <w:rFonts w:asciiTheme="majorBidi" w:eastAsia="Times New Roman" w:hAnsiTheme="majorBidi" w:cstheme="majorBidi"/>
                <w:color w:val="000000"/>
                <w:sz w:val="24"/>
                <w:szCs w:val="24"/>
              </w:rPr>
              <w:t>8 1</w:t>
            </w:r>
            <w:r>
              <w:rPr>
                <w:rFonts w:asciiTheme="majorBidi" w:eastAsia="Times New Roman" w:hAnsiTheme="majorBidi" w:cstheme="majorBidi"/>
                <w:color w:val="000000"/>
                <w:sz w:val="24"/>
                <w:szCs w:val="24"/>
              </w:rPr>
              <w:t>76</w:t>
            </w:r>
          </w:p>
        </w:tc>
      </w:tr>
      <w:tr w:rsidR="009D6F6B" w:rsidTr="00DC745E">
        <w:trPr>
          <w:cnfStyle w:val="000000100000"/>
          <w:trHeight w:val="296"/>
          <w:jc w:val="center"/>
        </w:trPr>
        <w:tc>
          <w:tcPr>
            <w:cnfStyle w:val="001000000000"/>
            <w:tcW w:w="1160" w:type="dxa"/>
          </w:tcPr>
          <w:p w:rsidR="009D6F6B" w:rsidRPr="00DC745E" w:rsidRDefault="009D6F6B" w:rsidP="00242790">
            <w:pPr>
              <w:jc w:val="center"/>
              <w:rPr>
                <w:rFonts w:asciiTheme="majorBidi" w:eastAsia="Times New Roman" w:hAnsiTheme="majorBidi" w:cstheme="majorBidi"/>
                <w:color w:val="000000"/>
                <w:sz w:val="28"/>
                <w:szCs w:val="28"/>
              </w:rPr>
            </w:pPr>
            <w:r w:rsidRPr="00DC745E">
              <w:rPr>
                <w:rFonts w:asciiTheme="majorBidi" w:eastAsia="Times New Roman" w:hAnsiTheme="majorBidi" w:cstheme="majorBidi"/>
                <w:color w:val="000000"/>
                <w:sz w:val="28"/>
                <w:szCs w:val="28"/>
              </w:rPr>
              <w:t>SCR</w:t>
            </w:r>
          </w:p>
        </w:tc>
        <w:tc>
          <w:tcPr>
            <w:tcW w:w="2159" w:type="dxa"/>
          </w:tcPr>
          <w:p w:rsidR="009D6F6B" w:rsidRPr="00242790" w:rsidRDefault="00242790" w:rsidP="00242790">
            <w:pPr>
              <w:jc w:val="center"/>
              <w:cnfStyle w:val="000000100000"/>
              <w:rPr>
                <w:rFonts w:ascii="Arial" w:hAnsi="Arial" w:cs="Arial"/>
                <w:b/>
                <w:bCs/>
                <w:sz w:val="20"/>
                <w:szCs w:val="20"/>
              </w:rPr>
            </w:pPr>
            <w:r w:rsidRPr="00242790">
              <w:rPr>
                <w:rFonts w:asciiTheme="majorBidi" w:hAnsiTheme="majorBidi" w:cstheme="majorBidi"/>
                <w:b/>
                <w:bCs/>
                <w:i/>
                <w:iCs/>
                <w:sz w:val="24"/>
                <w:szCs w:val="24"/>
              </w:rPr>
              <w:t>4 647 631 232</w:t>
            </w:r>
          </w:p>
        </w:tc>
      </w:tr>
    </w:tbl>
    <w:p w:rsidR="00A835C3" w:rsidRDefault="00DC745E" w:rsidP="00ED1CB0">
      <w:pPr>
        <w:rPr>
          <w:rFonts w:asciiTheme="majorBidi" w:hAnsiTheme="majorBidi" w:cstheme="majorBidi"/>
          <w:b/>
          <w:bCs/>
          <w:sz w:val="24"/>
          <w:szCs w:val="24"/>
        </w:rPr>
      </w:pPr>
      <w:r w:rsidRPr="00DC745E">
        <w:rPr>
          <w:rFonts w:asciiTheme="majorBidi" w:eastAsia="Times New Roman" w:hAnsiTheme="majorBidi" w:cstheme="majorBidi"/>
          <w:b/>
          <w:bCs/>
          <w:color w:val="000000"/>
          <w:sz w:val="24"/>
          <w:szCs w:val="24"/>
        </w:rPr>
        <w:t>Tableau N°</w:t>
      </w:r>
      <w:proofErr w:type="gramStart"/>
      <w:r w:rsidR="00B73BA9">
        <w:rPr>
          <w:rFonts w:asciiTheme="majorBidi" w:eastAsia="Times New Roman" w:hAnsiTheme="majorBidi" w:cstheme="majorBidi"/>
          <w:b/>
          <w:bCs/>
          <w:color w:val="000000"/>
          <w:sz w:val="24"/>
          <w:szCs w:val="24"/>
        </w:rPr>
        <w:t>18</w:t>
      </w:r>
      <w:r w:rsidR="00ED1CB0" w:rsidRPr="00DC745E">
        <w:rPr>
          <w:rFonts w:asciiTheme="majorBidi" w:eastAsia="Times New Roman" w:hAnsiTheme="majorBidi" w:cstheme="majorBidi"/>
          <w:b/>
          <w:bCs/>
          <w:color w:val="000000"/>
          <w:sz w:val="24"/>
          <w:szCs w:val="24"/>
        </w:rPr>
        <w:t>:</w:t>
      </w:r>
      <w:proofErr w:type="gramEnd"/>
      <w:r w:rsidR="00ED1CB0" w:rsidRPr="00ED1CB0">
        <w:rPr>
          <w:rFonts w:asciiTheme="majorBidi" w:hAnsiTheme="majorBidi" w:cstheme="majorBidi"/>
          <w:b/>
          <w:bCs/>
          <w:sz w:val="24"/>
          <w:szCs w:val="24"/>
        </w:rPr>
        <w:t xml:space="preserve"> Récapitulatif</w:t>
      </w:r>
      <w:r w:rsidR="004552C3">
        <w:rPr>
          <w:rFonts w:asciiTheme="majorBidi" w:hAnsiTheme="majorBidi" w:cstheme="majorBidi"/>
          <w:b/>
          <w:bCs/>
          <w:sz w:val="24"/>
          <w:szCs w:val="24"/>
        </w:rPr>
        <w:t xml:space="preserve"> de</w:t>
      </w:r>
      <w:r w:rsidR="00ED1CB0">
        <w:rPr>
          <w:rFonts w:asciiTheme="majorBidi" w:hAnsiTheme="majorBidi" w:cstheme="majorBidi"/>
          <w:b/>
          <w:bCs/>
          <w:sz w:val="24"/>
          <w:szCs w:val="24"/>
        </w:rPr>
        <w:t xml:space="preserve"> calcul du SCR</w:t>
      </w:r>
    </w:p>
    <w:p w:rsidR="000C06AF" w:rsidRDefault="00F3421B" w:rsidP="00535007">
      <w:pPr>
        <w:spacing w:line="360" w:lineRule="auto"/>
        <w:jc w:val="both"/>
        <w:rPr>
          <w:rFonts w:asciiTheme="majorBidi" w:hAnsiTheme="majorBidi" w:cstheme="majorBidi"/>
          <w:b/>
          <w:bCs/>
          <w:sz w:val="28"/>
          <w:szCs w:val="28"/>
        </w:rPr>
      </w:pPr>
      <w:r>
        <w:rPr>
          <w:rFonts w:ascii="Times New Roman" w:hAnsi="Times New Roman" w:cs="Times New Roman"/>
          <w:sz w:val="24"/>
        </w:rPr>
        <w:tab/>
      </w:r>
      <w:r w:rsidR="00B5587B" w:rsidRPr="00B5587B">
        <w:rPr>
          <w:rFonts w:ascii="Times New Roman" w:hAnsi="Times New Roman" w:cs="Times New Roman"/>
          <w:sz w:val="24"/>
        </w:rPr>
        <w:t>Le capital de solvabilité requis à détenir est de</w:t>
      </w:r>
      <w:r w:rsidR="00535007">
        <w:rPr>
          <w:rFonts w:ascii="Times New Roman" w:hAnsi="Times New Roman" w:cs="Times New Roman"/>
          <w:sz w:val="24"/>
        </w:rPr>
        <w:t xml:space="preserve"> </w:t>
      </w:r>
      <w:r w:rsidR="00535007" w:rsidRPr="00535007">
        <w:rPr>
          <w:rFonts w:asciiTheme="majorBidi" w:hAnsiTheme="majorBidi" w:cstheme="majorBidi"/>
          <w:b/>
          <w:bCs/>
          <w:i/>
          <w:iCs/>
          <w:sz w:val="28"/>
          <w:szCs w:val="28"/>
        </w:rPr>
        <w:t>4 647 631 232</w:t>
      </w:r>
      <w:r w:rsidR="00535007">
        <w:rPr>
          <w:rFonts w:ascii="Times New Roman" w:hAnsi="Times New Roman" w:cs="Times New Roman"/>
          <w:sz w:val="24"/>
        </w:rPr>
        <w:t xml:space="preserve"> </w:t>
      </w:r>
      <w:r w:rsidR="00B5587B">
        <w:rPr>
          <w:rFonts w:asciiTheme="majorBidi" w:hAnsiTheme="majorBidi" w:cstheme="majorBidi"/>
          <w:b/>
          <w:bCs/>
          <w:sz w:val="28"/>
          <w:szCs w:val="28"/>
        </w:rPr>
        <w:t>DA</w:t>
      </w:r>
      <w:r w:rsidR="009E7EB0">
        <w:rPr>
          <w:rFonts w:asciiTheme="majorBidi" w:hAnsiTheme="majorBidi" w:cstheme="majorBidi"/>
          <w:b/>
          <w:bCs/>
          <w:sz w:val="28"/>
          <w:szCs w:val="28"/>
        </w:rPr>
        <w:t xml:space="preserve">. </w:t>
      </w:r>
      <w:r w:rsidR="009E7EB0">
        <w:rPr>
          <w:rFonts w:asciiTheme="majorBidi" w:hAnsiTheme="majorBidi" w:cstheme="majorBidi"/>
          <w:sz w:val="24"/>
          <w:szCs w:val="24"/>
        </w:rPr>
        <w:t>A</w:t>
      </w:r>
      <w:r w:rsidR="009E7EB0" w:rsidRPr="009E7EB0">
        <w:rPr>
          <w:rFonts w:asciiTheme="majorBidi" w:hAnsiTheme="majorBidi" w:cstheme="majorBidi"/>
          <w:sz w:val="24"/>
          <w:szCs w:val="24"/>
        </w:rPr>
        <w:t>utrement dit</w:t>
      </w:r>
      <w:r w:rsidR="009E7EB0">
        <w:rPr>
          <w:rFonts w:asciiTheme="majorBidi" w:hAnsiTheme="majorBidi" w:cstheme="majorBidi"/>
          <w:sz w:val="24"/>
          <w:szCs w:val="24"/>
        </w:rPr>
        <w:t xml:space="preserve">, le </w:t>
      </w:r>
      <w:r w:rsidR="009E7EB0" w:rsidRPr="00FF70BA">
        <w:rPr>
          <w:rFonts w:asciiTheme="majorBidi" w:hAnsiTheme="majorBidi" w:cstheme="majorBidi"/>
          <w:color w:val="000000"/>
          <w:sz w:val="24"/>
          <w:szCs w:val="24"/>
        </w:rPr>
        <w:t>montant de fonds propres à détenir pour limiter la probabilité de ruine à un an à 0,5%</w:t>
      </w:r>
      <w:r w:rsidR="009E7EB0">
        <w:rPr>
          <w:rFonts w:asciiTheme="majorBidi" w:hAnsiTheme="majorBidi" w:cstheme="majorBidi"/>
          <w:color w:val="000000"/>
          <w:sz w:val="24"/>
          <w:szCs w:val="24"/>
        </w:rPr>
        <w:t xml:space="preserve">, </w:t>
      </w:r>
      <w:r w:rsidR="009E7EB0" w:rsidRPr="001B2203">
        <w:rPr>
          <w:rFonts w:asciiTheme="majorBidi" w:hAnsiTheme="majorBidi" w:cstheme="majorBidi"/>
        </w:rPr>
        <w:t xml:space="preserve">ou bien la </w:t>
      </w:r>
      <w:proofErr w:type="spellStart"/>
      <w:r w:rsidR="009E7EB0" w:rsidRPr="001B2203">
        <w:rPr>
          <w:rFonts w:asciiTheme="majorBidi" w:hAnsiTheme="majorBidi" w:cstheme="majorBidi"/>
        </w:rPr>
        <w:t>VaR</w:t>
      </w:r>
      <w:proofErr w:type="spellEnd"/>
      <w:r w:rsidR="009E7EB0" w:rsidRPr="001B2203">
        <w:rPr>
          <w:rFonts w:asciiTheme="majorBidi" w:hAnsiTheme="majorBidi" w:cstheme="majorBidi"/>
        </w:rPr>
        <w:t xml:space="preserve"> (Value </w:t>
      </w:r>
      <w:proofErr w:type="spellStart"/>
      <w:r w:rsidR="009E7EB0" w:rsidRPr="001B2203">
        <w:rPr>
          <w:rFonts w:asciiTheme="majorBidi" w:hAnsiTheme="majorBidi" w:cstheme="majorBidi"/>
        </w:rPr>
        <w:t>at</w:t>
      </w:r>
      <w:proofErr w:type="spellEnd"/>
      <w:r w:rsidR="009E7EB0" w:rsidRPr="001B2203">
        <w:rPr>
          <w:rFonts w:asciiTheme="majorBidi" w:hAnsiTheme="majorBidi" w:cstheme="majorBidi"/>
        </w:rPr>
        <w:t xml:space="preserve"> </w:t>
      </w:r>
      <w:proofErr w:type="spellStart"/>
      <w:r w:rsidR="009E7EB0" w:rsidRPr="001B2203">
        <w:rPr>
          <w:rFonts w:asciiTheme="majorBidi" w:hAnsiTheme="majorBidi" w:cstheme="majorBidi"/>
        </w:rPr>
        <w:t>Risk</w:t>
      </w:r>
      <w:proofErr w:type="spellEnd"/>
      <w:r w:rsidR="009E7EB0" w:rsidRPr="001B2203">
        <w:rPr>
          <w:rFonts w:asciiTheme="majorBidi" w:hAnsiTheme="majorBidi" w:cstheme="majorBidi"/>
        </w:rPr>
        <w:t>) à 99,5% de la perte en fonds propres économiques à horizon d’un an</w:t>
      </w:r>
      <w:r w:rsidR="000C06AF">
        <w:rPr>
          <w:rFonts w:asciiTheme="majorBidi" w:hAnsiTheme="majorBidi" w:cstheme="majorBidi"/>
        </w:rPr>
        <w:t xml:space="preserve"> est de </w:t>
      </w:r>
      <w:r w:rsidR="00535007">
        <w:rPr>
          <w:rFonts w:asciiTheme="majorBidi" w:hAnsiTheme="majorBidi" w:cstheme="majorBidi"/>
        </w:rPr>
        <w:t xml:space="preserve">  </w:t>
      </w:r>
      <w:r w:rsidR="000C06AF">
        <w:rPr>
          <w:rFonts w:asciiTheme="majorBidi" w:hAnsiTheme="majorBidi" w:cstheme="majorBidi"/>
        </w:rPr>
        <w:t xml:space="preserve"> </w:t>
      </w:r>
      <w:r w:rsidR="00535007">
        <w:rPr>
          <w:rFonts w:asciiTheme="majorBidi" w:hAnsiTheme="majorBidi" w:cstheme="majorBidi"/>
          <w:b/>
          <w:bCs/>
          <w:sz w:val="28"/>
          <w:szCs w:val="28"/>
        </w:rPr>
        <w:t xml:space="preserve"> </w:t>
      </w:r>
      <w:r w:rsidR="00535007" w:rsidRPr="00535007">
        <w:rPr>
          <w:rFonts w:asciiTheme="majorBidi" w:hAnsiTheme="majorBidi" w:cstheme="majorBidi"/>
          <w:b/>
          <w:bCs/>
          <w:i/>
          <w:iCs/>
          <w:sz w:val="28"/>
          <w:szCs w:val="28"/>
        </w:rPr>
        <w:t>4 647 631</w:t>
      </w:r>
      <w:r w:rsidR="00535007">
        <w:rPr>
          <w:rFonts w:asciiTheme="majorBidi" w:hAnsiTheme="majorBidi" w:cstheme="majorBidi"/>
          <w:b/>
          <w:bCs/>
          <w:i/>
          <w:iCs/>
          <w:sz w:val="28"/>
          <w:szCs w:val="28"/>
        </w:rPr>
        <w:t> </w:t>
      </w:r>
      <w:r w:rsidR="00535007" w:rsidRPr="00535007">
        <w:rPr>
          <w:rFonts w:asciiTheme="majorBidi" w:hAnsiTheme="majorBidi" w:cstheme="majorBidi"/>
          <w:b/>
          <w:bCs/>
          <w:i/>
          <w:iCs/>
          <w:sz w:val="28"/>
          <w:szCs w:val="28"/>
        </w:rPr>
        <w:t>232</w:t>
      </w:r>
      <w:r w:rsidR="00535007">
        <w:rPr>
          <w:rFonts w:asciiTheme="majorBidi" w:hAnsiTheme="majorBidi" w:cstheme="majorBidi"/>
          <w:b/>
          <w:bCs/>
          <w:i/>
          <w:iCs/>
          <w:sz w:val="28"/>
          <w:szCs w:val="28"/>
        </w:rPr>
        <w:t xml:space="preserve"> DA</w:t>
      </w:r>
    </w:p>
    <w:p w:rsidR="003064CE" w:rsidRDefault="000C06AF" w:rsidP="000C06AF">
      <w:pPr>
        <w:spacing w:line="360" w:lineRule="auto"/>
        <w:jc w:val="both"/>
        <w:rPr>
          <w:rFonts w:asciiTheme="majorBidi" w:hAnsiTheme="majorBidi" w:cstheme="majorBidi"/>
          <w:sz w:val="24"/>
          <w:szCs w:val="24"/>
        </w:rPr>
      </w:pPr>
      <w:r>
        <w:rPr>
          <w:rFonts w:asciiTheme="majorBidi" w:hAnsiTheme="majorBidi" w:cstheme="majorBidi"/>
        </w:rPr>
        <w:t xml:space="preserve">  </w:t>
      </w:r>
      <w:r w:rsidR="00F3421B">
        <w:rPr>
          <w:rFonts w:asciiTheme="majorBidi" w:hAnsiTheme="majorBidi" w:cstheme="majorBidi"/>
          <w:b/>
          <w:bCs/>
          <w:sz w:val="28"/>
          <w:szCs w:val="28"/>
        </w:rPr>
        <w:t xml:space="preserve"> </w:t>
      </w:r>
      <w:r>
        <w:rPr>
          <w:rFonts w:asciiTheme="majorBidi" w:hAnsiTheme="majorBidi" w:cstheme="majorBidi"/>
          <w:b/>
          <w:bCs/>
          <w:sz w:val="28"/>
          <w:szCs w:val="28"/>
        </w:rPr>
        <w:tab/>
      </w:r>
      <w:r w:rsidRPr="00F3421B">
        <w:rPr>
          <w:rFonts w:asciiTheme="majorBidi" w:hAnsiTheme="majorBidi" w:cstheme="majorBidi"/>
          <w:sz w:val="24"/>
          <w:szCs w:val="24"/>
        </w:rPr>
        <w:t>Il</w:t>
      </w:r>
      <w:r w:rsidR="00F3421B" w:rsidRPr="00F3421B">
        <w:rPr>
          <w:rFonts w:asciiTheme="majorBidi" w:hAnsiTheme="majorBidi" w:cstheme="majorBidi"/>
          <w:sz w:val="24"/>
          <w:szCs w:val="24"/>
        </w:rPr>
        <w:t xml:space="preserve"> est par conséquent</w:t>
      </w:r>
      <w:r w:rsidR="00F3421B">
        <w:rPr>
          <w:rFonts w:asciiTheme="majorBidi" w:hAnsiTheme="majorBidi" w:cstheme="majorBidi"/>
          <w:sz w:val="24"/>
          <w:szCs w:val="24"/>
        </w:rPr>
        <w:t xml:space="preserve"> plus prudent que le capital réglementaire sous solvabilité I.</w:t>
      </w:r>
      <w:r>
        <w:rPr>
          <w:rFonts w:asciiTheme="majorBidi" w:hAnsiTheme="majorBidi" w:cstheme="majorBidi"/>
          <w:sz w:val="24"/>
          <w:szCs w:val="24"/>
        </w:rPr>
        <w:t xml:space="preserve"> </w:t>
      </w:r>
      <w:r w:rsidR="00F3421B">
        <w:rPr>
          <w:rFonts w:asciiTheme="majorBidi" w:hAnsiTheme="majorBidi" w:cstheme="majorBidi"/>
          <w:sz w:val="24"/>
          <w:szCs w:val="24"/>
        </w:rPr>
        <w:t>Cette augmentation résulte notamment de la charge de capital pour le risque de marché et le risque opérationnel, très conséquente qui n’apparaissent pas dans le calcul de l’exigence de marge sous solvabilité I</w:t>
      </w:r>
      <w:r w:rsidR="003064CE">
        <w:rPr>
          <w:rFonts w:asciiTheme="majorBidi" w:hAnsiTheme="majorBidi" w:cstheme="majorBidi"/>
          <w:sz w:val="24"/>
          <w:szCs w:val="24"/>
        </w:rPr>
        <w:t>.</w:t>
      </w:r>
    </w:p>
    <w:p w:rsidR="002C5962" w:rsidRDefault="003064CE" w:rsidP="00635FD7">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3064CE">
        <w:rPr>
          <w:rFonts w:asciiTheme="majorBidi" w:hAnsiTheme="majorBidi" w:cstheme="majorBidi"/>
          <w:sz w:val="24"/>
          <w:szCs w:val="24"/>
        </w:rPr>
        <w:t>Un outil Excel a été développé par le CEIOPS permettant de réaliser les calculs des charges de capital pour chaque</w:t>
      </w:r>
      <w:r>
        <w:rPr>
          <w:rFonts w:asciiTheme="majorBidi" w:hAnsiTheme="majorBidi" w:cstheme="majorBidi"/>
          <w:sz w:val="24"/>
          <w:szCs w:val="24"/>
        </w:rPr>
        <w:t xml:space="preserve"> module de risque (</w:t>
      </w:r>
      <w:r w:rsidRPr="00F601CB">
        <w:rPr>
          <w:rFonts w:asciiTheme="majorBidi" w:hAnsiTheme="majorBidi" w:cstheme="majorBidi"/>
          <w:b/>
          <w:bCs/>
          <w:sz w:val="24"/>
          <w:szCs w:val="24"/>
        </w:rPr>
        <w:t>Voir anne</w:t>
      </w:r>
      <w:r w:rsidR="00F601CB" w:rsidRPr="00F601CB">
        <w:rPr>
          <w:rFonts w:asciiTheme="majorBidi" w:hAnsiTheme="majorBidi" w:cstheme="majorBidi"/>
          <w:b/>
          <w:bCs/>
          <w:sz w:val="24"/>
          <w:szCs w:val="24"/>
        </w:rPr>
        <w:t>xe N°7</w:t>
      </w:r>
      <w:r w:rsidRPr="003064CE">
        <w:rPr>
          <w:rFonts w:asciiTheme="majorBidi" w:hAnsiTheme="majorBidi" w:cstheme="majorBidi"/>
          <w:sz w:val="24"/>
          <w:szCs w:val="24"/>
        </w:rPr>
        <w:t>). Celui-ci reste cependant difficile d’approche étant donné le nombre important de données à insérer pour obtenir les différents résultats</w:t>
      </w:r>
      <w:r>
        <w:rPr>
          <w:rFonts w:ascii="SophistoAGauge" w:hAnsi="SophistoAGauge" w:cs="SophistoAGauge"/>
          <w:sz w:val="24"/>
          <w:szCs w:val="24"/>
        </w:rPr>
        <w:t>.</w:t>
      </w:r>
      <w:r w:rsidR="00635FD7">
        <w:rPr>
          <w:rFonts w:asciiTheme="majorBidi" w:hAnsiTheme="majorBidi" w:cstheme="majorBidi"/>
          <w:sz w:val="24"/>
          <w:szCs w:val="24"/>
        </w:rPr>
        <w:t xml:space="preserve"> </w:t>
      </w:r>
    </w:p>
    <w:p w:rsidR="00C07882" w:rsidRDefault="00C07882" w:rsidP="00C07882">
      <w:pPr>
        <w:autoSpaceDE w:val="0"/>
        <w:autoSpaceDN w:val="0"/>
        <w:adjustRightInd w:val="0"/>
        <w:spacing w:after="0" w:line="240" w:lineRule="auto"/>
        <w:jc w:val="both"/>
        <w:rPr>
          <w:rFonts w:asciiTheme="majorBidi" w:hAnsiTheme="majorBidi" w:cstheme="majorBidi"/>
          <w:sz w:val="24"/>
          <w:szCs w:val="24"/>
        </w:rPr>
      </w:pPr>
    </w:p>
    <w:p w:rsidR="002C5962" w:rsidRDefault="000673C5" w:rsidP="00C07882">
      <w:pPr>
        <w:pStyle w:val="Paragraphedeliste"/>
        <w:numPr>
          <w:ilvl w:val="1"/>
          <w:numId w:val="13"/>
        </w:numPr>
        <w:autoSpaceDE w:val="0"/>
        <w:autoSpaceDN w:val="0"/>
        <w:adjustRightInd w:val="0"/>
        <w:spacing w:after="0" w:line="360" w:lineRule="auto"/>
        <w:jc w:val="both"/>
        <w:rPr>
          <w:rFonts w:asciiTheme="majorBidi" w:hAnsiTheme="majorBidi" w:cstheme="majorBidi"/>
          <w:b/>
          <w:bCs/>
          <w:sz w:val="24"/>
          <w:szCs w:val="24"/>
        </w:rPr>
      </w:pPr>
      <w:r w:rsidRPr="000673C5">
        <w:rPr>
          <w:rFonts w:asciiTheme="majorBidi" w:hAnsiTheme="majorBidi" w:cstheme="majorBidi"/>
          <w:b/>
          <w:bCs/>
          <w:sz w:val="24"/>
          <w:szCs w:val="24"/>
        </w:rPr>
        <w:t>Le calcul du MCR</w:t>
      </w:r>
    </w:p>
    <w:p w:rsidR="00B31D8F" w:rsidRPr="00B31D8F" w:rsidRDefault="00B31D8F" w:rsidP="00B31D8F">
      <w:pPr>
        <w:autoSpaceDE w:val="0"/>
        <w:autoSpaceDN w:val="0"/>
        <w:adjustRightInd w:val="0"/>
        <w:spacing w:after="0" w:line="240" w:lineRule="auto"/>
        <w:jc w:val="both"/>
        <w:rPr>
          <w:rFonts w:asciiTheme="majorBidi" w:hAnsiTheme="majorBidi" w:cstheme="majorBidi"/>
          <w:b/>
          <w:bCs/>
          <w:sz w:val="24"/>
          <w:szCs w:val="24"/>
        </w:rPr>
      </w:pPr>
    </w:p>
    <w:p w:rsidR="00F601CB" w:rsidRDefault="003F2B91" w:rsidP="00F601C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635FD7" w:rsidRPr="00635FD7">
        <w:rPr>
          <w:rFonts w:asciiTheme="majorBidi" w:hAnsiTheme="majorBidi" w:cstheme="majorBidi"/>
          <w:sz w:val="24"/>
          <w:szCs w:val="24"/>
        </w:rPr>
        <w:t>Pour le MCR,</w:t>
      </w:r>
      <w:r w:rsidR="00635FD7">
        <w:rPr>
          <w:rFonts w:asciiTheme="majorBidi" w:hAnsiTheme="majorBidi" w:cstheme="majorBidi"/>
          <w:sz w:val="24"/>
          <w:szCs w:val="24"/>
        </w:rPr>
        <w:t xml:space="preserve"> il est nécessairement calculé via une formule standard commune pour toutes les entreprises. </w:t>
      </w:r>
      <w:r w:rsidR="00A569BC" w:rsidRPr="00A569BC">
        <w:rPr>
          <w:rFonts w:asciiTheme="majorBidi" w:hAnsiTheme="majorBidi" w:cstheme="majorBidi"/>
          <w:sz w:val="24"/>
          <w:szCs w:val="24"/>
        </w:rPr>
        <w:t xml:space="preserve">Comme nous l’avons déjà évoqué dans le deuxième chapitre le calcul du minimum de capital requis se calcule selon la formule </w:t>
      </w:r>
      <w:proofErr w:type="gramStart"/>
      <w:r w:rsidR="00A569BC" w:rsidRPr="00A569BC">
        <w:rPr>
          <w:rFonts w:asciiTheme="majorBidi" w:hAnsiTheme="majorBidi" w:cstheme="majorBidi"/>
          <w:sz w:val="24"/>
          <w:szCs w:val="24"/>
        </w:rPr>
        <w:t>suivante:</w:t>
      </w:r>
      <w:proofErr w:type="gramEnd"/>
      <w:r w:rsidR="00A569BC" w:rsidRPr="00A569BC">
        <w:rPr>
          <w:rFonts w:asciiTheme="majorBidi" w:hAnsiTheme="majorBidi" w:cstheme="majorBidi"/>
          <w:sz w:val="24"/>
          <w:szCs w:val="24"/>
        </w:rPr>
        <w:t xml:space="preserve">  </w:t>
      </w:r>
    </w:p>
    <w:p w:rsidR="00815AA9" w:rsidRDefault="00815AA9" w:rsidP="00815AA9">
      <w:pPr>
        <w:autoSpaceDE w:val="0"/>
        <w:autoSpaceDN w:val="0"/>
        <w:adjustRightInd w:val="0"/>
        <w:spacing w:after="0" w:line="240" w:lineRule="auto"/>
        <w:jc w:val="both"/>
        <w:rPr>
          <w:rFonts w:asciiTheme="majorBidi" w:hAnsiTheme="majorBidi" w:cstheme="majorBidi"/>
          <w:sz w:val="24"/>
          <w:szCs w:val="24"/>
        </w:rPr>
      </w:pPr>
    </w:p>
    <w:p w:rsidR="00815AA9" w:rsidRDefault="00CA1DD5" w:rsidP="00815AA9">
      <w:pPr>
        <w:autoSpaceDE w:val="0"/>
        <w:autoSpaceDN w:val="0"/>
        <w:adjustRightInd w:val="0"/>
        <w:spacing w:after="0" w:line="360" w:lineRule="auto"/>
        <w:jc w:val="center"/>
        <w:rPr>
          <w:rFonts w:asciiTheme="majorBidi" w:hAnsiTheme="majorBidi" w:cstheme="majorBidi"/>
          <w:sz w:val="36"/>
          <w:szCs w:val="36"/>
        </w:rPr>
      </w:pPr>
      <w:r w:rsidRPr="00AF3F9B">
        <w:rPr>
          <w:rFonts w:asciiTheme="majorBidi" w:hAnsiTheme="majorBidi" w:cstheme="majorBidi"/>
          <w:b/>
          <w:bCs/>
          <w:sz w:val="28"/>
          <w:szCs w:val="28"/>
        </w:rPr>
        <w:t>MCR</w:t>
      </w:r>
      <w:r w:rsidRPr="00AF3F9B">
        <w:rPr>
          <w:rFonts w:asciiTheme="majorBidi" w:hAnsiTheme="majorBidi" w:cstheme="majorBidi"/>
          <w:sz w:val="24"/>
          <w:szCs w:val="24"/>
          <w:vertAlign w:val="subscript"/>
        </w:rPr>
        <w:t>NV</w:t>
      </w:r>
      <w:r w:rsidRPr="00AF3F9B">
        <w:rPr>
          <w:rFonts w:asciiTheme="majorBidi" w:hAnsiTheme="majorBidi" w:cstheme="majorBidi"/>
          <w:b/>
          <w:bCs/>
          <w:sz w:val="24"/>
          <w:szCs w:val="24"/>
          <w:vertAlign w:val="subscript"/>
        </w:rPr>
        <w:t xml:space="preserve"> </w:t>
      </w:r>
      <w:r w:rsidRPr="00AF3F9B">
        <w:rPr>
          <w:rFonts w:asciiTheme="majorBidi" w:hAnsiTheme="majorBidi" w:cstheme="majorBidi"/>
          <w:b/>
          <w:bCs/>
          <w:sz w:val="24"/>
          <w:szCs w:val="24"/>
        </w:rPr>
        <w:t xml:space="preserve">=∑ </w:t>
      </w:r>
      <w:r w:rsidRPr="00AF3F9B">
        <w:rPr>
          <w:rFonts w:asciiTheme="majorBidi" w:hAnsiTheme="majorBidi" w:cstheme="majorBidi"/>
          <w:b/>
          <w:bCs/>
          <w:sz w:val="28"/>
          <w:szCs w:val="28"/>
        </w:rPr>
        <w:t>Max</w:t>
      </w:r>
      <w:r w:rsidR="00AF3F9B" w:rsidRPr="00AF3F9B">
        <w:rPr>
          <w:rFonts w:asciiTheme="majorBidi" w:hAnsiTheme="majorBidi" w:cstheme="majorBidi"/>
          <w:b/>
          <w:bCs/>
          <w:sz w:val="24"/>
          <w:szCs w:val="24"/>
        </w:rPr>
        <w:t xml:space="preserve"> </w:t>
      </w:r>
      <w:r w:rsidR="00AF3F9B" w:rsidRPr="00AF3F9B">
        <w:rPr>
          <w:rFonts w:asciiTheme="majorBidi" w:hAnsiTheme="majorBidi" w:cstheme="majorBidi"/>
          <w:sz w:val="32"/>
          <w:szCs w:val="32"/>
        </w:rPr>
        <w:t>(</w:t>
      </w:r>
      <w:proofErr w:type="spellStart"/>
      <w:r w:rsidR="00AF3F9B" w:rsidRPr="00AF3F9B">
        <w:rPr>
          <w:rFonts w:asciiTheme="majorBidi" w:hAnsiTheme="majorBidi" w:cstheme="majorBidi"/>
          <w:sz w:val="32"/>
          <w:szCs w:val="32"/>
        </w:rPr>
        <w:t>α</w:t>
      </w:r>
      <w:r w:rsidR="00AF3F9B" w:rsidRPr="00AF3F9B">
        <w:rPr>
          <w:rFonts w:asciiTheme="majorBidi" w:hAnsiTheme="majorBidi" w:cstheme="majorBidi"/>
          <w:sz w:val="32"/>
          <w:szCs w:val="32"/>
          <w:vertAlign w:val="subscript"/>
        </w:rPr>
        <w:t>i</w:t>
      </w:r>
      <w:proofErr w:type="spellEnd"/>
      <w:r w:rsidR="00AF3F9B" w:rsidRPr="00AF3F9B">
        <w:rPr>
          <w:rFonts w:asciiTheme="majorBidi" w:hAnsiTheme="majorBidi" w:cstheme="majorBidi"/>
          <w:sz w:val="32"/>
          <w:szCs w:val="32"/>
        </w:rPr>
        <w:t>*</w:t>
      </w:r>
      <w:proofErr w:type="spellStart"/>
      <w:r w:rsidR="00AF3F9B" w:rsidRPr="00AF3F9B">
        <w:rPr>
          <w:rFonts w:asciiTheme="majorBidi" w:hAnsiTheme="majorBidi" w:cstheme="majorBidi"/>
          <w:sz w:val="36"/>
          <w:szCs w:val="36"/>
        </w:rPr>
        <w:t>PT</w:t>
      </w:r>
      <w:r w:rsidR="00AF3F9B" w:rsidRPr="00AF3F9B">
        <w:rPr>
          <w:rFonts w:asciiTheme="majorBidi" w:hAnsiTheme="majorBidi" w:cstheme="majorBidi"/>
          <w:sz w:val="32"/>
          <w:szCs w:val="32"/>
          <w:vertAlign w:val="subscript"/>
        </w:rPr>
        <w:t>j</w:t>
      </w:r>
      <w:proofErr w:type="spellEnd"/>
      <w:r w:rsidR="00AF3F9B" w:rsidRPr="00AF3F9B">
        <w:rPr>
          <w:rFonts w:asciiTheme="majorBidi" w:hAnsiTheme="majorBidi" w:cstheme="majorBidi"/>
          <w:sz w:val="32"/>
          <w:szCs w:val="32"/>
          <w:vertAlign w:val="subscript"/>
        </w:rPr>
        <w:t> </w:t>
      </w:r>
      <w:proofErr w:type="gramStart"/>
      <w:r w:rsidR="00AF3F9B" w:rsidRPr="00AF3F9B">
        <w:rPr>
          <w:rFonts w:asciiTheme="majorBidi" w:hAnsiTheme="majorBidi" w:cstheme="majorBidi"/>
          <w:sz w:val="32"/>
          <w:szCs w:val="32"/>
          <w:vertAlign w:val="subscript"/>
        </w:rPr>
        <w:t>;</w:t>
      </w:r>
      <w:proofErr w:type="spellStart"/>
      <w:r w:rsidR="00AF3F9B" w:rsidRPr="00AF3F9B">
        <w:rPr>
          <w:rFonts w:asciiTheme="majorBidi" w:hAnsiTheme="majorBidi" w:cstheme="majorBidi"/>
          <w:sz w:val="32"/>
          <w:szCs w:val="32"/>
        </w:rPr>
        <w:t>β</w:t>
      </w:r>
      <w:r w:rsidR="00AF3F9B" w:rsidRPr="00AF3F9B">
        <w:rPr>
          <w:rFonts w:asciiTheme="majorBidi" w:hAnsiTheme="majorBidi" w:cstheme="majorBidi"/>
          <w:sz w:val="32"/>
          <w:szCs w:val="32"/>
          <w:vertAlign w:val="subscript"/>
        </w:rPr>
        <w:t>j</w:t>
      </w:r>
      <w:proofErr w:type="spellEnd"/>
      <w:proofErr w:type="gramEnd"/>
      <w:r w:rsidR="00AF3F9B" w:rsidRPr="00AF3F9B">
        <w:rPr>
          <w:rFonts w:asciiTheme="majorBidi" w:hAnsiTheme="majorBidi" w:cstheme="majorBidi"/>
          <w:sz w:val="32"/>
          <w:szCs w:val="32"/>
          <w:vertAlign w:val="subscript"/>
        </w:rPr>
        <w:t>*</w:t>
      </w:r>
      <w:proofErr w:type="spellStart"/>
      <w:r w:rsidR="00AF3F9B" w:rsidRPr="00AF3F9B">
        <w:rPr>
          <w:rFonts w:asciiTheme="majorBidi" w:hAnsiTheme="majorBidi" w:cstheme="majorBidi"/>
          <w:sz w:val="36"/>
          <w:szCs w:val="36"/>
        </w:rPr>
        <w:t>p</w:t>
      </w:r>
      <w:r w:rsidR="00AF3F9B" w:rsidRPr="00AF3F9B">
        <w:rPr>
          <w:rFonts w:asciiTheme="majorBidi" w:hAnsiTheme="majorBidi" w:cstheme="majorBidi"/>
          <w:sz w:val="36"/>
          <w:szCs w:val="36"/>
          <w:vertAlign w:val="subscript"/>
        </w:rPr>
        <w:t>j</w:t>
      </w:r>
      <w:proofErr w:type="spellEnd"/>
      <w:r w:rsidR="00AF3F9B" w:rsidRPr="00AF3F9B">
        <w:rPr>
          <w:rFonts w:asciiTheme="majorBidi" w:hAnsiTheme="majorBidi" w:cstheme="majorBidi"/>
          <w:sz w:val="36"/>
          <w:szCs w:val="36"/>
        </w:rPr>
        <w:t>)</w:t>
      </w:r>
    </w:p>
    <w:p w:rsidR="00815AA9" w:rsidRPr="00D653EE" w:rsidRDefault="00815AA9" w:rsidP="00D653EE">
      <w:pPr>
        <w:autoSpaceDE w:val="0"/>
        <w:autoSpaceDN w:val="0"/>
        <w:adjustRightInd w:val="0"/>
        <w:spacing w:after="0" w:line="360" w:lineRule="auto"/>
        <w:rPr>
          <w:rFonts w:asciiTheme="majorBidi" w:hAnsiTheme="majorBidi" w:cstheme="majorBidi"/>
          <w:sz w:val="24"/>
          <w:szCs w:val="24"/>
        </w:rPr>
      </w:pPr>
    </w:p>
    <w:p w:rsidR="00815AA9" w:rsidRDefault="00815AA9" w:rsidP="00815AA9">
      <w:pPr>
        <w:autoSpaceDE w:val="0"/>
        <w:autoSpaceDN w:val="0"/>
        <w:adjustRightInd w:val="0"/>
        <w:spacing w:after="0" w:line="360" w:lineRule="auto"/>
        <w:jc w:val="center"/>
        <w:rPr>
          <w:rFonts w:asciiTheme="majorBidi" w:hAnsiTheme="majorBidi" w:cstheme="majorBidi"/>
          <w:sz w:val="36"/>
          <w:szCs w:val="36"/>
        </w:rPr>
      </w:pPr>
    </w:p>
    <w:p w:rsidR="00815AA9" w:rsidRDefault="00815AA9" w:rsidP="00815AA9">
      <w:pPr>
        <w:autoSpaceDE w:val="0"/>
        <w:autoSpaceDN w:val="0"/>
        <w:adjustRightInd w:val="0"/>
        <w:spacing w:after="0" w:line="360" w:lineRule="auto"/>
        <w:jc w:val="center"/>
        <w:rPr>
          <w:rFonts w:asciiTheme="majorBidi" w:hAnsiTheme="majorBidi" w:cstheme="majorBidi"/>
          <w:sz w:val="36"/>
          <w:szCs w:val="36"/>
        </w:rPr>
      </w:pPr>
    </w:p>
    <w:p w:rsidR="00815AA9" w:rsidRDefault="00815AA9" w:rsidP="00815AA9">
      <w:pPr>
        <w:autoSpaceDE w:val="0"/>
        <w:autoSpaceDN w:val="0"/>
        <w:adjustRightInd w:val="0"/>
        <w:spacing w:after="0" w:line="360" w:lineRule="auto"/>
        <w:jc w:val="center"/>
        <w:rPr>
          <w:rFonts w:asciiTheme="majorBidi" w:hAnsiTheme="majorBidi" w:cstheme="majorBidi"/>
          <w:sz w:val="36"/>
          <w:szCs w:val="36"/>
        </w:rPr>
      </w:pPr>
    </w:p>
    <w:p w:rsidR="00815AA9" w:rsidRPr="00815AA9" w:rsidRDefault="00815AA9" w:rsidP="00815AA9">
      <w:pPr>
        <w:autoSpaceDE w:val="0"/>
        <w:autoSpaceDN w:val="0"/>
        <w:adjustRightInd w:val="0"/>
        <w:spacing w:after="0" w:line="360" w:lineRule="auto"/>
        <w:jc w:val="center"/>
        <w:rPr>
          <w:rFonts w:asciiTheme="majorBidi" w:hAnsiTheme="majorBidi" w:cstheme="majorBidi"/>
          <w:sz w:val="36"/>
          <w:szCs w:val="36"/>
        </w:rPr>
      </w:pPr>
    </w:p>
    <w:p w:rsidR="00AF3F9B" w:rsidRPr="00AF3F9B" w:rsidRDefault="00815AA9" w:rsidP="00AF3F9B">
      <w:pPr>
        <w:autoSpaceDE w:val="0"/>
        <w:autoSpaceDN w:val="0"/>
        <w:adjustRightInd w:val="0"/>
        <w:spacing w:after="0" w:line="360" w:lineRule="auto"/>
        <w:rPr>
          <w:rFonts w:asciiTheme="majorBidi" w:hAnsiTheme="majorBidi" w:cstheme="majorBidi"/>
          <w:b/>
          <w:bCs/>
          <w:sz w:val="20"/>
          <w:szCs w:val="20"/>
        </w:rPr>
      </w:pPr>
      <w:r>
        <w:rPr>
          <w:rFonts w:asciiTheme="majorBidi" w:hAnsiTheme="majorBidi" w:cstheme="majorBidi"/>
          <w:b/>
          <w:bCs/>
          <w:sz w:val="24"/>
          <w:szCs w:val="24"/>
        </w:rPr>
        <w:lastRenderedPageBreak/>
        <w:t xml:space="preserve">                                                                                                             </w:t>
      </w:r>
      <w:r w:rsidR="00AF3F9B">
        <w:rPr>
          <w:rFonts w:asciiTheme="majorBidi" w:hAnsiTheme="majorBidi" w:cstheme="majorBidi"/>
          <w:b/>
          <w:bCs/>
          <w:sz w:val="24"/>
          <w:szCs w:val="24"/>
        </w:rPr>
        <w:t>(</w:t>
      </w:r>
      <w:r w:rsidR="00807C52">
        <w:rPr>
          <w:rFonts w:asciiTheme="majorBidi" w:hAnsiTheme="majorBidi" w:cstheme="majorBidi"/>
          <w:b/>
          <w:bCs/>
          <w:sz w:val="20"/>
          <w:szCs w:val="20"/>
        </w:rPr>
        <w:t xml:space="preserve">Montant exprimé en </w:t>
      </w:r>
      <w:proofErr w:type="spellStart"/>
      <w:r w:rsidR="00807C52">
        <w:rPr>
          <w:rFonts w:asciiTheme="majorBidi" w:hAnsiTheme="majorBidi" w:cstheme="majorBidi"/>
          <w:b/>
          <w:bCs/>
          <w:sz w:val="20"/>
          <w:szCs w:val="20"/>
        </w:rPr>
        <w:t>miliers</w:t>
      </w:r>
      <w:proofErr w:type="spellEnd"/>
      <w:r w:rsidR="00AF3F9B">
        <w:rPr>
          <w:rFonts w:asciiTheme="majorBidi" w:hAnsiTheme="majorBidi" w:cstheme="majorBidi"/>
          <w:b/>
          <w:bCs/>
          <w:sz w:val="20"/>
          <w:szCs w:val="20"/>
        </w:rPr>
        <w:t>)</w:t>
      </w:r>
    </w:p>
    <w:tbl>
      <w:tblPr>
        <w:tblStyle w:val="Grillemoyenne1-Accent4"/>
        <w:tblW w:w="9288" w:type="dxa"/>
        <w:tblLook w:val="04A0"/>
      </w:tblPr>
      <w:tblGrid>
        <w:gridCol w:w="3509"/>
        <w:gridCol w:w="1426"/>
        <w:gridCol w:w="1247"/>
        <w:gridCol w:w="814"/>
        <w:gridCol w:w="756"/>
        <w:gridCol w:w="1536"/>
      </w:tblGrid>
      <w:tr w:rsidR="00A569BC" w:rsidRPr="00925709" w:rsidTr="00DF21A3">
        <w:trPr>
          <w:cnfStyle w:val="100000000000"/>
          <w:trHeight w:val="563"/>
        </w:trPr>
        <w:tc>
          <w:tcPr>
            <w:cnfStyle w:val="001000000000"/>
            <w:tcW w:w="3509" w:type="dxa"/>
            <w:vMerge w:val="restart"/>
            <w:noWrap/>
            <w:hideMark/>
          </w:tcPr>
          <w:p w:rsidR="00AF3F9B" w:rsidRDefault="00AF3F9B" w:rsidP="00925709">
            <w:pPr>
              <w:jc w:val="center"/>
              <w:rPr>
                <w:rFonts w:ascii="Times New Roman" w:eastAsia="Times New Roman" w:hAnsi="Times New Roman" w:cs="Times New Roman"/>
                <w:sz w:val="28"/>
                <w:szCs w:val="28"/>
              </w:rPr>
            </w:pPr>
          </w:p>
          <w:p w:rsidR="00A569BC" w:rsidRPr="00A569BC" w:rsidRDefault="00A569BC" w:rsidP="00925709">
            <w:pPr>
              <w:jc w:val="center"/>
              <w:rPr>
                <w:rFonts w:ascii="Times New Roman" w:eastAsia="Times New Roman" w:hAnsi="Times New Roman" w:cs="Times New Roman"/>
                <w:sz w:val="28"/>
                <w:szCs w:val="28"/>
              </w:rPr>
            </w:pPr>
            <w:r w:rsidRPr="00A569BC">
              <w:rPr>
                <w:rFonts w:ascii="Times New Roman" w:eastAsia="Times New Roman" w:hAnsi="Times New Roman" w:cs="Times New Roman"/>
                <w:sz w:val="28"/>
                <w:szCs w:val="28"/>
              </w:rPr>
              <w:t xml:space="preserve">Les branches  </w:t>
            </w:r>
          </w:p>
        </w:tc>
        <w:tc>
          <w:tcPr>
            <w:tcW w:w="1426" w:type="dxa"/>
            <w:hideMark/>
          </w:tcPr>
          <w:p w:rsidR="00A569BC" w:rsidRPr="00925709" w:rsidRDefault="00A569BC" w:rsidP="00925709">
            <w:pPr>
              <w:jc w:val="center"/>
              <w:cnfStyle w:val="1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provisions techniques</w:t>
            </w:r>
          </w:p>
        </w:tc>
        <w:tc>
          <w:tcPr>
            <w:tcW w:w="1247" w:type="dxa"/>
            <w:hideMark/>
          </w:tcPr>
          <w:p w:rsidR="00A569BC" w:rsidRPr="00925709" w:rsidRDefault="00A569BC" w:rsidP="00925709">
            <w:pPr>
              <w:jc w:val="center"/>
              <w:cnfStyle w:val="100000000000"/>
              <w:rPr>
                <w:rFonts w:ascii="Times New Roman" w:eastAsia="Times New Roman" w:hAnsi="Times New Roman" w:cs="Times New Roman"/>
                <w:sz w:val="24"/>
                <w:szCs w:val="24"/>
              </w:rPr>
            </w:pPr>
            <w:r w:rsidRPr="00925709">
              <w:rPr>
                <w:rFonts w:ascii="Times New Roman" w:eastAsia="Times New Roman" w:hAnsi="Times New Roman" w:cs="Times New Roman"/>
                <w:sz w:val="24"/>
                <w:szCs w:val="24"/>
              </w:rPr>
              <w:t xml:space="preserve">Primes émises </w:t>
            </w:r>
          </w:p>
        </w:tc>
        <w:tc>
          <w:tcPr>
            <w:tcW w:w="814" w:type="dxa"/>
            <w:hideMark/>
          </w:tcPr>
          <w:p w:rsidR="00A569BC" w:rsidRPr="00925709" w:rsidRDefault="00A569BC" w:rsidP="00925709">
            <w:pPr>
              <w:jc w:val="center"/>
              <w:cnfStyle w:val="100000000000"/>
              <w:rPr>
                <w:rFonts w:ascii="Times New Roman" w:eastAsia="Times New Roman" w:hAnsi="Times New Roman" w:cs="Times New Roman"/>
                <w:sz w:val="28"/>
                <w:szCs w:val="28"/>
              </w:rPr>
            </w:pPr>
            <w:r w:rsidRPr="00925709">
              <w:rPr>
                <w:rFonts w:ascii="Times New Roman" w:eastAsia="Times New Roman" w:hAnsi="Times New Roman" w:cs="Times New Roman"/>
                <w:sz w:val="28"/>
                <w:szCs w:val="28"/>
              </w:rPr>
              <w:t>α</w:t>
            </w:r>
          </w:p>
        </w:tc>
        <w:tc>
          <w:tcPr>
            <w:tcW w:w="756" w:type="dxa"/>
            <w:hideMark/>
          </w:tcPr>
          <w:p w:rsidR="00A569BC" w:rsidRPr="00925709" w:rsidRDefault="00A569BC" w:rsidP="00925709">
            <w:pPr>
              <w:jc w:val="center"/>
              <w:cnfStyle w:val="100000000000"/>
              <w:rPr>
                <w:rFonts w:ascii="Times New Roman" w:eastAsia="Times New Roman" w:hAnsi="Times New Roman" w:cs="Times New Roman"/>
                <w:sz w:val="28"/>
                <w:szCs w:val="28"/>
              </w:rPr>
            </w:pPr>
            <w:r w:rsidRPr="00925709">
              <w:rPr>
                <w:rFonts w:ascii="Times New Roman" w:eastAsia="Times New Roman" w:hAnsi="Times New Roman" w:cs="Times New Roman"/>
                <w:sz w:val="28"/>
                <w:szCs w:val="28"/>
              </w:rPr>
              <w:t>β</w:t>
            </w:r>
          </w:p>
        </w:tc>
        <w:tc>
          <w:tcPr>
            <w:tcW w:w="1536" w:type="dxa"/>
            <w:noWrap/>
            <w:hideMark/>
          </w:tcPr>
          <w:p w:rsidR="00A569BC" w:rsidRPr="00A569BC" w:rsidRDefault="00A569BC" w:rsidP="00925709">
            <w:pPr>
              <w:jc w:val="center"/>
              <w:cnfStyle w:val="100000000000"/>
              <w:rPr>
                <w:rFonts w:asciiTheme="majorBidi" w:eastAsia="Times New Roman" w:hAnsiTheme="majorBidi" w:cstheme="majorBidi"/>
                <w:sz w:val="24"/>
                <w:szCs w:val="24"/>
                <w:vertAlign w:val="subscript"/>
              </w:rPr>
            </w:pPr>
            <w:r w:rsidRPr="00A569BC">
              <w:rPr>
                <w:rFonts w:asciiTheme="majorBidi" w:eastAsia="Times New Roman" w:hAnsiTheme="majorBidi" w:cstheme="majorBidi"/>
                <w:sz w:val="24"/>
                <w:szCs w:val="24"/>
              </w:rPr>
              <w:t>Calcul du MCR</w:t>
            </w:r>
            <w:r w:rsidRPr="00A569BC">
              <w:rPr>
                <w:rFonts w:asciiTheme="majorBidi" w:eastAsia="Times New Roman" w:hAnsiTheme="majorBidi" w:cstheme="majorBidi"/>
                <w:sz w:val="24"/>
                <w:szCs w:val="24"/>
                <w:vertAlign w:val="subscript"/>
              </w:rPr>
              <w:t>NV</w:t>
            </w:r>
          </w:p>
        </w:tc>
      </w:tr>
      <w:tr w:rsidR="00D752D6" w:rsidRPr="00925709" w:rsidTr="00DF21A3">
        <w:trPr>
          <w:cnfStyle w:val="000000100000"/>
          <w:trHeight w:val="263"/>
        </w:trPr>
        <w:tc>
          <w:tcPr>
            <w:cnfStyle w:val="001000000000"/>
            <w:tcW w:w="3509" w:type="dxa"/>
            <w:vMerge/>
            <w:hideMark/>
          </w:tcPr>
          <w:p w:rsidR="00925709" w:rsidRPr="00925709" w:rsidRDefault="00925709" w:rsidP="00925709">
            <w:pPr>
              <w:rPr>
                <w:rFonts w:ascii="Times New Roman" w:eastAsia="Times New Roman" w:hAnsi="Times New Roman" w:cs="Times New Roman"/>
                <w:b w:val="0"/>
                <w:bCs w:val="0"/>
                <w:sz w:val="28"/>
                <w:szCs w:val="28"/>
              </w:rPr>
            </w:pPr>
          </w:p>
        </w:tc>
        <w:tc>
          <w:tcPr>
            <w:tcW w:w="1426" w:type="dxa"/>
            <w:noWrap/>
            <w:hideMark/>
          </w:tcPr>
          <w:p w:rsidR="00925709" w:rsidRPr="00925709" w:rsidRDefault="00925709" w:rsidP="00925709">
            <w:pPr>
              <w:cnfStyle w:val="000000100000"/>
              <w:rPr>
                <w:rFonts w:ascii="Times New Roman" w:eastAsia="Times New Roman" w:hAnsi="Times New Roman" w:cs="Times New Roman"/>
                <w:sz w:val="20"/>
                <w:szCs w:val="20"/>
              </w:rPr>
            </w:pPr>
          </w:p>
        </w:tc>
        <w:tc>
          <w:tcPr>
            <w:tcW w:w="1247" w:type="dxa"/>
            <w:noWrap/>
            <w:hideMark/>
          </w:tcPr>
          <w:p w:rsidR="00925709" w:rsidRPr="00925709" w:rsidRDefault="00925709" w:rsidP="00925709">
            <w:pPr>
              <w:cnfStyle w:val="000000100000"/>
              <w:rPr>
                <w:rFonts w:ascii="Times New Roman" w:eastAsia="Times New Roman" w:hAnsi="Times New Roman" w:cs="Times New Roman"/>
                <w:sz w:val="20"/>
                <w:szCs w:val="20"/>
              </w:rPr>
            </w:pPr>
          </w:p>
        </w:tc>
        <w:tc>
          <w:tcPr>
            <w:tcW w:w="814" w:type="dxa"/>
            <w:noWrap/>
            <w:hideMark/>
          </w:tcPr>
          <w:p w:rsidR="00925709" w:rsidRPr="00925709" w:rsidRDefault="00925709" w:rsidP="00925709">
            <w:pPr>
              <w:cnfStyle w:val="000000100000"/>
              <w:rPr>
                <w:rFonts w:ascii="Times New Roman" w:eastAsia="Times New Roman" w:hAnsi="Times New Roman" w:cs="Times New Roman"/>
                <w:sz w:val="20"/>
                <w:szCs w:val="20"/>
              </w:rPr>
            </w:pPr>
          </w:p>
        </w:tc>
        <w:tc>
          <w:tcPr>
            <w:tcW w:w="756" w:type="dxa"/>
            <w:noWrap/>
            <w:hideMark/>
          </w:tcPr>
          <w:p w:rsidR="00925709" w:rsidRPr="00925709" w:rsidRDefault="00925709" w:rsidP="00925709">
            <w:pPr>
              <w:cnfStyle w:val="000000100000"/>
              <w:rPr>
                <w:rFonts w:ascii="Times New Roman" w:eastAsia="Times New Roman" w:hAnsi="Times New Roman" w:cs="Times New Roman"/>
                <w:sz w:val="20"/>
                <w:szCs w:val="20"/>
              </w:rPr>
            </w:pPr>
          </w:p>
        </w:tc>
        <w:tc>
          <w:tcPr>
            <w:tcW w:w="1536" w:type="dxa"/>
            <w:hideMark/>
          </w:tcPr>
          <w:p w:rsidR="00925709" w:rsidRPr="00C7604F" w:rsidRDefault="00807C52" w:rsidP="00C7604F">
            <w:pPr>
              <w:ind w:firstLineChars="100" w:firstLine="241"/>
              <w:jc w:val="right"/>
              <w:cnfStyle w:val="000000100000"/>
              <w:rPr>
                <w:rFonts w:ascii="Times New Roman" w:eastAsia="Times New Roman" w:hAnsi="Times New Roman" w:cs="Times New Roman"/>
                <w:b/>
                <w:bCs/>
                <w:i/>
                <w:iCs/>
                <w:sz w:val="24"/>
                <w:szCs w:val="24"/>
              </w:rPr>
            </w:pPr>
            <w:r w:rsidRPr="00C7604F">
              <w:rPr>
                <w:rFonts w:ascii="Times New Roman" w:eastAsia="Times New Roman" w:hAnsi="Times New Roman" w:cs="Times New Roman"/>
                <w:b/>
                <w:bCs/>
                <w:i/>
                <w:iCs/>
                <w:sz w:val="24"/>
                <w:szCs w:val="24"/>
              </w:rPr>
              <w:t>1 877 597</w:t>
            </w:r>
          </w:p>
        </w:tc>
      </w:tr>
      <w:tr w:rsidR="00A569BC" w:rsidRPr="00925709" w:rsidTr="00DF21A3">
        <w:trPr>
          <w:trHeight w:val="296"/>
        </w:trPr>
        <w:tc>
          <w:tcPr>
            <w:cnfStyle w:val="001000000000"/>
            <w:tcW w:w="3509" w:type="dxa"/>
            <w:noWrap/>
            <w:hideMark/>
          </w:tcPr>
          <w:p w:rsidR="00D752D6" w:rsidRPr="00A569BC" w:rsidRDefault="00D752D6" w:rsidP="00925709">
            <w:pPr>
              <w:rPr>
                <w:rFonts w:ascii="Times New Roman" w:eastAsia="Times New Roman" w:hAnsi="Times New Roman" w:cs="Times New Roman"/>
              </w:rPr>
            </w:pPr>
            <w:r w:rsidRPr="00A569BC">
              <w:rPr>
                <w:rFonts w:ascii="Times New Roman" w:eastAsia="Times New Roman" w:hAnsi="Times New Roman" w:cs="Times New Roman"/>
              </w:rPr>
              <w:t xml:space="preserve">RC automobile </w:t>
            </w:r>
          </w:p>
        </w:tc>
        <w:tc>
          <w:tcPr>
            <w:tcW w:w="1426" w:type="dxa"/>
          </w:tcPr>
          <w:p w:rsidR="00D752D6" w:rsidRPr="00925709" w:rsidRDefault="005339AD" w:rsidP="00D752D6">
            <w:pPr>
              <w:jc w:val="cente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982 033</w:t>
            </w:r>
          </w:p>
        </w:tc>
        <w:tc>
          <w:tcPr>
            <w:tcW w:w="1247" w:type="dxa"/>
            <w:noWrap/>
            <w:hideMark/>
          </w:tcPr>
          <w:p w:rsidR="00D752D6" w:rsidRPr="00925709" w:rsidRDefault="00D752D6" w:rsidP="00925709">
            <w:pPr>
              <w:jc w:val="right"/>
              <w:cnfStyle w:val="000000000000"/>
              <w:rPr>
                <w:rFonts w:ascii="Times New Roman" w:eastAsia="Times New Roman" w:hAnsi="Times New Roman" w:cs="Times New Roman"/>
                <w:sz w:val="24"/>
                <w:szCs w:val="24"/>
              </w:rPr>
            </w:pPr>
            <w:r w:rsidRPr="00925709">
              <w:rPr>
                <w:rFonts w:ascii="Times New Roman" w:eastAsia="Times New Roman" w:hAnsi="Times New Roman" w:cs="Times New Roman"/>
                <w:sz w:val="24"/>
                <w:szCs w:val="24"/>
              </w:rPr>
              <w:t>1 048 686</w:t>
            </w:r>
          </w:p>
        </w:tc>
        <w:tc>
          <w:tcPr>
            <w:tcW w:w="814" w:type="dxa"/>
            <w:noWrap/>
            <w:hideMark/>
          </w:tcPr>
          <w:p w:rsidR="00D752D6" w:rsidRPr="00925709" w:rsidRDefault="00D752D6" w:rsidP="00925709">
            <w:pPr>
              <w:jc w:val="center"/>
              <w:cnfStyle w:val="000000000000"/>
              <w:rPr>
                <w:rFonts w:ascii="Times New Roman" w:eastAsia="Times New Roman" w:hAnsi="Times New Roman" w:cs="Times New Roman"/>
                <w:i/>
                <w:iCs/>
                <w:sz w:val="24"/>
                <w:szCs w:val="24"/>
              </w:rPr>
            </w:pPr>
            <w:r w:rsidRPr="00925709">
              <w:rPr>
                <w:rFonts w:ascii="Times New Roman" w:eastAsia="Times New Roman" w:hAnsi="Times New Roman" w:cs="Times New Roman"/>
                <w:i/>
                <w:iCs/>
                <w:sz w:val="24"/>
                <w:szCs w:val="24"/>
              </w:rPr>
              <w:t>12%</w:t>
            </w:r>
          </w:p>
        </w:tc>
        <w:tc>
          <w:tcPr>
            <w:tcW w:w="756" w:type="dxa"/>
            <w:noWrap/>
            <w:hideMark/>
          </w:tcPr>
          <w:p w:rsidR="00D752D6" w:rsidRPr="00925709" w:rsidRDefault="00D752D6" w:rsidP="00925709">
            <w:pPr>
              <w:jc w:val="center"/>
              <w:cnfStyle w:val="000000000000"/>
              <w:rPr>
                <w:rFonts w:ascii="Times New Roman" w:eastAsia="Times New Roman" w:hAnsi="Times New Roman" w:cs="Times New Roman"/>
                <w:i/>
                <w:iCs/>
                <w:sz w:val="24"/>
                <w:szCs w:val="24"/>
              </w:rPr>
            </w:pPr>
            <w:r w:rsidRPr="00925709">
              <w:rPr>
                <w:rFonts w:ascii="Times New Roman" w:eastAsia="Times New Roman" w:hAnsi="Times New Roman" w:cs="Times New Roman"/>
                <w:i/>
                <w:iCs/>
                <w:sz w:val="24"/>
                <w:szCs w:val="24"/>
              </w:rPr>
              <w:t>13%</w:t>
            </w:r>
          </w:p>
        </w:tc>
        <w:tc>
          <w:tcPr>
            <w:tcW w:w="1536" w:type="dxa"/>
            <w:noWrap/>
            <w:hideMark/>
          </w:tcPr>
          <w:p w:rsidR="00D752D6" w:rsidRPr="00925709" w:rsidRDefault="00D752D6" w:rsidP="00925709">
            <w:pPr>
              <w:jc w:val="right"/>
              <w:cnfStyle w:val="000000000000"/>
              <w:rPr>
                <w:rFonts w:ascii="Times New Roman" w:eastAsia="Times New Roman" w:hAnsi="Times New Roman" w:cs="Times New Roman"/>
                <w:sz w:val="24"/>
                <w:szCs w:val="24"/>
              </w:rPr>
            </w:pPr>
            <w:r w:rsidRPr="00925709">
              <w:rPr>
                <w:rFonts w:ascii="Times New Roman" w:eastAsia="Times New Roman" w:hAnsi="Times New Roman" w:cs="Times New Roman"/>
                <w:sz w:val="24"/>
                <w:szCs w:val="24"/>
              </w:rPr>
              <w:t>136 329</w:t>
            </w:r>
          </w:p>
        </w:tc>
      </w:tr>
      <w:tr w:rsidR="00A569BC" w:rsidRPr="00925709" w:rsidTr="00DF21A3">
        <w:trPr>
          <w:cnfStyle w:val="000000100000"/>
          <w:trHeight w:val="376"/>
        </w:trPr>
        <w:tc>
          <w:tcPr>
            <w:cnfStyle w:val="001000000000"/>
            <w:tcW w:w="3509" w:type="dxa"/>
            <w:noWrap/>
            <w:hideMark/>
          </w:tcPr>
          <w:p w:rsidR="00D752D6" w:rsidRPr="00A569BC" w:rsidRDefault="00D752D6" w:rsidP="00925709">
            <w:pPr>
              <w:rPr>
                <w:rFonts w:ascii="Times New Roman" w:eastAsia="Times New Roman" w:hAnsi="Times New Roman" w:cs="Times New Roman"/>
              </w:rPr>
            </w:pPr>
            <w:r w:rsidRPr="00A569BC">
              <w:rPr>
                <w:rFonts w:ascii="Times New Roman" w:eastAsia="Times New Roman" w:hAnsi="Times New Roman" w:cs="Times New Roman"/>
              </w:rPr>
              <w:t xml:space="preserve">Corps de véhicule terrestres </w:t>
            </w:r>
          </w:p>
        </w:tc>
        <w:tc>
          <w:tcPr>
            <w:tcW w:w="1426" w:type="dxa"/>
          </w:tcPr>
          <w:p w:rsidR="00D752D6" w:rsidRPr="00925709" w:rsidRDefault="005339AD" w:rsidP="00D752D6">
            <w:pPr>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7272B">
              <w:rPr>
                <w:rFonts w:ascii="Times New Roman" w:eastAsia="Times New Roman" w:hAnsi="Times New Roman" w:cs="Times New Roman"/>
                <w:sz w:val="24"/>
                <w:szCs w:val="24"/>
              </w:rPr>
              <w:t> </w:t>
            </w:r>
            <w:r>
              <w:rPr>
                <w:rFonts w:ascii="Times New Roman" w:eastAsia="Times New Roman" w:hAnsi="Times New Roman" w:cs="Times New Roman"/>
                <w:sz w:val="24"/>
                <w:szCs w:val="24"/>
              </w:rPr>
              <w:t>949</w:t>
            </w:r>
            <w:r w:rsidR="00C7272B">
              <w:rPr>
                <w:rFonts w:ascii="Times New Roman" w:eastAsia="Times New Roman" w:hAnsi="Times New Roman" w:cs="Times New Roman"/>
                <w:sz w:val="24"/>
                <w:szCs w:val="24"/>
              </w:rPr>
              <w:t xml:space="preserve"> 143</w:t>
            </w:r>
          </w:p>
        </w:tc>
        <w:tc>
          <w:tcPr>
            <w:tcW w:w="1247" w:type="dxa"/>
            <w:noWrap/>
            <w:hideMark/>
          </w:tcPr>
          <w:p w:rsidR="00D752D6" w:rsidRPr="00925709" w:rsidRDefault="00D752D6" w:rsidP="00925709">
            <w:pPr>
              <w:jc w:val="right"/>
              <w:cnfStyle w:val="000000100000"/>
              <w:rPr>
                <w:rFonts w:ascii="Times New Roman" w:eastAsia="Times New Roman" w:hAnsi="Times New Roman" w:cs="Times New Roman"/>
                <w:sz w:val="24"/>
                <w:szCs w:val="24"/>
              </w:rPr>
            </w:pPr>
            <w:r w:rsidRPr="00925709">
              <w:rPr>
                <w:rFonts w:ascii="Times New Roman" w:eastAsia="Times New Roman" w:hAnsi="Times New Roman" w:cs="Times New Roman"/>
                <w:sz w:val="24"/>
                <w:szCs w:val="24"/>
              </w:rPr>
              <w:t>3 937 438</w:t>
            </w:r>
          </w:p>
        </w:tc>
        <w:tc>
          <w:tcPr>
            <w:tcW w:w="814" w:type="dxa"/>
            <w:noWrap/>
            <w:hideMark/>
          </w:tcPr>
          <w:p w:rsidR="00D752D6" w:rsidRPr="00925709" w:rsidRDefault="00D752D6" w:rsidP="00925709">
            <w:pPr>
              <w:jc w:val="center"/>
              <w:cnfStyle w:val="000000100000"/>
              <w:rPr>
                <w:rFonts w:ascii="Times New Roman" w:eastAsia="Times New Roman" w:hAnsi="Times New Roman" w:cs="Times New Roman"/>
                <w:i/>
                <w:iCs/>
                <w:sz w:val="24"/>
                <w:szCs w:val="24"/>
              </w:rPr>
            </w:pPr>
            <w:r w:rsidRPr="00925709">
              <w:rPr>
                <w:rFonts w:ascii="Times New Roman" w:eastAsia="Times New Roman" w:hAnsi="Times New Roman" w:cs="Times New Roman"/>
                <w:i/>
                <w:iCs/>
                <w:sz w:val="24"/>
                <w:szCs w:val="24"/>
              </w:rPr>
              <w:t>13%</w:t>
            </w:r>
          </w:p>
        </w:tc>
        <w:tc>
          <w:tcPr>
            <w:tcW w:w="756" w:type="dxa"/>
            <w:noWrap/>
            <w:hideMark/>
          </w:tcPr>
          <w:p w:rsidR="00D752D6" w:rsidRPr="00925709" w:rsidRDefault="00D752D6" w:rsidP="00925709">
            <w:pPr>
              <w:jc w:val="center"/>
              <w:cnfStyle w:val="000000100000"/>
              <w:rPr>
                <w:rFonts w:ascii="Times New Roman" w:eastAsia="Times New Roman" w:hAnsi="Times New Roman" w:cs="Times New Roman"/>
                <w:i/>
                <w:iCs/>
                <w:sz w:val="24"/>
                <w:szCs w:val="24"/>
              </w:rPr>
            </w:pPr>
            <w:r w:rsidRPr="00925709">
              <w:rPr>
                <w:rFonts w:ascii="Times New Roman" w:eastAsia="Times New Roman" w:hAnsi="Times New Roman" w:cs="Times New Roman"/>
                <w:i/>
                <w:iCs/>
                <w:sz w:val="24"/>
                <w:szCs w:val="24"/>
              </w:rPr>
              <w:t>9%</w:t>
            </w:r>
          </w:p>
        </w:tc>
        <w:tc>
          <w:tcPr>
            <w:tcW w:w="1536" w:type="dxa"/>
            <w:noWrap/>
            <w:hideMark/>
          </w:tcPr>
          <w:p w:rsidR="00D752D6" w:rsidRPr="00925709" w:rsidRDefault="00D752D6" w:rsidP="00925709">
            <w:pPr>
              <w:jc w:val="right"/>
              <w:cnfStyle w:val="000000100000"/>
              <w:rPr>
                <w:rFonts w:ascii="Times New Roman" w:eastAsia="Times New Roman" w:hAnsi="Times New Roman" w:cs="Times New Roman"/>
                <w:sz w:val="24"/>
                <w:szCs w:val="24"/>
              </w:rPr>
            </w:pPr>
            <w:r w:rsidRPr="00925709">
              <w:rPr>
                <w:rFonts w:ascii="Times New Roman" w:eastAsia="Times New Roman" w:hAnsi="Times New Roman" w:cs="Times New Roman"/>
                <w:sz w:val="24"/>
                <w:szCs w:val="24"/>
              </w:rPr>
              <w:t>419 571</w:t>
            </w:r>
          </w:p>
        </w:tc>
      </w:tr>
      <w:tr w:rsidR="00A569BC" w:rsidRPr="00925709" w:rsidTr="00DF21A3">
        <w:trPr>
          <w:trHeight w:val="296"/>
        </w:trPr>
        <w:tc>
          <w:tcPr>
            <w:cnfStyle w:val="001000000000"/>
            <w:tcW w:w="3509" w:type="dxa"/>
            <w:noWrap/>
            <w:hideMark/>
          </w:tcPr>
          <w:p w:rsidR="00D752D6" w:rsidRPr="00A569BC" w:rsidRDefault="00D752D6" w:rsidP="00925709">
            <w:pPr>
              <w:rPr>
                <w:rFonts w:ascii="Times New Roman" w:eastAsia="Times New Roman" w:hAnsi="Times New Roman" w:cs="Times New Roman"/>
              </w:rPr>
            </w:pPr>
            <w:r w:rsidRPr="00A569BC">
              <w:rPr>
                <w:rFonts w:ascii="Times New Roman" w:eastAsia="Times New Roman" w:hAnsi="Times New Roman" w:cs="Times New Roman"/>
              </w:rPr>
              <w:t>transports</w:t>
            </w:r>
          </w:p>
        </w:tc>
        <w:tc>
          <w:tcPr>
            <w:tcW w:w="1426" w:type="dxa"/>
          </w:tcPr>
          <w:p w:rsidR="00D752D6" w:rsidRPr="00925709" w:rsidRDefault="00C7272B" w:rsidP="00D752D6">
            <w:pPr>
              <w:jc w:val="cente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399 478</w:t>
            </w:r>
          </w:p>
        </w:tc>
        <w:tc>
          <w:tcPr>
            <w:tcW w:w="1247" w:type="dxa"/>
            <w:noWrap/>
            <w:hideMark/>
          </w:tcPr>
          <w:p w:rsidR="00D752D6" w:rsidRPr="00925709" w:rsidRDefault="00D752D6" w:rsidP="00925709">
            <w:pPr>
              <w:jc w:val="right"/>
              <w:cnfStyle w:val="000000000000"/>
              <w:rPr>
                <w:rFonts w:ascii="Times New Roman" w:eastAsia="Times New Roman" w:hAnsi="Times New Roman" w:cs="Times New Roman"/>
                <w:sz w:val="24"/>
                <w:szCs w:val="24"/>
              </w:rPr>
            </w:pPr>
            <w:r w:rsidRPr="00925709">
              <w:rPr>
                <w:rFonts w:ascii="Times New Roman" w:eastAsia="Times New Roman" w:hAnsi="Times New Roman" w:cs="Times New Roman"/>
                <w:sz w:val="24"/>
                <w:szCs w:val="24"/>
              </w:rPr>
              <w:t>559 745</w:t>
            </w:r>
          </w:p>
        </w:tc>
        <w:tc>
          <w:tcPr>
            <w:tcW w:w="814" w:type="dxa"/>
            <w:noWrap/>
            <w:hideMark/>
          </w:tcPr>
          <w:p w:rsidR="00D752D6" w:rsidRPr="00925709" w:rsidRDefault="00D752D6" w:rsidP="00925709">
            <w:pPr>
              <w:jc w:val="center"/>
              <w:cnfStyle w:val="000000000000"/>
              <w:rPr>
                <w:rFonts w:ascii="Times New Roman" w:eastAsia="Times New Roman" w:hAnsi="Times New Roman" w:cs="Times New Roman"/>
                <w:i/>
                <w:iCs/>
                <w:sz w:val="24"/>
                <w:szCs w:val="24"/>
              </w:rPr>
            </w:pPr>
            <w:r w:rsidRPr="00925709">
              <w:rPr>
                <w:rFonts w:ascii="Times New Roman" w:eastAsia="Times New Roman" w:hAnsi="Times New Roman" w:cs="Times New Roman"/>
                <w:i/>
                <w:iCs/>
                <w:sz w:val="24"/>
                <w:szCs w:val="24"/>
              </w:rPr>
              <w:t>18%</w:t>
            </w:r>
          </w:p>
        </w:tc>
        <w:tc>
          <w:tcPr>
            <w:tcW w:w="756" w:type="dxa"/>
            <w:noWrap/>
            <w:hideMark/>
          </w:tcPr>
          <w:p w:rsidR="00D752D6" w:rsidRPr="00925709" w:rsidRDefault="00D752D6" w:rsidP="00925709">
            <w:pPr>
              <w:jc w:val="center"/>
              <w:cnfStyle w:val="000000000000"/>
              <w:rPr>
                <w:rFonts w:ascii="Times New Roman" w:eastAsia="Times New Roman" w:hAnsi="Times New Roman" w:cs="Times New Roman"/>
                <w:i/>
                <w:iCs/>
                <w:sz w:val="24"/>
                <w:szCs w:val="24"/>
              </w:rPr>
            </w:pPr>
            <w:r w:rsidRPr="00925709">
              <w:rPr>
                <w:rFonts w:ascii="Times New Roman" w:eastAsia="Times New Roman" w:hAnsi="Times New Roman" w:cs="Times New Roman"/>
                <w:i/>
                <w:iCs/>
                <w:sz w:val="24"/>
                <w:szCs w:val="24"/>
              </w:rPr>
              <w:t>22%</w:t>
            </w:r>
          </w:p>
        </w:tc>
        <w:tc>
          <w:tcPr>
            <w:tcW w:w="1536" w:type="dxa"/>
            <w:noWrap/>
            <w:hideMark/>
          </w:tcPr>
          <w:p w:rsidR="00D752D6" w:rsidRPr="00925709" w:rsidRDefault="00D752D6" w:rsidP="00925709">
            <w:pPr>
              <w:jc w:val="right"/>
              <w:cnfStyle w:val="000000000000"/>
              <w:rPr>
                <w:rFonts w:ascii="Times New Roman" w:eastAsia="Times New Roman" w:hAnsi="Times New Roman" w:cs="Times New Roman"/>
                <w:sz w:val="24"/>
                <w:szCs w:val="24"/>
              </w:rPr>
            </w:pPr>
            <w:r w:rsidRPr="00925709">
              <w:rPr>
                <w:rFonts w:ascii="Times New Roman" w:eastAsia="Times New Roman" w:hAnsi="Times New Roman" w:cs="Times New Roman"/>
                <w:sz w:val="24"/>
                <w:szCs w:val="24"/>
              </w:rPr>
              <w:t>123 144</w:t>
            </w:r>
          </w:p>
        </w:tc>
      </w:tr>
      <w:tr w:rsidR="00A569BC" w:rsidRPr="00925709" w:rsidTr="00DF21A3">
        <w:trPr>
          <w:cnfStyle w:val="000000100000"/>
          <w:trHeight w:val="296"/>
        </w:trPr>
        <w:tc>
          <w:tcPr>
            <w:cnfStyle w:val="001000000000"/>
            <w:tcW w:w="3509" w:type="dxa"/>
            <w:noWrap/>
            <w:hideMark/>
          </w:tcPr>
          <w:p w:rsidR="00D752D6" w:rsidRPr="00A569BC" w:rsidRDefault="00D752D6" w:rsidP="00925709">
            <w:pPr>
              <w:rPr>
                <w:rFonts w:ascii="Times New Roman" w:eastAsia="Times New Roman" w:hAnsi="Times New Roman" w:cs="Times New Roman"/>
              </w:rPr>
            </w:pPr>
            <w:r w:rsidRPr="00A569BC">
              <w:rPr>
                <w:rFonts w:ascii="Times New Roman" w:eastAsia="Times New Roman" w:hAnsi="Times New Roman" w:cs="Times New Roman"/>
              </w:rPr>
              <w:t>Incendie et autres dommages aux biens</w:t>
            </w:r>
          </w:p>
        </w:tc>
        <w:tc>
          <w:tcPr>
            <w:tcW w:w="1426" w:type="dxa"/>
          </w:tcPr>
          <w:p w:rsidR="00D752D6" w:rsidRPr="00925709" w:rsidRDefault="00C7272B" w:rsidP="00D752D6">
            <w:pPr>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2 041 861</w:t>
            </w:r>
          </w:p>
        </w:tc>
        <w:tc>
          <w:tcPr>
            <w:tcW w:w="1247" w:type="dxa"/>
            <w:noWrap/>
            <w:hideMark/>
          </w:tcPr>
          <w:p w:rsidR="00D752D6" w:rsidRPr="00925709" w:rsidRDefault="00D752D6" w:rsidP="00925709">
            <w:pPr>
              <w:jc w:val="right"/>
              <w:cnfStyle w:val="000000100000"/>
              <w:rPr>
                <w:rFonts w:ascii="Times New Roman" w:eastAsia="Times New Roman" w:hAnsi="Times New Roman" w:cs="Times New Roman"/>
                <w:sz w:val="24"/>
                <w:szCs w:val="24"/>
              </w:rPr>
            </w:pPr>
            <w:r w:rsidRPr="00925709">
              <w:rPr>
                <w:rFonts w:ascii="Times New Roman" w:eastAsia="Times New Roman" w:hAnsi="Times New Roman" w:cs="Times New Roman"/>
                <w:sz w:val="24"/>
                <w:szCs w:val="24"/>
              </w:rPr>
              <w:t>6 539 210</w:t>
            </w:r>
          </w:p>
        </w:tc>
        <w:tc>
          <w:tcPr>
            <w:tcW w:w="814" w:type="dxa"/>
            <w:noWrap/>
            <w:hideMark/>
          </w:tcPr>
          <w:p w:rsidR="00D752D6" w:rsidRPr="00925709" w:rsidRDefault="00D752D6" w:rsidP="00925709">
            <w:pPr>
              <w:jc w:val="center"/>
              <w:cnfStyle w:val="000000100000"/>
              <w:rPr>
                <w:rFonts w:ascii="Times New Roman" w:eastAsia="Times New Roman" w:hAnsi="Times New Roman" w:cs="Times New Roman"/>
                <w:i/>
                <w:iCs/>
                <w:sz w:val="24"/>
                <w:szCs w:val="24"/>
              </w:rPr>
            </w:pPr>
            <w:r w:rsidRPr="00925709">
              <w:rPr>
                <w:rFonts w:ascii="Times New Roman" w:eastAsia="Times New Roman" w:hAnsi="Times New Roman" w:cs="Times New Roman"/>
                <w:i/>
                <w:iCs/>
                <w:sz w:val="24"/>
                <w:szCs w:val="24"/>
              </w:rPr>
              <w:t>14%</w:t>
            </w:r>
          </w:p>
        </w:tc>
        <w:tc>
          <w:tcPr>
            <w:tcW w:w="756" w:type="dxa"/>
            <w:noWrap/>
            <w:hideMark/>
          </w:tcPr>
          <w:p w:rsidR="00D752D6" w:rsidRPr="00925709" w:rsidRDefault="00D752D6" w:rsidP="00925709">
            <w:pPr>
              <w:jc w:val="center"/>
              <w:cnfStyle w:val="000000100000"/>
              <w:rPr>
                <w:rFonts w:ascii="Times New Roman" w:eastAsia="Times New Roman" w:hAnsi="Times New Roman" w:cs="Times New Roman"/>
                <w:i/>
                <w:iCs/>
                <w:sz w:val="24"/>
                <w:szCs w:val="24"/>
              </w:rPr>
            </w:pPr>
            <w:r w:rsidRPr="00925709">
              <w:rPr>
                <w:rFonts w:ascii="Times New Roman" w:eastAsia="Times New Roman" w:hAnsi="Times New Roman" w:cs="Times New Roman"/>
                <w:i/>
                <w:iCs/>
                <w:sz w:val="24"/>
                <w:szCs w:val="24"/>
              </w:rPr>
              <w:t>13%</w:t>
            </w:r>
          </w:p>
        </w:tc>
        <w:tc>
          <w:tcPr>
            <w:tcW w:w="1536" w:type="dxa"/>
            <w:noWrap/>
            <w:hideMark/>
          </w:tcPr>
          <w:p w:rsidR="00D752D6" w:rsidRPr="00925709" w:rsidRDefault="00D752D6" w:rsidP="00925709">
            <w:pPr>
              <w:jc w:val="right"/>
              <w:cnfStyle w:val="000000100000"/>
              <w:rPr>
                <w:rFonts w:ascii="Times New Roman" w:eastAsia="Times New Roman" w:hAnsi="Times New Roman" w:cs="Times New Roman"/>
                <w:sz w:val="24"/>
                <w:szCs w:val="24"/>
              </w:rPr>
            </w:pPr>
            <w:r w:rsidRPr="00925709">
              <w:rPr>
                <w:rFonts w:ascii="Times New Roman" w:eastAsia="Times New Roman" w:hAnsi="Times New Roman" w:cs="Times New Roman"/>
                <w:sz w:val="24"/>
                <w:szCs w:val="24"/>
              </w:rPr>
              <w:t>850 097</w:t>
            </w:r>
          </w:p>
        </w:tc>
      </w:tr>
      <w:tr w:rsidR="00A569BC" w:rsidRPr="00925709" w:rsidTr="00DF21A3">
        <w:trPr>
          <w:trHeight w:val="296"/>
        </w:trPr>
        <w:tc>
          <w:tcPr>
            <w:cnfStyle w:val="001000000000"/>
            <w:tcW w:w="3509" w:type="dxa"/>
            <w:noWrap/>
            <w:hideMark/>
          </w:tcPr>
          <w:p w:rsidR="00D752D6" w:rsidRPr="00A569BC" w:rsidRDefault="00D752D6" w:rsidP="00925709">
            <w:pPr>
              <w:rPr>
                <w:rFonts w:ascii="Times New Roman" w:eastAsia="Times New Roman" w:hAnsi="Times New Roman" w:cs="Times New Roman"/>
              </w:rPr>
            </w:pPr>
            <w:r w:rsidRPr="00A569BC">
              <w:rPr>
                <w:rFonts w:ascii="Times New Roman" w:eastAsia="Times New Roman" w:hAnsi="Times New Roman" w:cs="Times New Roman"/>
              </w:rPr>
              <w:t xml:space="preserve">RC générale </w:t>
            </w:r>
          </w:p>
        </w:tc>
        <w:tc>
          <w:tcPr>
            <w:tcW w:w="1426" w:type="dxa"/>
          </w:tcPr>
          <w:p w:rsidR="00D752D6" w:rsidRPr="00C7272B" w:rsidRDefault="00C7272B" w:rsidP="00C7272B">
            <w:pPr>
              <w:pStyle w:val="Paragraphedeliste"/>
              <w:numPr>
                <w:ilvl w:val="0"/>
                <w:numId w:val="4"/>
              </w:numPr>
              <w:jc w:val="cente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258 607</w:t>
            </w:r>
          </w:p>
        </w:tc>
        <w:tc>
          <w:tcPr>
            <w:tcW w:w="1247" w:type="dxa"/>
            <w:noWrap/>
            <w:hideMark/>
          </w:tcPr>
          <w:p w:rsidR="00D752D6" w:rsidRPr="00925709" w:rsidRDefault="00D752D6" w:rsidP="00925709">
            <w:pPr>
              <w:jc w:val="right"/>
              <w:cnfStyle w:val="000000000000"/>
              <w:rPr>
                <w:rFonts w:ascii="Times New Roman" w:eastAsia="Times New Roman" w:hAnsi="Times New Roman" w:cs="Times New Roman"/>
                <w:sz w:val="24"/>
                <w:szCs w:val="24"/>
              </w:rPr>
            </w:pPr>
            <w:r w:rsidRPr="00925709">
              <w:rPr>
                <w:rFonts w:ascii="Times New Roman" w:eastAsia="Times New Roman" w:hAnsi="Times New Roman" w:cs="Times New Roman"/>
                <w:sz w:val="24"/>
                <w:szCs w:val="24"/>
              </w:rPr>
              <w:t>764 965</w:t>
            </w:r>
          </w:p>
        </w:tc>
        <w:tc>
          <w:tcPr>
            <w:tcW w:w="814" w:type="dxa"/>
            <w:noWrap/>
            <w:hideMark/>
          </w:tcPr>
          <w:p w:rsidR="00D752D6" w:rsidRPr="00925709" w:rsidRDefault="00D752D6" w:rsidP="00925709">
            <w:pPr>
              <w:jc w:val="center"/>
              <w:cnfStyle w:val="000000000000"/>
              <w:rPr>
                <w:rFonts w:ascii="Times New Roman" w:eastAsia="Times New Roman" w:hAnsi="Times New Roman" w:cs="Times New Roman"/>
                <w:i/>
                <w:iCs/>
                <w:sz w:val="24"/>
                <w:szCs w:val="24"/>
              </w:rPr>
            </w:pPr>
            <w:r w:rsidRPr="00925709">
              <w:rPr>
                <w:rFonts w:ascii="Times New Roman" w:eastAsia="Times New Roman" w:hAnsi="Times New Roman" w:cs="Times New Roman"/>
                <w:i/>
                <w:iCs/>
                <w:sz w:val="24"/>
                <w:szCs w:val="24"/>
              </w:rPr>
              <w:t>14%</w:t>
            </w:r>
          </w:p>
        </w:tc>
        <w:tc>
          <w:tcPr>
            <w:tcW w:w="756" w:type="dxa"/>
            <w:noWrap/>
            <w:hideMark/>
          </w:tcPr>
          <w:p w:rsidR="00D752D6" w:rsidRPr="00925709" w:rsidRDefault="00D752D6" w:rsidP="00925709">
            <w:pPr>
              <w:jc w:val="center"/>
              <w:cnfStyle w:val="000000000000"/>
              <w:rPr>
                <w:rFonts w:ascii="Times New Roman" w:eastAsia="Times New Roman" w:hAnsi="Times New Roman" w:cs="Times New Roman"/>
                <w:i/>
                <w:iCs/>
                <w:sz w:val="24"/>
                <w:szCs w:val="24"/>
              </w:rPr>
            </w:pPr>
            <w:r w:rsidRPr="00925709">
              <w:rPr>
                <w:rFonts w:ascii="Times New Roman" w:eastAsia="Times New Roman" w:hAnsi="Times New Roman" w:cs="Times New Roman"/>
                <w:i/>
                <w:iCs/>
                <w:sz w:val="24"/>
                <w:szCs w:val="24"/>
              </w:rPr>
              <w:t>20%</w:t>
            </w:r>
          </w:p>
        </w:tc>
        <w:tc>
          <w:tcPr>
            <w:tcW w:w="1536" w:type="dxa"/>
            <w:noWrap/>
            <w:hideMark/>
          </w:tcPr>
          <w:p w:rsidR="00D752D6" w:rsidRPr="00925709" w:rsidRDefault="00D752D6" w:rsidP="00925709">
            <w:pPr>
              <w:jc w:val="right"/>
              <w:cnfStyle w:val="000000000000"/>
              <w:rPr>
                <w:rFonts w:ascii="Times New Roman" w:eastAsia="Times New Roman" w:hAnsi="Times New Roman" w:cs="Times New Roman"/>
                <w:sz w:val="24"/>
                <w:szCs w:val="24"/>
              </w:rPr>
            </w:pPr>
            <w:r w:rsidRPr="00925709">
              <w:rPr>
                <w:rFonts w:ascii="Times New Roman" w:eastAsia="Times New Roman" w:hAnsi="Times New Roman" w:cs="Times New Roman"/>
                <w:sz w:val="24"/>
                <w:szCs w:val="24"/>
              </w:rPr>
              <w:t>152 993</w:t>
            </w:r>
          </w:p>
        </w:tc>
      </w:tr>
      <w:tr w:rsidR="00A569BC" w:rsidRPr="00925709" w:rsidTr="00DF21A3">
        <w:trPr>
          <w:cnfStyle w:val="000000100000"/>
          <w:trHeight w:val="296"/>
        </w:trPr>
        <w:tc>
          <w:tcPr>
            <w:cnfStyle w:val="001000000000"/>
            <w:tcW w:w="3509" w:type="dxa"/>
            <w:noWrap/>
            <w:hideMark/>
          </w:tcPr>
          <w:p w:rsidR="00D752D6" w:rsidRPr="00A569BC" w:rsidRDefault="00D752D6" w:rsidP="00925709">
            <w:pPr>
              <w:rPr>
                <w:rFonts w:ascii="Times New Roman" w:eastAsia="Times New Roman" w:hAnsi="Times New Roman" w:cs="Times New Roman"/>
              </w:rPr>
            </w:pPr>
            <w:r w:rsidRPr="00A569BC">
              <w:rPr>
                <w:rFonts w:ascii="Times New Roman" w:eastAsia="Times New Roman" w:hAnsi="Times New Roman" w:cs="Times New Roman"/>
              </w:rPr>
              <w:t xml:space="preserve">Crédit </w:t>
            </w:r>
          </w:p>
        </w:tc>
        <w:tc>
          <w:tcPr>
            <w:tcW w:w="1426" w:type="dxa"/>
          </w:tcPr>
          <w:p w:rsidR="00D752D6" w:rsidRPr="00925709" w:rsidRDefault="00C7272B" w:rsidP="00D752D6">
            <w:pPr>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406 581</w:t>
            </w:r>
          </w:p>
        </w:tc>
        <w:tc>
          <w:tcPr>
            <w:tcW w:w="1247" w:type="dxa"/>
            <w:noWrap/>
            <w:hideMark/>
          </w:tcPr>
          <w:p w:rsidR="00D752D6" w:rsidRPr="00925709" w:rsidRDefault="00D752D6" w:rsidP="00925709">
            <w:pPr>
              <w:jc w:val="right"/>
              <w:cnfStyle w:val="000000100000"/>
              <w:rPr>
                <w:rFonts w:ascii="Times New Roman" w:eastAsia="Times New Roman" w:hAnsi="Times New Roman" w:cs="Times New Roman"/>
                <w:sz w:val="24"/>
                <w:szCs w:val="24"/>
              </w:rPr>
            </w:pPr>
            <w:r w:rsidRPr="00925709">
              <w:rPr>
                <w:rFonts w:ascii="Times New Roman" w:eastAsia="Times New Roman" w:hAnsi="Times New Roman" w:cs="Times New Roman"/>
                <w:sz w:val="24"/>
                <w:szCs w:val="24"/>
              </w:rPr>
              <w:t>12 151</w:t>
            </w:r>
          </w:p>
        </w:tc>
        <w:tc>
          <w:tcPr>
            <w:tcW w:w="814" w:type="dxa"/>
            <w:noWrap/>
            <w:hideMark/>
          </w:tcPr>
          <w:p w:rsidR="00D752D6" w:rsidRPr="00925709" w:rsidRDefault="00D752D6" w:rsidP="00925709">
            <w:pPr>
              <w:jc w:val="center"/>
              <w:cnfStyle w:val="000000100000"/>
              <w:rPr>
                <w:rFonts w:ascii="Times New Roman" w:eastAsia="Times New Roman" w:hAnsi="Times New Roman" w:cs="Times New Roman"/>
                <w:i/>
                <w:iCs/>
                <w:sz w:val="24"/>
                <w:szCs w:val="24"/>
              </w:rPr>
            </w:pPr>
            <w:r w:rsidRPr="00925709">
              <w:rPr>
                <w:rFonts w:ascii="Times New Roman" w:eastAsia="Times New Roman" w:hAnsi="Times New Roman" w:cs="Times New Roman"/>
                <w:i/>
                <w:iCs/>
                <w:sz w:val="24"/>
                <w:szCs w:val="24"/>
              </w:rPr>
              <w:t>25%</w:t>
            </w:r>
          </w:p>
        </w:tc>
        <w:tc>
          <w:tcPr>
            <w:tcW w:w="756" w:type="dxa"/>
            <w:noWrap/>
            <w:hideMark/>
          </w:tcPr>
          <w:p w:rsidR="00D752D6" w:rsidRPr="00925709" w:rsidRDefault="00D752D6" w:rsidP="00925709">
            <w:pPr>
              <w:jc w:val="center"/>
              <w:cnfStyle w:val="000000100000"/>
              <w:rPr>
                <w:rFonts w:ascii="Times New Roman" w:eastAsia="Times New Roman" w:hAnsi="Times New Roman" w:cs="Times New Roman"/>
                <w:i/>
                <w:iCs/>
                <w:sz w:val="24"/>
                <w:szCs w:val="24"/>
              </w:rPr>
            </w:pPr>
            <w:r w:rsidRPr="00925709">
              <w:rPr>
                <w:rFonts w:ascii="Times New Roman" w:eastAsia="Times New Roman" w:hAnsi="Times New Roman" w:cs="Times New Roman"/>
                <w:i/>
                <w:iCs/>
                <w:sz w:val="24"/>
                <w:szCs w:val="24"/>
              </w:rPr>
              <w:t>28%</w:t>
            </w:r>
          </w:p>
        </w:tc>
        <w:tc>
          <w:tcPr>
            <w:tcW w:w="1536" w:type="dxa"/>
            <w:noWrap/>
            <w:hideMark/>
          </w:tcPr>
          <w:p w:rsidR="00D752D6" w:rsidRPr="00F12BAC" w:rsidRDefault="00D752D6" w:rsidP="00F12BAC">
            <w:pPr>
              <w:pStyle w:val="Paragraphedeliste"/>
              <w:numPr>
                <w:ilvl w:val="0"/>
                <w:numId w:val="14"/>
              </w:numPr>
              <w:jc w:val="right"/>
              <w:cnfStyle w:val="000000100000"/>
              <w:rPr>
                <w:rFonts w:ascii="Times New Roman" w:eastAsia="Times New Roman" w:hAnsi="Times New Roman" w:cs="Times New Roman"/>
                <w:sz w:val="24"/>
                <w:szCs w:val="24"/>
              </w:rPr>
            </w:pPr>
            <w:r w:rsidRPr="00F12BAC">
              <w:rPr>
                <w:rFonts w:ascii="Times New Roman" w:eastAsia="Times New Roman" w:hAnsi="Times New Roman" w:cs="Times New Roman"/>
                <w:sz w:val="24"/>
                <w:szCs w:val="24"/>
              </w:rPr>
              <w:t>91</w:t>
            </w:r>
          </w:p>
        </w:tc>
      </w:tr>
    </w:tbl>
    <w:p w:rsidR="00925709" w:rsidRDefault="00B73BA9" w:rsidP="00925709">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Tableau N°</w:t>
      </w:r>
      <w:proofErr w:type="gramStart"/>
      <w:r>
        <w:rPr>
          <w:rFonts w:asciiTheme="majorBidi" w:hAnsiTheme="majorBidi" w:cstheme="majorBidi"/>
          <w:b/>
          <w:bCs/>
          <w:sz w:val="24"/>
          <w:szCs w:val="24"/>
        </w:rPr>
        <w:t>19</w:t>
      </w:r>
      <w:r w:rsidR="00CE086A">
        <w:rPr>
          <w:rFonts w:asciiTheme="majorBidi" w:hAnsiTheme="majorBidi" w:cstheme="majorBidi"/>
          <w:b/>
          <w:bCs/>
          <w:sz w:val="24"/>
          <w:szCs w:val="24"/>
        </w:rPr>
        <w:t>:</w:t>
      </w:r>
      <w:proofErr w:type="gramEnd"/>
      <w:r w:rsidR="00CE086A">
        <w:rPr>
          <w:rFonts w:asciiTheme="majorBidi" w:hAnsiTheme="majorBidi" w:cstheme="majorBidi"/>
          <w:b/>
          <w:bCs/>
          <w:sz w:val="24"/>
          <w:szCs w:val="24"/>
        </w:rPr>
        <w:t xml:space="preserve"> </w:t>
      </w:r>
      <w:r w:rsidR="00C77AEF">
        <w:rPr>
          <w:rFonts w:asciiTheme="majorBidi" w:hAnsiTheme="majorBidi" w:cstheme="majorBidi"/>
          <w:b/>
          <w:bCs/>
          <w:sz w:val="24"/>
          <w:szCs w:val="24"/>
        </w:rPr>
        <w:t>le calcul du MCR</w:t>
      </w:r>
    </w:p>
    <w:p w:rsidR="000E5B93" w:rsidRDefault="000E5B93" w:rsidP="00925709">
      <w:pPr>
        <w:autoSpaceDE w:val="0"/>
        <w:autoSpaceDN w:val="0"/>
        <w:adjustRightInd w:val="0"/>
        <w:spacing w:after="0" w:line="360" w:lineRule="auto"/>
        <w:jc w:val="both"/>
        <w:rPr>
          <w:rFonts w:asciiTheme="majorBidi" w:hAnsiTheme="majorBidi" w:cstheme="majorBidi"/>
          <w:b/>
          <w:bCs/>
          <w:sz w:val="24"/>
          <w:szCs w:val="24"/>
        </w:rPr>
      </w:pPr>
    </w:p>
    <w:p w:rsidR="00F12BAC" w:rsidRPr="00C7272B" w:rsidRDefault="00300DC4" w:rsidP="00C7272B">
      <w:pPr>
        <w:ind w:firstLineChars="100" w:firstLine="240"/>
        <w:jc w:val="both"/>
        <w:outlineLvl w:val="0"/>
        <w:rPr>
          <w:rFonts w:ascii="Times New Roman" w:eastAsia="Times New Roman" w:hAnsi="Times New Roman" w:cs="Times New Roman"/>
          <w:sz w:val="18"/>
          <w:szCs w:val="18"/>
        </w:rPr>
      </w:pPr>
      <w:r>
        <w:rPr>
          <w:rFonts w:asciiTheme="majorBidi" w:hAnsiTheme="majorBidi" w:cstheme="majorBidi"/>
          <w:sz w:val="24"/>
          <w:szCs w:val="24"/>
        </w:rPr>
        <w:tab/>
      </w:r>
      <w:r w:rsidR="00AA7D8B">
        <w:rPr>
          <w:rFonts w:asciiTheme="majorBidi" w:hAnsiTheme="majorBidi" w:cstheme="majorBidi"/>
          <w:sz w:val="24"/>
          <w:szCs w:val="24"/>
        </w:rPr>
        <w:t xml:space="preserve">Donc </w:t>
      </w:r>
      <w:r w:rsidR="00F32561">
        <w:rPr>
          <w:rFonts w:asciiTheme="majorBidi" w:hAnsiTheme="majorBidi" w:cstheme="majorBidi"/>
          <w:sz w:val="24"/>
          <w:szCs w:val="24"/>
        </w:rPr>
        <w:t xml:space="preserve">le niveau du capital au dessous duquel l’entreprise ne peut pas descendre, sous peine de l’intervention de l’autorité de </w:t>
      </w:r>
      <w:proofErr w:type="gramStart"/>
      <w:r w:rsidR="00F32561">
        <w:rPr>
          <w:rFonts w:asciiTheme="majorBidi" w:hAnsiTheme="majorBidi" w:cstheme="majorBidi"/>
          <w:sz w:val="24"/>
          <w:szCs w:val="24"/>
        </w:rPr>
        <w:t xml:space="preserve">contrôle </w:t>
      </w:r>
      <w:r w:rsidR="00AA7D8B">
        <w:rPr>
          <w:rFonts w:asciiTheme="majorBidi" w:hAnsiTheme="majorBidi" w:cstheme="majorBidi"/>
          <w:sz w:val="24"/>
          <w:szCs w:val="24"/>
        </w:rPr>
        <w:t xml:space="preserve"> est</w:t>
      </w:r>
      <w:proofErr w:type="gramEnd"/>
      <w:r w:rsidR="00AA7D8B">
        <w:rPr>
          <w:rFonts w:asciiTheme="majorBidi" w:hAnsiTheme="majorBidi" w:cstheme="majorBidi"/>
          <w:sz w:val="24"/>
          <w:szCs w:val="24"/>
        </w:rPr>
        <w:t xml:space="preserve"> de </w:t>
      </w:r>
      <w:r w:rsidR="007F2611" w:rsidRPr="007F2611">
        <w:rPr>
          <w:rFonts w:asciiTheme="majorBidi" w:hAnsiTheme="majorBidi" w:cstheme="majorBidi"/>
          <w:sz w:val="24"/>
          <w:szCs w:val="24"/>
        </w:rPr>
        <w:t xml:space="preserve"> </w:t>
      </w:r>
      <w:r w:rsidR="007F2611" w:rsidRPr="007F2611">
        <w:rPr>
          <w:rFonts w:ascii="Times New Roman" w:eastAsia="Times New Roman" w:hAnsi="Times New Roman" w:cs="Times New Roman"/>
          <w:b/>
          <w:bCs/>
          <w:i/>
          <w:iCs/>
          <w:sz w:val="28"/>
          <w:szCs w:val="28"/>
        </w:rPr>
        <w:t>1 877 597 252</w:t>
      </w:r>
      <w:r w:rsidR="007F2611">
        <w:rPr>
          <w:rFonts w:asciiTheme="majorBidi" w:hAnsiTheme="majorBidi" w:cstheme="majorBidi"/>
          <w:sz w:val="24"/>
          <w:szCs w:val="24"/>
        </w:rPr>
        <w:t xml:space="preserve"> </w:t>
      </w:r>
      <w:r w:rsidR="00AA7D8B">
        <w:rPr>
          <w:rFonts w:ascii="Times New Roman" w:eastAsia="Times New Roman" w:hAnsi="Times New Roman" w:cs="Times New Roman"/>
          <w:b/>
          <w:bCs/>
          <w:i/>
          <w:iCs/>
          <w:sz w:val="28"/>
          <w:szCs w:val="28"/>
        </w:rPr>
        <w:t>DA</w:t>
      </w:r>
      <w:r w:rsidR="00F32561">
        <w:rPr>
          <w:rFonts w:ascii="Times New Roman" w:eastAsia="Times New Roman" w:hAnsi="Times New Roman" w:cs="Times New Roman"/>
          <w:sz w:val="28"/>
          <w:szCs w:val="28"/>
        </w:rPr>
        <w:t>.</w:t>
      </w:r>
      <w:r w:rsidR="00AA7D8B">
        <w:rPr>
          <w:rFonts w:ascii="Times New Roman" w:eastAsia="Times New Roman" w:hAnsi="Times New Roman" w:cs="Times New Roman"/>
          <w:sz w:val="28"/>
          <w:szCs w:val="28"/>
        </w:rPr>
        <w:t xml:space="preserve"> </w:t>
      </w:r>
      <w:r w:rsidR="00AA7D8B">
        <w:rPr>
          <w:rFonts w:asciiTheme="majorBidi" w:hAnsiTheme="majorBidi" w:cstheme="majorBidi"/>
          <w:sz w:val="24"/>
          <w:szCs w:val="24"/>
        </w:rPr>
        <w:t xml:space="preserve"> </w:t>
      </w:r>
    </w:p>
    <w:p w:rsidR="00C7272B" w:rsidRDefault="00C7272B" w:rsidP="00C7272B">
      <w:pPr>
        <w:autoSpaceDE w:val="0"/>
        <w:autoSpaceDN w:val="0"/>
        <w:adjustRightInd w:val="0"/>
        <w:spacing w:after="0" w:line="360" w:lineRule="auto"/>
        <w:jc w:val="both"/>
        <w:rPr>
          <w:rFonts w:asciiTheme="majorBidi" w:hAnsiTheme="majorBidi" w:cstheme="majorBidi"/>
          <w:sz w:val="24"/>
          <w:szCs w:val="24"/>
        </w:rPr>
      </w:pPr>
    </w:p>
    <w:p w:rsidR="00C7272B" w:rsidRDefault="00C7272B"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815AA9" w:rsidRDefault="00815AA9" w:rsidP="00C7272B">
      <w:pPr>
        <w:autoSpaceDE w:val="0"/>
        <w:autoSpaceDN w:val="0"/>
        <w:adjustRightInd w:val="0"/>
        <w:spacing w:after="0" w:line="360" w:lineRule="auto"/>
        <w:jc w:val="both"/>
        <w:rPr>
          <w:rFonts w:asciiTheme="majorBidi" w:hAnsiTheme="majorBidi" w:cstheme="majorBidi"/>
          <w:sz w:val="24"/>
          <w:szCs w:val="24"/>
        </w:rPr>
      </w:pPr>
    </w:p>
    <w:p w:rsidR="00C7272B" w:rsidRDefault="00C7272B" w:rsidP="00C7272B">
      <w:pPr>
        <w:autoSpaceDE w:val="0"/>
        <w:autoSpaceDN w:val="0"/>
        <w:adjustRightInd w:val="0"/>
        <w:spacing w:after="0" w:line="360" w:lineRule="auto"/>
        <w:jc w:val="both"/>
        <w:rPr>
          <w:rFonts w:asciiTheme="majorBidi" w:hAnsiTheme="majorBidi" w:cstheme="majorBidi"/>
          <w:sz w:val="24"/>
          <w:szCs w:val="24"/>
        </w:rPr>
      </w:pPr>
    </w:p>
    <w:p w:rsidR="00F12BAC" w:rsidRDefault="00F12BAC" w:rsidP="00F12BAC">
      <w:pPr>
        <w:autoSpaceDE w:val="0"/>
        <w:autoSpaceDN w:val="0"/>
        <w:adjustRightInd w:val="0"/>
        <w:spacing w:after="0" w:line="360" w:lineRule="auto"/>
        <w:jc w:val="both"/>
        <w:rPr>
          <w:rFonts w:asciiTheme="majorBidi" w:hAnsiTheme="majorBidi" w:cstheme="majorBidi"/>
          <w:sz w:val="24"/>
          <w:szCs w:val="24"/>
        </w:rPr>
      </w:pPr>
    </w:p>
    <w:p w:rsidR="008B04CD" w:rsidRPr="000E5B93" w:rsidRDefault="000E5B93" w:rsidP="00F12BAC">
      <w:pPr>
        <w:autoSpaceDE w:val="0"/>
        <w:autoSpaceDN w:val="0"/>
        <w:adjustRightInd w:val="0"/>
        <w:spacing w:after="0" w:line="360" w:lineRule="auto"/>
        <w:jc w:val="both"/>
        <w:rPr>
          <w:rFonts w:asciiTheme="majorBidi" w:hAnsiTheme="majorBidi" w:cstheme="majorBidi"/>
          <w:sz w:val="32"/>
          <w:szCs w:val="32"/>
        </w:rPr>
      </w:pPr>
      <w:r w:rsidRPr="000E5B93">
        <w:rPr>
          <w:rFonts w:ascii="Times New Roman" w:hAnsi="Times New Roman" w:cs="Times New Roman"/>
          <w:b/>
          <w:bCs/>
          <w:sz w:val="32"/>
          <w:szCs w:val="32"/>
        </w:rPr>
        <w:lastRenderedPageBreak/>
        <w:t>CONCLUSION</w:t>
      </w:r>
      <w:r w:rsidR="003031AE">
        <w:rPr>
          <w:rFonts w:ascii="Times New Roman" w:hAnsi="Times New Roman" w:cs="Times New Roman"/>
          <w:b/>
          <w:bCs/>
          <w:sz w:val="32"/>
          <w:szCs w:val="32"/>
        </w:rPr>
        <w:t xml:space="preserve"> DU DEUXIEME CHAPITRE</w:t>
      </w:r>
      <w:r w:rsidRPr="000E5B93">
        <w:rPr>
          <w:rFonts w:ascii="Times New Roman" w:hAnsi="Times New Roman" w:cs="Times New Roman"/>
          <w:b/>
          <w:bCs/>
          <w:sz w:val="32"/>
          <w:szCs w:val="32"/>
        </w:rPr>
        <w:t xml:space="preserve">   </w:t>
      </w:r>
      <w:r w:rsidR="001433CD" w:rsidRPr="000E5B93">
        <w:rPr>
          <w:rFonts w:ascii="Times New Roman" w:hAnsi="Times New Roman" w:cs="Times New Roman"/>
          <w:b/>
          <w:bCs/>
          <w:sz w:val="32"/>
          <w:szCs w:val="32"/>
        </w:rPr>
        <w:t xml:space="preserve">  </w:t>
      </w:r>
      <w:r w:rsidR="00C07882" w:rsidRPr="000E5B93">
        <w:rPr>
          <w:rFonts w:ascii="Times New Roman" w:hAnsi="Times New Roman" w:cs="Times New Roman"/>
          <w:b/>
          <w:bCs/>
          <w:sz w:val="32"/>
          <w:szCs w:val="32"/>
        </w:rPr>
        <w:t xml:space="preserve"> </w:t>
      </w:r>
      <w:r w:rsidR="008B04CD" w:rsidRPr="000E5B93">
        <w:rPr>
          <w:rFonts w:ascii="Times New Roman" w:hAnsi="Times New Roman" w:cs="Times New Roman"/>
          <w:b/>
          <w:bCs/>
          <w:sz w:val="32"/>
          <w:szCs w:val="32"/>
        </w:rPr>
        <w:t xml:space="preserve"> </w:t>
      </w:r>
    </w:p>
    <w:p w:rsidR="00066CC2" w:rsidRPr="008B04CD" w:rsidRDefault="008B04CD" w:rsidP="009D1917">
      <w:pPr>
        <w:autoSpaceDE w:val="0"/>
        <w:autoSpaceDN w:val="0"/>
        <w:adjustRightInd w:val="0"/>
        <w:spacing w:after="0" w:line="240" w:lineRule="auto"/>
        <w:jc w:val="both"/>
        <w:rPr>
          <w:rFonts w:ascii="Times New Roman" w:hAnsi="Times New Roman" w:cs="Times New Roman"/>
          <w:b/>
          <w:bCs/>
          <w:sz w:val="24"/>
        </w:rPr>
      </w:pPr>
      <w:r w:rsidRPr="008B04CD">
        <w:rPr>
          <w:rFonts w:ascii="Times New Roman" w:hAnsi="Times New Roman" w:cs="Times New Roman"/>
          <w:b/>
          <w:bCs/>
          <w:sz w:val="24"/>
        </w:rPr>
        <w:t xml:space="preserve"> </w:t>
      </w:r>
      <w:r w:rsidR="00D43E53" w:rsidRPr="008B04CD">
        <w:rPr>
          <w:rFonts w:ascii="Times New Roman" w:hAnsi="Times New Roman" w:cs="Times New Roman"/>
          <w:b/>
          <w:bCs/>
          <w:sz w:val="24"/>
        </w:rPr>
        <w:t xml:space="preserve"> </w:t>
      </w:r>
    </w:p>
    <w:p w:rsidR="00B01391" w:rsidRDefault="0022421E" w:rsidP="00B01391">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AA249D" w:rsidRPr="0022421E">
        <w:rPr>
          <w:rFonts w:asciiTheme="majorBidi" w:hAnsiTheme="majorBidi" w:cstheme="majorBidi"/>
          <w:sz w:val="24"/>
          <w:szCs w:val="24"/>
        </w:rPr>
        <w:t xml:space="preserve">A traves l’application du modèle standard sur </w:t>
      </w:r>
      <w:r w:rsidRPr="0022421E">
        <w:rPr>
          <w:rFonts w:asciiTheme="majorBidi" w:hAnsiTheme="majorBidi" w:cstheme="majorBidi"/>
          <w:sz w:val="24"/>
          <w:szCs w:val="24"/>
        </w:rPr>
        <w:t>le portefeuille de la CAAT</w:t>
      </w:r>
      <w:proofErr w:type="gramStart"/>
      <w:r w:rsidRPr="0022421E">
        <w:rPr>
          <w:rFonts w:asciiTheme="majorBidi" w:hAnsiTheme="majorBidi" w:cstheme="majorBidi"/>
          <w:sz w:val="24"/>
          <w:szCs w:val="24"/>
        </w:rPr>
        <w:t>,  nous</w:t>
      </w:r>
      <w:proofErr w:type="gramEnd"/>
      <w:r w:rsidRPr="0022421E">
        <w:rPr>
          <w:rFonts w:asciiTheme="majorBidi" w:hAnsiTheme="majorBidi" w:cstheme="majorBidi"/>
          <w:sz w:val="24"/>
          <w:szCs w:val="24"/>
        </w:rPr>
        <w:t xml:space="preserve"> pouvons suggérer</w:t>
      </w:r>
      <w:r>
        <w:rPr>
          <w:rFonts w:asciiTheme="majorBidi" w:hAnsiTheme="majorBidi" w:cstheme="majorBidi"/>
          <w:sz w:val="24"/>
          <w:szCs w:val="24"/>
        </w:rPr>
        <w:t xml:space="preserve"> les </w:t>
      </w:r>
      <w:r w:rsidR="00B01391">
        <w:rPr>
          <w:rFonts w:asciiTheme="majorBidi" w:hAnsiTheme="majorBidi" w:cstheme="majorBidi"/>
          <w:sz w:val="24"/>
          <w:szCs w:val="24"/>
        </w:rPr>
        <w:t>recommandations suivantes:</w:t>
      </w:r>
    </w:p>
    <w:p w:rsidR="00AA249D" w:rsidRPr="0022421E" w:rsidRDefault="0022421E" w:rsidP="003B0F0F">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22421E">
        <w:rPr>
          <w:rFonts w:asciiTheme="majorBidi" w:hAnsiTheme="majorBidi" w:cstheme="majorBidi"/>
          <w:sz w:val="24"/>
          <w:szCs w:val="24"/>
        </w:rPr>
        <w:t xml:space="preserve">  </w:t>
      </w:r>
      <w:r w:rsidR="00AA249D" w:rsidRPr="0022421E">
        <w:rPr>
          <w:rFonts w:asciiTheme="majorBidi" w:hAnsiTheme="majorBidi" w:cstheme="majorBidi"/>
          <w:sz w:val="24"/>
          <w:szCs w:val="24"/>
        </w:rPr>
        <w:t xml:space="preserve"> </w:t>
      </w:r>
    </w:p>
    <w:p w:rsidR="00D43E53" w:rsidRDefault="00B2173B" w:rsidP="003B0F0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D43E53">
        <w:rPr>
          <w:rFonts w:asciiTheme="majorBidi" w:hAnsiTheme="majorBidi" w:cstheme="majorBidi"/>
          <w:sz w:val="24"/>
          <w:szCs w:val="24"/>
        </w:rPr>
        <w:t>Pour la mise</w:t>
      </w:r>
      <w:r w:rsidR="00294B26" w:rsidRPr="00B2173B">
        <w:rPr>
          <w:rFonts w:asciiTheme="majorBidi" w:hAnsiTheme="majorBidi" w:cstheme="majorBidi"/>
          <w:sz w:val="24"/>
          <w:szCs w:val="24"/>
        </w:rPr>
        <w:t xml:space="preserve"> en place du modèle </w:t>
      </w:r>
      <w:r w:rsidR="00D43E53">
        <w:rPr>
          <w:rFonts w:asciiTheme="majorBidi" w:hAnsiTheme="majorBidi" w:cstheme="majorBidi"/>
          <w:sz w:val="24"/>
          <w:szCs w:val="24"/>
        </w:rPr>
        <w:t>standard,</w:t>
      </w:r>
      <w:r w:rsidR="00294B26" w:rsidRPr="00B2173B">
        <w:rPr>
          <w:rFonts w:asciiTheme="majorBidi" w:hAnsiTheme="majorBidi" w:cstheme="majorBidi"/>
          <w:sz w:val="24"/>
          <w:szCs w:val="24"/>
        </w:rPr>
        <w:t xml:space="preserve"> il faut investir dans la qualité des</w:t>
      </w:r>
      <w:r w:rsidRPr="00B2173B">
        <w:rPr>
          <w:rFonts w:asciiTheme="majorBidi" w:hAnsiTheme="majorBidi" w:cstheme="majorBidi"/>
          <w:sz w:val="24"/>
          <w:szCs w:val="24"/>
        </w:rPr>
        <w:t xml:space="preserve"> données et des systèmes d’information mais aussi accompagner cet important travail de modélisation par le renforcement des compétences techniques.</w:t>
      </w:r>
      <w:r w:rsidRPr="00B2173B">
        <w:rPr>
          <w:rFonts w:asciiTheme="majorBidi" w:hAnsiTheme="majorBidi" w:cstheme="majorBidi"/>
          <w:color w:val="FFFFFF"/>
          <w:sz w:val="24"/>
          <w:szCs w:val="24"/>
        </w:rPr>
        <w:t xml:space="preserve"> </w:t>
      </w:r>
      <w:r w:rsidR="00DF627A">
        <w:rPr>
          <w:rFonts w:asciiTheme="majorBidi" w:hAnsiTheme="majorBidi" w:cstheme="majorBidi"/>
          <w:sz w:val="24"/>
          <w:szCs w:val="24"/>
        </w:rPr>
        <w:t>En effet, Solvabilité II</w:t>
      </w:r>
      <w:r w:rsidRPr="00B2173B">
        <w:rPr>
          <w:rFonts w:asciiTheme="majorBidi" w:hAnsiTheme="majorBidi" w:cstheme="majorBidi"/>
          <w:sz w:val="24"/>
          <w:szCs w:val="24"/>
        </w:rPr>
        <w:t xml:space="preserve"> est très exigeante et c</w:t>
      </w:r>
      <w:r w:rsidR="00DF627A">
        <w:rPr>
          <w:rFonts w:asciiTheme="majorBidi" w:hAnsiTheme="majorBidi" w:cstheme="majorBidi"/>
          <w:sz w:val="24"/>
          <w:szCs w:val="24"/>
        </w:rPr>
        <w:t>haque manager devra intégrer de</w:t>
      </w:r>
      <w:r w:rsidRPr="00B2173B">
        <w:rPr>
          <w:rFonts w:asciiTheme="majorBidi" w:hAnsiTheme="majorBidi" w:cstheme="majorBidi"/>
          <w:sz w:val="24"/>
          <w:szCs w:val="24"/>
        </w:rPr>
        <w:t xml:space="preserve"> nouvelles notions de marge de solvabilité dans ses prises de décisions. Il semble donc important de lancer des programmes de formation.</w:t>
      </w:r>
    </w:p>
    <w:p w:rsidR="00C505FA" w:rsidRDefault="00C505FA" w:rsidP="00C505FA">
      <w:pPr>
        <w:autoSpaceDE w:val="0"/>
        <w:autoSpaceDN w:val="0"/>
        <w:adjustRightInd w:val="0"/>
        <w:spacing w:after="0" w:line="240" w:lineRule="auto"/>
        <w:jc w:val="both"/>
        <w:rPr>
          <w:rFonts w:asciiTheme="majorBidi" w:hAnsiTheme="majorBidi" w:cstheme="majorBidi"/>
          <w:sz w:val="24"/>
          <w:szCs w:val="24"/>
        </w:rPr>
      </w:pPr>
    </w:p>
    <w:p w:rsidR="002D6CF6" w:rsidRDefault="00D43E53" w:rsidP="009356F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B2173B" w:rsidRPr="008F0DF6">
        <w:rPr>
          <w:rFonts w:asciiTheme="majorBidi" w:hAnsiTheme="majorBidi" w:cstheme="majorBidi"/>
          <w:sz w:val="24"/>
          <w:szCs w:val="24"/>
        </w:rPr>
        <w:t xml:space="preserve"> </w:t>
      </w:r>
      <w:r w:rsidR="008109B7">
        <w:rPr>
          <w:rFonts w:asciiTheme="majorBidi" w:hAnsiTheme="majorBidi" w:cstheme="majorBidi"/>
          <w:sz w:val="24"/>
          <w:szCs w:val="24"/>
        </w:rPr>
        <w:t>Le deuxième point</w:t>
      </w:r>
      <w:r w:rsidR="008F0DF6" w:rsidRPr="008F0DF6">
        <w:rPr>
          <w:rFonts w:asciiTheme="majorBidi" w:hAnsiTheme="majorBidi" w:cstheme="majorBidi"/>
          <w:sz w:val="24"/>
          <w:szCs w:val="24"/>
        </w:rPr>
        <w:t xml:space="preserve"> réside dans la mise en place au</w:t>
      </w:r>
      <w:r w:rsidR="008F0DF6">
        <w:rPr>
          <w:rFonts w:asciiTheme="majorBidi" w:hAnsiTheme="majorBidi" w:cstheme="majorBidi"/>
          <w:sz w:val="24"/>
          <w:szCs w:val="24"/>
        </w:rPr>
        <w:t xml:space="preserve"> </w:t>
      </w:r>
      <w:r w:rsidR="008F0DF6" w:rsidRPr="008F0DF6">
        <w:rPr>
          <w:rFonts w:asciiTheme="majorBidi" w:hAnsiTheme="majorBidi" w:cstheme="majorBidi"/>
          <w:sz w:val="24"/>
          <w:szCs w:val="24"/>
        </w:rPr>
        <w:t>niveau opérationnel de la gestion des risques.</w:t>
      </w:r>
      <w:r w:rsidR="008F0DF6">
        <w:rPr>
          <w:rFonts w:asciiTheme="majorBidi" w:hAnsiTheme="majorBidi" w:cstheme="majorBidi"/>
          <w:sz w:val="24"/>
          <w:szCs w:val="24"/>
        </w:rPr>
        <w:t xml:space="preserve"> </w:t>
      </w:r>
      <w:r w:rsidR="008F0DF6" w:rsidRPr="008F0DF6">
        <w:rPr>
          <w:rFonts w:asciiTheme="majorBidi" w:hAnsiTheme="majorBidi" w:cstheme="majorBidi"/>
          <w:sz w:val="24"/>
          <w:szCs w:val="24"/>
        </w:rPr>
        <w:t xml:space="preserve">C’est un </w:t>
      </w:r>
      <w:r w:rsidR="003B0F0F" w:rsidRPr="008F0DF6">
        <w:rPr>
          <w:rFonts w:asciiTheme="majorBidi" w:hAnsiTheme="majorBidi" w:cstheme="majorBidi"/>
          <w:sz w:val="24"/>
          <w:szCs w:val="24"/>
        </w:rPr>
        <w:t>processus</w:t>
      </w:r>
      <w:r w:rsidR="008F0DF6" w:rsidRPr="008F0DF6">
        <w:rPr>
          <w:rFonts w:asciiTheme="majorBidi" w:hAnsiTheme="majorBidi" w:cstheme="majorBidi"/>
          <w:sz w:val="24"/>
          <w:szCs w:val="24"/>
        </w:rPr>
        <w:t xml:space="preserve"> complexe capable d’assurer</w:t>
      </w:r>
      <w:r w:rsidR="008F0DF6">
        <w:rPr>
          <w:rFonts w:asciiTheme="majorBidi" w:hAnsiTheme="majorBidi" w:cstheme="majorBidi"/>
          <w:sz w:val="24"/>
          <w:szCs w:val="24"/>
        </w:rPr>
        <w:t xml:space="preserve"> </w:t>
      </w:r>
      <w:r w:rsidR="008F0DF6" w:rsidRPr="008F0DF6">
        <w:rPr>
          <w:rFonts w:asciiTheme="majorBidi" w:hAnsiTheme="majorBidi" w:cstheme="majorBidi"/>
          <w:sz w:val="24"/>
          <w:szCs w:val="24"/>
        </w:rPr>
        <w:t xml:space="preserve">la maîtrise </w:t>
      </w:r>
      <w:r w:rsidR="00C505FA">
        <w:rPr>
          <w:rFonts w:asciiTheme="majorBidi" w:hAnsiTheme="majorBidi" w:cstheme="majorBidi"/>
          <w:sz w:val="24"/>
          <w:szCs w:val="24"/>
        </w:rPr>
        <w:t>des risques</w:t>
      </w:r>
      <w:r w:rsidR="008F0DF6" w:rsidRPr="008F0DF6">
        <w:rPr>
          <w:rFonts w:asciiTheme="majorBidi" w:hAnsiTheme="majorBidi" w:cstheme="majorBidi"/>
          <w:sz w:val="24"/>
          <w:szCs w:val="24"/>
        </w:rPr>
        <w:t>. Cette stratégie globale</w:t>
      </w:r>
      <w:r w:rsidR="008F0DF6">
        <w:rPr>
          <w:rFonts w:asciiTheme="majorBidi" w:hAnsiTheme="majorBidi" w:cstheme="majorBidi"/>
          <w:sz w:val="24"/>
          <w:szCs w:val="24"/>
        </w:rPr>
        <w:t xml:space="preserve"> </w:t>
      </w:r>
      <w:r w:rsidR="008F0DF6" w:rsidRPr="008F0DF6">
        <w:rPr>
          <w:rFonts w:asciiTheme="majorBidi" w:hAnsiTheme="majorBidi" w:cstheme="majorBidi"/>
          <w:sz w:val="24"/>
          <w:szCs w:val="24"/>
        </w:rPr>
        <w:t>du risque et non plus segmentée sur laquelle</w:t>
      </w:r>
      <w:r w:rsidR="008F0DF6">
        <w:rPr>
          <w:rFonts w:asciiTheme="majorBidi" w:hAnsiTheme="majorBidi" w:cstheme="majorBidi"/>
          <w:sz w:val="24"/>
          <w:szCs w:val="24"/>
        </w:rPr>
        <w:t xml:space="preserve"> </w:t>
      </w:r>
      <w:r w:rsidR="008F0DF6" w:rsidRPr="008F0DF6">
        <w:rPr>
          <w:rFonts w:asciiTheme="majorBidi" w:hAnsiTheme="majorBidi" w:cstheme="majorBidi"/>
          <w:sz w:val="24"/>
          <w:szCs w:val="24"/>
        </w:rPr>
        <w:t>les managers s’alignent devra être au cœur de</w:t>
      </w:r>
      <w:r w:rsidR="008F0DF6">
        <w:rPr>
          <w:rFonts w:asciiTheme="majorBidi" w:hAnsiTheme="majorBidi" w:cstheme="majorBidi"/>
          <w:sz w:val="24"/>
          <w:szCs w:val="24"/>
        </w:rPr>
        <w:t xml:space="preserve"> </w:t>
      </w:r>
      <w:r w:rsidR="008F0DF6" w:rsidRPr="008F0DF6">
        <w:rPr>
          <w:rFonts w:asciiTheme="majorBidi" w:hAnsiTheme="majorBidi" w:cstheme="majorBidi"/>
          <w:sz w:val="24"/>
          <w:szCs w:val="24"/>
        </w:rPr>
        <w:t>leur activité.</w:t>
      </w:r>
    </w:p>
    <w:p w:rsidR="000F4A90" w:rsidRDefault="000F4A90" w:rsidP="000F4A90">
      <w:pPr>
        <w:autoSpaceDE w:val="0"/>
        <w:autoSpaceDN w:val="0"/>
        <w:adjustRightInd w:val="0"/>
        <w:spacing w:after="0" w:line="240" w:lineRule="auto"/>
        <w:jc w:val="both"/>
        <w:rPr>
          <w:rFonts w:asciiTheme="majorBidi" w:hAnsiTheme="majorBidi" w:cstheme="majorBidi"/>
          <w:sz w:val="24"/>
          <w:szCs w:val="24"/>
        </w:rPr>
      </w:pPr>
    </w:p>
    <w:p w:rsidR="000F4A90" w:rsidRDefault="000F4A90" w:rsidP="009356F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t>Pou</w:t>
      </w:r>
      <w:r w:rsidR="00BF0200">
        <w:rPr>
          <w:rFonts w:asciiTheme="majorBidi" w:hAnsiTheme="majorBidi" w:cstheme="majorBidi"/>
          <w:sz w:val="24"/>
          <w:szCs w:val="24"/>
        </w:rPr>
        <w:t>r</w:t>
      </w:r>
      <w:r>
        <w:rPr>
          <w:rFonts w:asciiTheme="majorBidi" w:hAnsiTheme="majorBidi" w:cstheme="majorBidi"/>
          <w:sz w:val="24"/>
          <w:szCs w:val="24"/>
        </w:rPr>
        <w:t xml:space="preserve"> ce qui est organisation de la CAAT nous suggérons, l’introduction </w:t>
      </w:r>
      <w:r w:rsidR="00BD6EE2">
        <w:rPr>
          <w:rFonts w:asciiTheme="majorBidi" w:hAnsiTheme="majorBidi" w:cstheme="majorBidi"/>
          <w:sz w:val="24"/>
          <w:szCs w:val="24"/>
        </w:rPr>
        <w:t xml:space="preserve">d’une cellule de RISK </w:t>
      </w:r>
      <w:proofErr w:type="gramStart"/>
      <w:r w:rsidR="00BD6EE2">
        <w:rPr>
          <w:rFonts w:asciiTheme="majorBidi" w:hAnsiTheme="majorBidi" w:cstheme="majorBidi"/>
          <w:sz w:val="24"/>
          <w:szCs w:val="24"/>
        </w:rPr>
        <w:t>MANAG</w:t>
      </w:r>
      <w:r w:rsidR="00C06D6F">
        <w:rPr>
          <w:rFonts w:asciiTheme="majorBidi" w:hAnsiTheme="majorBidi" w:cstheme="majorBidi"/>
          <w:sz w:val="24"/>
          <w:szCs w:val="24"/>
        </w:rPr>
        <w:t>E</w:t>
      </w:r>
      <w:r w:rsidR="00BD6EE2">
        <w:rPr>
          <w:rFonts w:asciiTheme="majorBidi" w:hAnsiTheme="majorBidi" w:cstheme="majorBidi"/>
          <w:sz w:val="24"/>
          <w:szCs w:val="24"/>
        </w:rPr>
        <w:t xml:space="preserve">MENT  </w:t>
      </w:r>
      <w:r w:rsidR="00BD6EE2" w:rsidRPr="008C43B8">
        <w:rPr>
          <w:rFonts w:asciiTheme="majorBidi" w:hAnsiTheme="majorBidi" w:cstheme="majorBidi"/>
          <w:sz w:val="24"/>
          <w:szCs w:val="24"/>
        </w:rPr>
        <w:t>qui</w:t>
      </w:r>
      <w:proofErr w:type="gramEnd"/>
      <w:r w:rsidR="00BD6EE2" w:rsidRPr="008C43B8">
        <w:rPr>
          <w:rFonts w:asciiTheme="majorBidi" w:hAnsiTheme="majorBidi" w:cstheme="majorBidi"/>
          <w:sz w:val="24"/>
          <w:szCs w:val="24"/>
        </w:rPr>
        <w:t xml:space="preserve"> sera responsable</w:t>
      </w:r>
      <w:r w:rsidR="00BD2B94" w:rsidRPr="008C43B8">
        <w:rPr>
          <w:rFonts w:asciiTheme="majorBidi" w:hAnsiTheme="majorBidi" w:cstheme="majorBidi"/>
          <w:sz w:val="24"/>
          <w:szCs w:val="24"/>
        </w:rPr>
        <w:t xml:space="preserve"> </w:t>
      </w:r>
      <w:r w:rsidR="00BD6EE2" w:rsidRPr="008C43B8">
        <w:rPr>
          <w:rFonts w:asciiTheme="majorBidi" w:hAnsiTheme="majorBidi" w:cstheme="majorBidi"/>
          <w:sz w:val="24"/>
          <w:szCs w:val="24"/>
        </w:rPr>
        <w:t xml:space="preserve">  </w:t>
      </w:r>
      <w:r w:rsidR="00BD2B94" w:rsidRPr="008C43B8">
        <w:rPr>
          <w:rFonts w:asciiTheme="majorBidi" w:hAnsiTheme="majorBidi" w:cstheme="majorBidi"/>
          <w:sz w:val="24"/>
          <w:szCs w:val="24"/>
        </w:rPr>
        <w:t>d'identifier, anticiper, analyser et valoriser les risques qui guettent le fonctionnement normal de l'entreprise afin de minimiser leurs coûts.</w:t>
      </w:r>
      <w:r w:rsidR="00BD6EE2">
        <w:rPr>
          <w:rFonts w:asciiTheme="majorBidi" w:hAnsiTheme="majorBidi" w:cstheme="majorBidi"/>
          <w:sz w:val="24"/>
          <w:szCs w:val="24"/>
        </w:rPr>
        <w:t xml:space="preserve"> </w:t>
      </w:r>
      <w:r>
        <w:rPr>
          <w:rFonts w:asciiTheme="majorBidi" w:hAnsiTheme="majorBidi" w:cstheme="majorBidi"/>
          <w:sz w:val="24"/>
          <w:szCs w:val="24"/>
        </w:rPr>
        <w:t xml:space="preserve"> </w:t>
      </w:r>
    </w:p>
    <w:p w:rsidR="00B7270F" w:rsidRDefault="00B7270F" w:rsidP="006525D2">
      <w:pPr>
        <w:autoSpaceDE w:val="0"/>
        <w:autoSpaceDN w:val="0"/>
        <w:adjustRightInd w:val="0"/>
        <w:spacing w:after="0" w:line="240" w:lineRule="auto"/>
        <w:jc w:val="both"/>
        <w:rPr>
          <w:rFonts w:asciiTheme="majorBidi" w:hAnsiTheme="majorBidi" w:cstheme="majorBidi"/>
          <w:sz w:val="24"/>
          <w:szCs w:val="24"/>
        </w:rPr>
      </w:pPr>
    </w:p>
    <w:p w:rsidR="002D6CF6" w:rsidRDefault="00B7270F" w:rsidP="002A7647">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C84E72">
        <w:rPr>
          <w:rFonts w:asciiTheme="majorBidi" w:hAnsiTheme="majorBidi" w:cstheme="majorBidi"/>
          <w:sz w:val="24"/>
          <w:szCs w:val="24"/>
        </w:rPr>
        <w:t>La nouvelle réglementation du contrô</w:t>
      </w:r>
      <w:r w:rsidR="00364274">
        <w:rPr>
          <w:rFonts w:asciiTheme="majorBidi" w:hAnsiTheme="majorBidi" w:cstheme="majorBidi"/>
          <w:sz w:val="24"/>
          <w:szCs w:val="24"/>
        </w:rPr>
        <w:t xml:space="preserve">le des compagnies d’assurance </w:t>
      </w:r>
      <w:r w:rsidR="00C84E72">
        <w:rPr>
          <w:rFonts w:asciiTheme="majorBidi" w:hAnsiTheme="majorBidi" w:cstheme="majorBidi"/>
          <w:sz w:val="24"/>
          <w:szCs w:val="24"/>
        </w:rPr>
        <w:t>constitue avant tout une oppo</w:t>
      </w:r>
      <w:r w:rsidR="00C44A91">
        <w:rPr>
          <w:rFonts w:asciiTheme="majorBidi" w:hAnsiTheme="majorBidi" w:cstheme="majorBidi"/>
          <w:sz w:val="24"/>
          <w:szCs w:val="24"/>
        </w:rPr>
        <w:t>rtunité pour les compagnies d’</w:t>
      </w:r>
      <w:r w:rsidR="00364274">
        <w:rPr>
          <w:rFonts w:asciiTheme="majorBidi" w:hAnsiTheme="majorBidi" w:cstheme="majorBidi"/>
          <w:sz w:val="24"/>
          <w:szCs w:val="24"/>
        </w:rPr>
        <w:t>assurance, car elle</w:t>
      </w:r>
      <w:r w:rsidR="00727F2C">
        <w:rPr>
          <w:rFonts w:asciiTheme="majorBidi" w:hAnsiTheme="majorBidi" w:cstheme="majorBidi"/>
          <w:sz w:val="24"/>
          <w:szCs w:val="24"/>
        </w:rPr>
        <w:t xml:space="preserve"> </w:t>
      </w:r>
      <w:proofErr w:type="gramStart"/>
      <w:r w:rsidR="00727F2C">
        <w:rPr>
          <w:rFonts w:asciiTheme="majorBidi" w:hAnsiTheme="majorBidi" w:cstheme="majorBidi"/>
          <w:sz w:val="24"/>
          <w:szCs w:val="24"/>
        </w:rPr>
        <w:t>permet</w:t>
      </w:r>
      <w:r w:rsidR="00364274">
        <w:rPr>
          <w:rFonts w:asciiTheme="majorBidi" w:hAnsiTheme="majorBidi" w:cstheme="majorBidi"/>
          <w:sz w:val="24"/>
          <w:szCs w:val="24"/>
        </w:rPr>
        <w:t xml:space="preserve">  d’établir</w:t>
      </w:r>
      <w:proofErr w:type="gramEnd"/>
      <w:r w:rsidR="00364274">
        <w:rPr>
          <w:rFonts w:asciiTheme="majorBidi" w:hAnsiTheme="majorBidi" w:cstheme="majorBidi"/>
          <w:sz w:val="24"/>
          <w:szCs w:val="24"/>
        </w:rPr>
        <w:t xml:space="preserve"> des exigences de solvabilité mieux adaptées aux risques effectivement assumés par l’entreprise </w:t>
      </w:r>
      <w:r w:rsidR="002A7647">
        <w:rPr>
          <w:rFonts w:asciiTheme="majorBidi" w:hAnsiTheme="majorBidi" w:cstheme="majorBidi"/>
          <w:sz w:val="24"/>
          <w:szCs w:val="24"/>
        </w:rPr>
        <w:t>et les encourage à mieux évaluer et contrôler les risques</w:t>
      </w:r>
      <w:r w:rsidR="00200CD2">
        <w:rPr>
          <w:rFonts w:asciiTheme="majorBidi" w:hAnsiTheme="majorBidi" w:cstheme="majorBidi"/>
          <w:sz w:val="24"/>
          <w:szCs w:val="24"/>
        </w:rPr>
        <w:t>.</w:t>
      </w:r>
    </w:p>
    <w:p w:rsidR="00021131" w:rsidRDefault="00021131" w:rsidP="00021131">
      <w:pPr>
        <w:autoSpaceDE w:val="0"/>
        <w:autoSpaceDN w:val="0"/>
        <w:adjustRightInd w:val="0"/>
        <w:spacing w:after="0" w:line="240" w:lineRule="auto"/>
        <w:jc w:val="both"/>
        <w:rPr>
          <w:rFonts w:asciiTheme="majorBidi" w:hAnsiTheme="majorBidi" w:cstheme="majorBidi"/>
          <w:sz w:val="24"/>
          <w:szCs w:val="24"/>
        </w:rPr>
      </w:pPr>
    </w:p>
    <w:p w:rsidR="00021131" w:rsidRPr="00021131" w:rsidRDefault="00AB0483" w:rsidP="002A7647">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t>C’est vrai que solvabilité II est plus gourmande en terme de capital,</w:t>
      </w:r>
      <w:r w:rsidR="002678CC">
        <w:rPr>
          <w:rFonts w:asciiTheme="majorBidi" w:hAnsiTheme="majorBidi" w:cstheme="majorBidi"/>
          <w:sz w:val="24"/>
          <w:szCs w:val="24"/>
        </w:rPr>
        <w:t xml:space="preserve"> mais elle </w:t>
      </w:r>
      <w:proofErr w:type="gramStart"/>
      <w:r w:rsidR="002678CC">
        <w:rPr>
          <w:rFonts w:asciiTheme="majorBidi" w:hAnsiTheme="majorBidi" w:cstheme="majorBidi"/>
          <w:sz w:val="24"/>
          <w:szCs w:val="24"/>
        </w:rPr>
        <w:t>offre</w:t>
      </w:r>
      <w:r>
        <w:rPr>
          <w:rFonts w:asciiTheme="majorBidi" w:hAnsiTheme="majorBidi" w:cstheme="majorBidi"/>
          <w:sz w:val="24"/>
          <w:szCs w:val="24"/>
        </w:rPr>
        <w:t xml:space="preserve">  u</w:t>
      </w:r>
      <w:r w:rsidR="00021131" w:rsidRPr="00021131">
        <w:rPr>
          <w:rFonts w:asciiTheme="majorBidi" w:hAnsiTheme="majorBidi" w:cstheme="majorBidi"/>
          <w:sz w:val="24"/>
          <w:szCs w:val="24"/>
        </w:rPr>
        <w:t>n</w:t>
      </w:r>
      <w:proofErr w:type="gramEnd"/>
      <w:r w:rsidR="00021131" w:rsidRPr="00021131">
        <w:rPr>
          <w:rFonts w:asciiTheme="majorBidi" w:hAnsiTheme="majorBidi" w:cstheme="majorBidi"/>
          <w:sz w:val="24"/>
          <w:szCs w:val="24"/>
        </w:rPr>
        <w:t xml:space="preserve"> meilleur alignement des besoins en capitaux avec le profil de risque permet</w:t>
      </w:r>
      <w:r w:rsidR="002678CC">
        <w:rPr>
          <w:rFonts w:asciiTheme="majorBidi" w:hAnsiTheme="majorBidi" w:cstheme="majorBidi"/>
          <w:sz w:val="24"/>
          <w:szCs w:val="24"/>
        </w:rPr>
        <w:t>tant</w:t>
      </w:r>
      <w:r w:rsidR="00DB1357">
        <w:rPr>
          <w:rFonts w:asciiTheme="majorBidi" w:hAnsiTheme="majorBidi" w:cstheme="majorBidi"/>
          <w:sz w:val="24"/>
          <w:szCs w:val="24"/>
        </w:rPr>
        <w:t xml:space="preserve"> aux assureurs de donner</w:t>
      </w:r>
      <w:r w:rsidR="00021131" w:rsidRPr="00021131">
        <w:rPr>
          <w:rFonts w:asciiTheme="majorBidi" w:hAnsiTheme="majorBidi" w:cstheme="majorBidi"/>
          <w:sz w:val="24"/>
          <w:szCs w:val="24"/>
        </w:rPr>
        <w:t xml:space="preserve"> des produits innovants et une tarification plus compétitive</w:t>
      </w:r>
      <w:r w:rsidR="00DB1357">
        <w:rPr>
          <w:rFonts w:asciiTheme="majorBidi" w:hAnsiTheme="majorBidi" w:cstheme="majorBidi"/>
          <w:sz w:val="24"/>
          <w:szCs w:val="24"/>
        </w:rPr>
        <w:t>.</w:t>
      </w:r>
    </w:p>
    <w:p w:rsidR="00E16461" w:rsidRPr="002D6CF6" w:rsidRDefault="00E16461" w:rsidP="00E16461">
      <w:pPr>
        <w:autoSpaceDE w:val="0"/>
        <w:autoSpaceDN w:val="0"/>
        <w:adjustRightInd w:val="0"/>
        <w:spacing w:after="0" w:line="240" w:lineRule="auto"/>
        <w:jc w:val="both"/>
        <w:rPr>
          <w:rFonts w:asciiTheme="majorBidi" w:hAnsiTheme="majorBidi" w:cstheme="majorBidi"/>
          <w:sz w:val="24"/>
          <w:szCs w:val="24"/>
        </w:rPr>
      </w:pPr>
    </w:p>
    <w:p w:rsidR="002D6CF6" w:rsidRPr="002D6CF6" w:rsidRDefault="002457C2" w:rsidP="00DB1357">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Elle représente aussi u</w:t>
      </w:r>
      <w:r w:rsidR="002D6CF6" w:rsidRPr="002D6CF6">
        <w:rPr>
          <w:rFonts w:asciiTheme="majorBidi" w:hAnsiTheme="majorBidi" w:cstheme="majorBidi"/>
          <w:sz w:val="24"/>
          <w:szCs w:val="24"/>
        </w:rPr>
        <w:t>ne opportunité structurante d’optimiser et de rationaliser l’organisation interne</w:t>
      </w:r>
      <w:r w:rsidR="00200CD2">
        <w:rPr>
          <w:rFonts w:asciiTheme="majorBidi" w:hAnsiTheme="majorBidi" w:cstheme="majorBidi"/>
          <w:sz w:val="24"/>
          <w:szCs w:val="24"/>
        </w:rPr>
        <w:t xml:space="preserve"> </w:t>
      </w:r>
      <w:r w:rsidR="002D6CF6" w:rsidRPr="002D6CF6">
        <w:rPr>
          <w:rFonts w:asciiTheme="majorBidi" w:hAnsiTheme="majorBidi" w:cstheme="majorBidi"/>
          <w:sz w:val="24"/>
          <w:szCs w:val="24"/>
        </w:rPr>
        <w:t>et pour cela elles devront notamment veiller à :</w:t>
      </w:r>
    </w:p>
    <w:p w:rsidR="002D6CF6" w:rsidRPr="002D6CF6" w:rsidRDefault="002D6CF6" w:rsidP="000168A2">
      <w:pPr>
        <w:autoSpaceDE w:val="0"/>
        <w:autoSpaceDN w:val="0"/>
        <w:adjustRightInd w:val="0"/>
        <w:spacing w:after="0" w:line="360" w:lineRule="auto"/>
        <w:jc w:val="both"/>
        <w:rPr>
          <w:rFonts w:asciiTheme="majorBidi" w:hAnsiTheme="majorBidi" w:cstheme="majorBidi"/>
          <w:sz w:val="24"/>
          <w:szCs w:val="24"/>
        </w:rPr>
      </w:pPr>
      <w:r w:rsidRPr="002D6CF6">
        <w:rPr>
          <w:rFonts w:asciiTheme="majorBidi" w:hAnsiTheme="majorBidi" w:cstheme="majorBidi"/>
          <w:sz w:val="24"/>
          <w:szCs w:val="24"/>
        </w:rPr>
        <w:t>- l’optimisation des coûts</w:t>
      </w:r>
    </w:p>
    <w:p w:rsidR="002D6CF6" w:rsidRPr="002D6CF6" w:rsidRDefault="002D6CF6" w:rsidP="000168A2">
      <w:pPr>
        <w:autoSpaceDE w:val="0"/>
        <w:autoSpaceDN w:val="0"/>
        <w:adjustRightInd w:val="0"/>
        <w:spacing w:after="0" w:line="360" w:lineRule="auto"/>
        <w:jc w:val="both"/>
        <w:rPr>
          <w:rFonts w:asciiTheme="majorBidi" w:hAnsiTheme="majorBidi" w:cstheme="majorBidi"/>
          <w:sz w:val="24"/>
          <w:szCs w:val="24"/>
        </w:rPr>
      </w:pPr>
      <w:r w:rsidRPr="002D6CF6">
        <w:rPr>
          <w:rFonts w:asciiTheme="majorBidi" w:hAnsiTheme="majorBidi" w:cstheme="majorBidi"/>
          <w:sz w:val="24"/>
          <w:szCs w:val="24"/>
        </w:rPr>
        <w:t>- la réorganisation métiers</w:t>
      </w:r>
    </w:p>
    <w:p w:rsidR="002D6CF6" w:rsidRPr="002D6CF6" w:rsidRDefault="002D6CF6" w:rsidP="000168A2">
      <w:pPr>
        <w:autoSpaceDE w:val="0"/>
        <w:autoSpaceDN w:val="0"/>
        <w:adjustRightInd w:val="0"/>
        <w:spacing w:after="0" w:line="360" w:lineRule="auto"/>
        <w:jc w:val="both"/>
        <w:rPr>
          <w:rFonts w:asciiTheme="majorBidi" w:hAnsiTheme="majorBidi" w:cstheme="majorBidi"/>
          <w:sz w:val="24"/>
          <w:szCs w:val="24"/>
        </w:rPr>
      </w:pPr>
      <w:r w:rsidRPr="002D6CF6">
        <w:rPr>
          <w:rFonts w:asciiTheme="majorBidi" w:hAnsiTheme="majorBidi" w:cstheme="majorBidi"/>
          <w:sz w:val="24"/>
          <w:szCs w:val="24"/>
        </w:rPr>
        <w:t>- l’organisation de réflexions stratégiques</w:t>
      </w:r>
    </w:p>
    <w:p w:rsidR="002D6CF6" w:rsidRPr="002D6CF6" w:rsidRDefault="002D6CF6" w:rsidP="000168A2">
      <w:pPr>
        <w:autoSpaceDE w:val="0"/>
        <w:autoSpaceDN w:val="0"/>
        <w:adjustRightInd w:val="0"/>
        <w:spacing w:after="0" w:line="360" w:lineRule="auto"/>
        <w:jc w:val="both"/>
        <w:rPr>
          <w:rFonts w:asciiTheme="majorBidi" w:hAnsiTheme="majorBidi" w:cstheme="majorBidi"/>
          <w:sz w:val="24"/>
          <w:szCs w:val="24"/>
        </w:rPr>
      </w:pPr>
      <w:r w:rsidRPr="002D6CF6">
        <w:rPr>
          <w:rFonts w:asciiTheme="majorBidi" w:hAnsiTheme="majorBidi" w:cstheme="majorBidi"/>
          <w:sz w:val="24"/>
          <w:szCs w:val="24"/>
        </w:rPr>
        <w:t>- la mise en place de partenariats</w:t>
      </w:r>
    </w:p>
    <w:p w:rsidR="00E16461" w:rsidRPr="002D6CF6" w:rsidRDefault="002D6CF6" w:rsidP="000E5B93">
      <w:pPr>
        <w:autoSpaceDE w:val="0"/>
        <w:autoSpaceDN w:val="0"/>
        <w:adjustRightInd w:val="0"/>
        <w:spacing w:after="0" w:line="360" w:lineRule="auto"/>
        <w:jc w:val="both"/>
        <w:rPr>
          <w:rFonts w:asciiTheme="majorBidi" w:hAnsiTheme="majorBidi" w:cstheme="majorBidi"/>
          <w:sz w:val="24"/>
          <w:szCs w:val="24"/>
        </w:rPr>
      </w:pPr>
      <w:r w:rsidRPr="002D6CF6">
        <w:rPr>
          <w:rFonts w:asciiTheme="majorBidi" w:hAnsiTheme="majorBidi" w:cstheme="majorBidi"/>
          <w:sz w:val="24"/>
          <w:szCs w:val="24"/>
        </w:rPr>
        <w:t>- la mise en place ou renforcement du contrôle interne</w:t>
      </w:r>
    </w:p>
    <w:p w:rsidR="002457C2" w:rsidRDefault="002D6CF6" w:rsidP="002457C2">
      <w:pPr>
        <w:autoSpaceDE w:val="0"/>
        <w:autoSpaceDN w:val="0"/>
        <w:adjustRightInd w:val="0"/>
        <w:spacing w:after="0" w:line="360" w:lineRule="auto"/>
        <w:jc w:val="both"/>
        <w:rPr>
          <w:rFonts w:asciiTheme="majorBidi" w:hAnsiTheme="majorBidi" w:cstheme="majorBidi"/>
          <w:sz w:val="24"/>
          <w:szCs w:val="24"/>
        </w:rPr>
      </w:pPr>
      <w:r w:rsidRPr="002D6CF6">
        <w:rPr>
          <w:rFonts w:asciiTheme="majorBidi" w:hAnsiTheme="majorBidi" w:cstheme="majorBidi"/>
          <w:sz w:val="24"/>
          <w:szCs w:val="24"/>
        </w:rPr>
        <w:lastRenderedPageBreak/>
        <w:t>• Une opportunité structurante d’accélérer les acquisitions d’acteurs du secteur. Les différents investissements à entrevoir et les niveaux de marge de solvabilité élevés que ne pourront supporter c</w:t>
      </w:r>
      <w:r w:rsidR="00200CD2">
        <w:rPr>
          <w:rFonts w:asciiTheme="majorBidi" w:hAnsiTheme="majorBidi" w:cstheme="majorBidi"/>
          <w:sz w:val="24"/>
          <w:szCs w:val="24"/>
        </w:rPr>
        <w:t xml:space="preserve">ertaines compagnies </w:t>
      </w:r>
      <w:r w:rsidRPr="002D6CF6">
        <w:rPr>
          <w:rFonts w:asciiTheme="majorBidi" w:hAnsiTheme="majorBidi" w:cstheme="majorBidi"/>
          <w:sz w:val="24"/>
          <w:szCs w:val="24"/>
        </w:rPr>
        <w:t>vont accélérer les mouvements de concentration déjà en cours dans le secteur de l’assurance. Les solutions à envis</w:t>
      </w:r>
      <w:r w:rsidR="00200CD2">
        <w:rPr>
          <w:rFonts w:asciiTheme="majorBidi" w:hAnsiTheme="majorBidi" w:cstheme="majorBidi"/>
          <w:sz w:val="24"/>
          <w:szCs w:val="24"/>
        </w:rPr>
        <w:t>ager peuvent être, par exemple :</w:t>
      </w:r>
      <w:r w:rsidRPr="002D6CF6">
        <w:rPr>
          <w:rFonts w:asciiTheme="majorBidi" w:hAnsiTheme="majorBidi" w:cstheme="majorBidi"/>
          <w:sz w:val="24"/>
          <w:szCs w:val="24"/>
        </w:rPr>
        <w:t xml:space="preserve"> Fusion</w:t>
      </w:r>
      <w:r w:rsidR="002457C2">
        <w:rPr>
          <w:rFonts w:asciiTheme="majorBidi" w:hAnsiTheme="majorBidi" w:cstheme="majorBidi"/>
          <w:sz w:val="24"/>
          <w:szCs w:val="24"/>
        </w:rPr>
        <w:t xml:space="preserve"> ou </w:t>
      </w:r>
      <w:r w:rsidRPr="002D6CF6">
        <w:rPr>
          <w:rFonts w:asciiTheme="majorBidi" w:hAnsiTheme="majorBidi" w:cstheme="majorBidi"/>
          <w:sz w:val="24"/>
          <w:szCs w:val="24"/>
        </w:rPr>
        <w:t>Absorption</w:t>
      </w:r>
      <w:r w:rsidR="002457C2">
        <w:rPr>
          <w:rFonts w:asciiTheme="majorBidi" w:hAnsiTheme="majorBidi" w:cstheme="majorBidi"/>
          <w:sz w:val="24"/>
          <w:szCs w:val="24"/>
        </w:rPr>
        <w:t>.</w:t>
      </w:r>
    </w:p>
    <w:p w:rsidR="002457C2" w:rsidRPr="002D6CF6" w:rsidRDefault="002457C2" w:rsidP="002457C2">
      <w:pPr>
        <w:autoSpaceDE w:val="0"/>
        <w:autoSpaceDN w:val="0"/>
        <w:adjustRightInd w:val="0"/>
        <w:spacing w:after="0" w:line="240" w:lineRule="auto"/>
        <w:jc w:val="both"/>
        <w:rPr>
          <w:rFonts w:asciiTheme="majorBidi" w:hAnsiTheme="majorBidi" w:cstheme="majorBidi"/>
          <w:sz w:val="24"/>
          <w:szCs w:val="24"/>
        </w:rPr>
      </w:pPr>
    </w:p>
    <w:p w:rsidR="002D6CF6" w:rsidRPr="002D6CF6" w:rsidRDefault="002D6CF6" w:rsidP="000168A2">
      <w:pPr>
        <w:autoSpaceDE w:val="0"/>
        <w:autoSpaceDN w:val="0"/>
        <w:adjustRightInd w:val="0"/>
        <w:spacing w:after="0" w:line="360" w:lineRule="auto"/>
        <w:jc w:val="both"/>
        <w:rPr>
          <w:rFonts w:asciiTheme="majorBidi" w:hAnsiTheme="majorBidi" w:cstheme="majorBidi"/>
          <w:sz w:val="24"/>
          <w:szCs w:val="24"/>
        </w:rPr>
      </w:pPr>
      <w:r w:rsidRPr="002D6CF6">
        <w:rPr>
          <w:rFonts w:asciiTheme="majorBidi" w:hAnsiTheme="majorBidi" w:cstheme="majorBidi"/>
          <w:sz w:val="24"/>
          <w:szCs w:val="24"/>
        </w:rPr>
        <w:t>• Une opportunité structurante de renforcer le contrôle du risque opérationnel. En effet, les calculs de ratios de solvabilité nécessitent la prise en compte du risque opérationnel dans le calcul et l’intégrer dans le calcul du SCR. Pour une prise en compte optimale, l</w:t>
      </w:r>
      <w:r w:rsidR="007E2136">
        <w:rPr>
          <w:rFonts w:asciiTheme="majorBidi" w:hAnsiTheme="majorBidi" w:cstheme="majorBidi"/>
          <w:sz w:val="24"/>
          <w:szCs w:val="24"/>
        </w:rPr>
        <w:t xml:space="preserve">es sociétés d’assurance </w:t>
      </w:r>
      <w:proofErr w:type="gramStart"/>
      <w:r w:rsidR="007E2136">
        <w:rPr>
          <w:rFonts w:asciiTheme="majorBidi" w:hAnsiTheme="majorBidi" w:cstheme="majorBidi"/>
          <w:sz w:val="24"/>
          <w:szCs w:val="24"/>
        </w:rPr>
        <w:t>devront</w:t>
      </w:r>
      <w:r w:rsidRPr="002D6CF6">
        <w:rPr>
          <w:rFonts w:asciiTheme="majorBidi" w:hAnsiTheme="majorBidi" w:cstheme="majorBidi"/>
          <w:sz w:val="24"/>
          <w:szCs w:val="24"/>
        </w:rPr>
        <w:t>:</w:t>
      </w:r>
      <w:proofErr w:type="gramEnd"/>
    </w:p>
    <w:p w:rsidR="002D6CF6" w:rsidRPr="002D6CF6" w:rsidRDefault="002D6CF6" w:rsidP="000168A2">
      <w:pPr>
        <w:autoSpaceDE w:val="0"/>
        <w:autoSpaceDN w:val="0"/>
        <w:adjustRightInd w:val="0"/>
        <w:spacing w:after="0" w:line="360" w:lineRule="auto"/>
        <w:jc w:val="both"/>
        <w:rPr>
          <w:rFonts w:asciiTheme="majorBidi" w:hAnsiTheme="majorBidi" w:cstheme="majorBidi"/>
          <w:sz w:val="24"/>
          <w:szCs w:val="24"/>
        </w:rPr>
      </w:pPr>
      <w:r w:rsidRPr="002D6CF6">
        <w:rPr>
          <w:rFonts w:asciiTheme="majorBidi" w:hAnsiTheme="majorBidi" w:cstheme="majorBidi"/>
          <w:sz w:val="24"/>
          <w:szCs w:val="24"/>
        </w:rPr>
        <w:t>- Identifier les différents processus de la société</w:t>
      </w:r>
    </w:p>
    <w:p w:rsidR="002D6CF6" w:rsidRPr="002D6CF6" w:rsidRDefault="002D6CF6" w:rsidP="000168A2">
      <w:pPr>
        <w:autoSpaceDE w:val="0"/>
        <w:autoSpaceDN w:val="0"/>
        <w:adjustRightInd w:val="0"/>
        <w:spacing w:after="0" w:line="360" w:lineRule="auto"/>
        <w:jc w:val="both"/>
        <w:rPr>
          <w:rFonts w:asciiTheme="majorBidi" w:hAnsiTheme="majorBidi" w:cstheme="majorBidi"/>
          <w:sz w:val="24"/>
          <w:szCs w:val="24"/>
        </w:rPr>
      </w:pPr>
      <w:r w:rsidRPr="002D6CF6">
        <w:rPr>
          <w:rFonts w:asciiTheme="majorBidi" w:hAnsiTheme="majorBidi" w:cstheme="majorBidi"/>
          <w:sz w:val="24"/>
          <w:szCs w:val="24"/>
        </w:rPr>
        <w:t>- Identifier et quantifier les risques opérationnels</w:t>
      </w:r>
    </w:p>
    <w:p w:rsidR="002D6CF6" w:rsidRPr="002D6CF6" w:rsidRDefault="002D6CF6" w:rsidP="000168A2">
      <w:pPr>
        <w:autoSpaceDE w:val="0"/>
        <w:autoSpaceDN w:val="0"/>
        <w:adjustRightInd w:val="0"/>
        <w:spacing w:after="0" w:line="360" w:lineRule="auto"/>
        <w:jc w:val="both"/>
        <w:rPr>
          <w:rFonts w:asciiTheme="majorBidi" w:hAnsiTheme="majorBidi" w:cstheme="majorBidi"/>
          <w:sz w:val="24"/>
          <w:szCs w:val="24"/>
        </w:rPr>
      </w:pPr>
      <w:r w:rsidRPr="002D6CF6">
        <w:rPr>
          <w:rFonts w:asciiTheme="majorBidi" w:hAnsiTheme="majorBidi" w:cstheme="majorBidi"/>
          <w:sz w:val="24"/>
          <w:szCs w:val="24"/>
        </w:rPr>
        <w:t>- Mettre en place une solution de suivi des risques</w:t>
      </w:r>
    </w:p>
    <w:p w:rsidR="002D6CF6" w:rsidRDefault="002D6CF6" w:rsidP="000168A2">
      <w:pPr>
        <w:autoSpaceDE w:val="0"/>
        <w:autoSpaceDN w:val="0"/>
        <w:adjustRightInd w:val="0"/>
        <w:spacing w:after="0" w:line="360" w:lineRule="auto"/>
        <w:jc w:val="both"/>
        <w:rPr>
          <w:rFonts w:asciiTheme="majorBidi" w:hAnsiTheme="majorBidi" w:cstheme="majorBidi"/>
          <w:sz w:val="24"/>
          <w:szCs w:val="24"/>
        </w:rPr>
      </w:pPr>
      <w:r w:rsidRPr="002D6CF6">
        <w:rPr>
          <w:rFonts w:asciiTheme="majorBidi" w:hAnsiTheme="majorBidi" w:cstheme="majorBidi"/>
          <w:sz w:val="24"/>
          <w:szCs w:val="24"/>
        </w:rPr>
        <w:t>- Optimiser les processus existants pour minimiser le risque opérationnel</w:t>
      </w:r>
    </w:p>
    <w:p w:rsidR="00F55015" w:rsidRPr="002D6CF6" w:rsidRDefault="00F55015" w:rsidP="00F55015">
      <w:pPr>
        <w:autoSpaceDE w:val="0"/>
        <w:autoSpaceDN w:val="0"/>
        <w:adjustRightInd w:val="0"/>
        <w:spacing w:after="0" w:line="240" w:lineRule="auto"/>
        <w:jc w:val="both"/>
        <w:rPr>
          <w:rFonts w:asciiTheme="majorBidi" w:hAnsiTheme="majorBidi" w:cstheme="majorBidi"/>
          <w:sz w:val="24"/>
          <w:szCs w:val="24"/>
        </w:rPr>
      </w:pPr>
    </w:p>
    <w:p w:rsidR="002D6CF6" w:rsidRDefault="002D6CF6" w:rsidP="00F55015">
      <w:pPr>
        <w:autoSpaceDE w:val="0"/>
        <w:autoSpaceDN w:val="0"/>
        <w:adjustRightInd w:val="0"/>
        <w:spacing w:after="0" w:line="360" w:lineRule="auto"/>
        <w:jc w:val="both"/>
        <w:rPr>
          <w:rFonts w:asciiTheme="majorBidi" w:hAnsiTheme="majorBidi" w:cstheme="majorBidi"/>
          <w:sz w:val="24"/>
          <w:szCs w:val="24"/>
        </w:rPr>
      </w:pPr>
      <w:r w:rsidRPr="002D6CF6">
        <w:rPr>
          <w:rFonts w:asciiTheme="majorBidi" w:hAnsiTheme="majorBidi" w:cstheme="majorBidi"/>
          <w:sz w:val="24"/>
          <w:szCs w:val="24"/>
        </w:rPr>
        <w:t>• Une opportunité structurante de repenser l’architecture des systèmes d’Informations afin d’optimiser les coûts, de maîtriser ses processus, de standardiser ses systèmes financiers et de gestion.</w:t>
      </w:r>
      <w:r w:rsidR="00F55015">
        <w:rPr>
          <w:rFonts w:asciiTheme="majorBidi" w:hAnsiTheme="majorBidi" w:cstheme="majorBidi"/>
          <w:sz w:val="24"/>
          <w:szCs w:val="24"/>
        </w:rPr>
        <w:t xml:space="preserve"> </w:t>
      </w:r>
      <w:r w:rsidRPr="002D6CF6">
        <w:rPr>
          <w:rFonts w:asciiTheme="majorBidi" w:hAnsiTheme="majorBidi" w:cstheme="majorBidi"/>
          <w:sz w:val="24"/>
          <w:szCs w:val="24"/>
        </w:rPr>
        <w:t>Pour cela, les sociétés d’assurance pourront :</w:t>
      </w:r>
    </w:p>
    <w:p w:rsidR="00103990" w:rsidRPr="002D6CF6" w:rsidRDefault="00103990" w:rsidP="00103990">
      <w:pPr>
        <w:autoSpaceDE w:val="0"/>
        <w:autoSpaceDN w:val="0"/>
        <w:adjustRightInd w:val="0"/>
        <w:spacing w:after="0" w:line="240" w:lineRule="auto"/>
        <w:jc w:val="both"/>
        <w:rPr>
          <w:rFonts w:asciiTheme="majorBidi" w:hAnsiTheme="majorBidi" w:cstheme="majorBidi"/>
          <w:sz w:val="24"/>
          <w:szCs w:val="24"/>
        </w:rPr>
      </w:pPr>
    </w:p>
    <w:p w:rsidR="002D6CF6" w:rsidRPr="002D6CF6" w:rsidRDefault="002D6CF6" w:rsidP="000168A2">
      <w:pPr>
        <w:autoSpaceDE w:val="0"/>
        <w:autoSpaceDN w:val="0"/>
        <w:adjustRightInd w:val="0"/>
        <w:spacing w:after="0" w:line="360" w:lineRule="auto"/>
        <w:jc w:val="both"/>
        <w:rPr>
          <w:rFonts w:asciiTheme="majorBidi" w:hAnsiTheme="majorBidi" w:cstheme="majorBidi"/>
          <w:sz w:val="24"/>
          <w:szCs w:val="24"/>
        </w:rPr>
      </w:pPr>
      <w:r w:rsidRPr="002D6CF6">
        <w:rPr>
          <w:rFonts w:asciiTheme="majorBidi" w:hAnsiTheme="majorBidi" w:cstheme="majorBidi"/>
          <w:sz w:val="24"/>
          <w:szCs w:val="24"/>
        </w:rPr>
        <w:t>- Mettre en place des progiciels de gestion et des outils financiers intégrés</w:t>
      </w:r>
    </w:p>
    <w:p w:rsidR="002D6CF6" w:rsidRPr="002D6CF6" w:rsidRDefault="002D6CF6" w:rsidP="000168A2">
      <w:pPr>
        <w:autoSpaceDE w:val="0"/>
        <w:autoSpaceDN w:val="0"/>
        <w:adjustRightInd w:val="0"/>
        <w:spacing w:after="0" w:line="360" w:lineRule="auto"/>
        <w:jc w:val="both"/>
        <w:rPr>
          <w:rFonts w:asciiTheme="majorBidi" w:hAnsiTheme="majorBidi" w:cstheme="majorBidi"/>
          <w:sz w:val="24"/>
          <w:szCs w:val="24"/>
        </w:rPr>
      </w:pPr>
      <w:r w:rsidRPr="002D6CF6">
        <w:rPr>
          <w:rFonts w:asciiTheme="majorBidi" w:hAnsiTheme="majorBidi" w:cstheme="majorBidi"/>
          <w:sz w:val="24"/>
          <w:szCs w:val="24"/>
        </w:rPr>
        <w:t>- Standardiser les outils</w:t>
      </w:r>
    </w:p>
    <w:p w:rsidR="002D6CF6" w:rsidRPr="002D6CF6" w:rsidRDefault="002D6CF6" w:rsidP="000168A2">
      <w:pPr>
        <w:autoSpaceDE w:val="0"/>
        <w:autoSpaceDN w:val="0"/>
        <w:adjustRightInd w:val="0"/>
        <w:spacing w:after="0" w:line="360" w:lineRule="auto"/>
        <w:jc w:val="both"/>
        <w:rPr>
          <w:rFonts w:asciiTheme="majorBidi" w:hAnsiTheme="majorBidi" w:cstheme="majorBidi"/>
          <w:sz w:val="24"/>
          <w:szCs w:val="24"/>
        </w:rPr>
      </w:pPr>
      <w:r w:rsidRPr="002D6CF6">
        <w:rPr>
          <w:rFonts w:asciiTheme="majorBidi" w:hAnsiTheme="majorBidi" w:cstheme="majorBidi"/>
          <w:sz w:val="24"/>
          <w:szCs w:val="24"/>
        </w:rPr>
        <w:t>- Mutualiser les systèmes</w:t>
      </w:r>
    </w:p>
    <w:p w:rsidR="002D6CF6" w:rsidRPr="002D6CF6" w:rsidRDefault="002D6CF6" w:rsidP="000168A2">
      <w:pPr>
        <w:autoSpaceDE w:val="0"/>
        <w:autoSpaceDN w:val="0"/>
        <w:adjustRightInd w:val="0"/>
        <w:spacing w:after="0" w:line="360" w:lineRule="auto"/>
        <w:jc w:val="both"/>
        <w:rPr>
          <w:rFonts w:asciiTheme="majorBidi" w:hAnsiTheme="majorBidi" w:cstheme="majorBidi"/>
          <w:sz w:val="24"/>
          <w:szCs w:val="24"/>
        </w:rPr>
      </w:pPr>
      <w:r w:rsidRPr="002D6CF6">
        <w:rPr>
          <w:rFonts w:asciiTheme="majorBidi" w:hAnsiTheme="majorBidi" w:cstheme="majorBidi"/>
          <w:sz w:val="24"/>
          <w:szCs w:val="24"/>
        </w:rPr>
        <w:t>- Mettre en place des outils de pilotage et de suivi des risques</w:t>
      </w:r>
    </w:p>
    <w:p w:rsidR="009565D0" w:rsidRPr="002D6CF6" w:rsidRDefault="009565D0" w:rsidP="000168A2">
      <w:pPr>
        <w:spacing w:line="360" w:lineRule="auto"/>
        <w:jc w:val="both"/>
        <w:rPr>
          <w:rFonts w:asciiTheme="majorBidi" w:hAnsiTheme="majorBidi" w:cstheme="majorBidi"/>
          <w:b/>
          <w:bCs/>
          <w:sz w:val="24"/>
          <w:szCs w:val="24"/>
        </w:rPr>
      </w:pPr>
      <w:r w:rsidRPr="002D6CF6">
        <w:rPr>
          <w:rFonts w:asciiTheme="majorBidi" w:hAnsiTheme="majorBidi" w:cstheme="majorBidi"/>
          <w:b/>
          <w:bCs/>
          <w:sz w:val="24"/>
          <w:szCs w:val="24"/>
        </w:rPr>
        <w:t xml:space="preserve"> </w:t>
      </w:r>
    </w:p>
    <w:p w:rsidR="009565D0" w:rsidRDefault="009565D0" w:rsidP="000168A2">
      <w:pPr>
        <w:spacing w:line="360" w:lineRule="auto"/>
        <w:jc w:val="both"/>
        <w:rPr>
          <w:rFonts w:ascii="Times New Roman" w:hAnsi="Times New Roman" w:cs="Times New Roman"/>
          <w:b/>
          <w:bCs/>
          <w:sz w:val="24"/>
        </w:rPr>
      </w:pPr>
    </w:p>
    <w:p w:rsidR="00453B1E" w:rsidRDefault="00453B1E" w:rsidP="000168A2">
      <w:pPr>
        <w:spacing w:line="360" w:lineRule="auto"/>
        <w:jc w:val="both"/>
        <w:rPr>
          <w:rFonts w:ascii="Times New Roman" w:hAnsi="Times New Roman" w:cs="Times New Roman"/>
          <w:b/>
          <w:bCs/>
          <w:sz w:val="24"/>
        </w:rPr>
      </w:pPr>
    </w:p>
    <w:p w:rsidR="00453B1E" w:rsidRPr="00F636E6" w:rsidRDefault="00453B1E" w:rsidP="00CC7304">
      <w:pPr>
        <w:spacing w:line="360" w:lineRule="auto"/>
        <w:jc w:val="both"/>
        <w:rPr>
          <w:rFonts w:ascii="Times New Roman" w:hAnsi="Times New Roman" w:cs="Times New Roman"/>
          <w:b/>
          <w:bCs/>
          <w:sz w:val="24"/>
        </w:rPr>
      </w:pPr>
    </w:p>
    <w:p w:rsidR="002F7234" w:rsidRPr="00F4770D" w:rsidRDefault="0019112C" w:rsidP="00CC7304">
      <w:pPr>
        <w:spacing w:line="360" w:lineRule="auto"/>
        <w:jc w:val="both"/>
        <w:rPr>
          <w:rFonts w:asciiTheme="majorBidi" w:hAnsiTheme="majorBidi" w:cstheme="majorBidi"/>
          <w:b/>
          <w:bCs/>
          <w:sz w:val="24"/>
          <w:szCs w:val="24"/>
        </w:rPr>
      </w:pPr>
      <w:r w:rsidRPr="00F4770D">
        <w:rPr>
          <w:rFonts w:asciiTheme="majorBidi" w:hAnsiTheme="majorBidi" w:cstheme="majorBidi"/>
          <w:b/>
          <w:bCs/>
          <w:sz w:val="24"/>
          <w:szCs w:val="24"/>
        </w:rPr>
        <w:t xml:space="preserve">  </w:t>
      </w:r>
      <w:r w:rsidR="00384957" w:rsidRPr="00F4770D">
        <w:rPr>
          <w:rFonts w:asciiTheme="majorBidi" w:hAnsiTheme="majorBidi" w:cstheme="majorBidi"/>
          <w:b/>
          <w:bCs/>
          <w:sz w:val="24"/>
          <w:szCs w:val="24"/>
        </w:rPr>
        <w:t xml:space="preserve">   </w:t>
      </w:r>
      <w:r w:rsidR="005B350F" w:rsidRPr="00F4770D">
        <w:rPr>
          <w:rFonts w:asciiTheme="majorBidi" w:hAnsiTheme="majorBidi" w:cstheme="majorBidi"/>
          <w:b/>
          <w:bCs/>
          <w:sz w:val="24"/>
          <w:szCs w:val="24"/>
        </w:rPr>
        <w:t xml:space="preserve"> </w:t>
      </w:r>
    </w:p>
    <w:sectPr w:rsidR="002F7234" w:rsidRPr="00F4770D" w:rsidSect="000F4AC9">
      <w:headerReference w:type="default" r:id="rId12"/>
      <w:footerReference w:type="default" r:id="rId13"/>
      <w:footnotePr>
        <w:numRestart w:val="eachPage"/>
      </w:footnotePr>
      <w:pgSz w:w="11906" w:h="16838"/>
      <w:pgMar w:top="1417" w:right="1417" w:bottom="1417" w:left="1417" w:header="708" w:footer="708" w:gutter="0"/>
      <w:pgNumType w:start="8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744" w:rsidRDefault="00D36744" w:rsidP="00014DCA">
      <w:pPr>
        <w:spacing w:after="0" w:line="240" w:lineRule="auto"/>
      </w:pPr>
      <w:r>
        <w:separator/>
      </w:r>
    </w:p>
  </w:endnote>
  <w:endnote w:type="continuationSeparator" w:id="1">
    <w:p w:rsidR="00D36744" w:rsidRDefault="00D36744" w:rsidP="00014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USGTX+EideticNeoBold">
    <w:altName w:val="Eidetic Neo Bold"/>
    <w:panose1 w:val="00000000000000000000"/>
    <w:charset w:val="00"/>
    <w:family w:val="roman"/>
    <w:notTrueType/>
    <w:pitch w:val="default"/>
    <w:sig w:usb0="00000003" w:usb1="00000000" w:usb2="00000000" w:usb3="00000000" w:csb0="00000001" w:csb1="00000000"/>
  </w:font>
  <w:font w:name="TAGEXP+EideticNeoRegular">
    <w:altName w:val="Eidetic Neo"/>
    <w:panose1 w:val="00000000000000000000"/>
    <w:charset w:val="00"/>
    <w:family w:val="roman"/>
    <w:notTrueType/>
    <w:pitch w:val="default"/>
    <w:sig w:usb0="00000003" w:usb1="00000000" w:usb2="00000000" w:usb3="00000000" w:csb0="00000001" w:csb1="00000000"/>
  </w:font>
  <w:font w:name="RKMSVT+Sophisto-CGauge">
    <w:altName w:val="Arial"/>
    <w:panose1 w:val="00000000000000000000"/>
    <w:charset w:val="00"/>
    <w:family w:val="swiss"/>
    <w:notTrueType/>
    <w:pitch w:val="default"/>
    <w:sig w:usb0="00000003" w:usb1="00000000" w:usb2="00000000" w:usb3="00000000" w:csb0="00000001" w:csb1="00000000"/>
  </w:font>
  <w:font w:name="NEYURB+Sophisto-EGauge">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ophistoAGauge">
    <w:altName w:val="Times New Roman"/>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14" w:rsidRDefault="00341914">
    <w:pPr>
      <w:pStyle w:val="Pieddepage"/>
    </w:pPr>
    <w:r>
      <w:rPr>
        <w:rFonts w:ascii="Monotype Corsiva" w:hAnsi="Monotype Corsiva"/>
        <w:b/>
        <w:bCs/>
      </w:rPr>
      <w:t xml:space="preserve">                                         Partie N°</w:t>
    </w:r>
    <w:proofErr w:type="gramStart"/>
    <w:r>
      <w:rPr>
        <w:rFonts w:ascii="Monotype Corsiva" w:hAnsi="Monotype Corsiva"/>
        <w:b/>
        <w:bCs/>
      </w:rPr>
      <w:t>2</w:t>
    </w:r>
    <w:r w:rsidRPr="0042480C">
      <w:rPr>
        <w:rFonts w:ascii="Monotype Corsiva" w:hAnsi="Monotype Corsiva"/>
        <w:b/>
        <w:bCs/>
      </w:rPr>
      <w:t>:</w:t>
    </w:r>
    <w:proofErr w:type="gramEnd"/>
    <w:r w:rsidRPr="0042480C">
      <w:rPr>
        <w:rFonts w:ascii="Monotype Corsiva" w:hAnsi="Monotype Corsiva"/>
        <w:b/>
        <w:bCs/>
      </w:rPr>
      <w:t xml:space="preserve"> </w:t>
    </w:r>
    <w:r>
      <w:rPr>
        <w:rFonts w:ascii="Monotype Corsiva" w:hAnsi="Monotype Corsiva"/>
        <w:b/>
        <w:bCs/>
      </w:rPr>
      <w:t>L’application des normes de solvabilité II sur le marché algérien des assurances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744" w:rsidRDefault="00D36744" w:rsidP="00014DCA">
      <w:pPr>
        <w:spacing w:after="0" w:line="240" w:lineRule="auto"/>
      </w:pPr>
      <w:r>
        <w:separator/>
      </w:r>
    </w:p>
  </w:footnote>
  <w:footnote w:type="continuationSeparator" w:id="1">
    <w:p w:rsidR="00D36744" w:rsidRDefault="00D36744" w:rsidP="00014DCA">
      <w:pPr>
        <w:spacing w:after="0" w:line="240" w:lineRule="auto"/>
      </w:pPr>
      <w:r>
        <w:continuationSeparator/>
      </w:r>
    </w:p>
  </w:footnote>
  <w:footnote w:id="2">
    <w:p w:rsidR="00341914" w:rsidRDefault="00341914">
      <w:pPr>
        <w:pStyle w:val="Notedebasdepage"/>
      </w:pPr>
      <w:r w:rsidRPr="00341914">
        <w:rPr>
          <w:rStyle w:val="Appelnotedebasdep"/>
        </w:rPr>
        <w:sym w:font="Symbol" w:char="F02A"/>
      </w:r>
      <w:r>
        <w:t xml:space="preserve"> </w:t>
      </w:r>
      <w:r w:rsidR="00630B2C">
        <w:rPr>
          <w:rFonts w:asciiTheme="majorBidi" w:hAnsiTheme="majorBidi" w:cstheme="majorBidi"/>
          <w:sz w:val="22"/>
          <w:szCs w:val="22"/>
        </w:rPr>
        <w:t>Le ratio</w:t>
      </w:r>
      <w:r w:rsidR="00630B2C" w:rsidRPr="008C0BBA">
        <w:rPr>
          <w:rFonts w:asciiTheme="majorBidi" w:hAnsiTheme="majorBidi" w:cstheme="majorBidi"/>
          <w:sz w:val="22"/>
          <w:szCs w:val="22"/>
        </w:rPr>
        <w:t xml:space="preserve"> combiné= charges sinistres/ primes acquises </w:t>
      </w:r>
      <w:r w:rsidR="00630B2C" w:rsidRPr="008C0BBA">
        <w:rPr>
          <w:rFonts w:asciiTheme="majorBidi" w:hAnsiTheme="majorBidi" w:cstheme="majorBidi"/>
          <w:b/>
          <w:bCs/>
          <w:sz w:val="22"/>
          <w:szCs w:val="22"/>
        </w:rPr>
        <w:t>(S/P)</w:t>
      </w:r>
    </w:p>
  </w:footnote>
  <w:footnote w:id="3">
    <w:p w:rsidR="00341914" w:rsidRPr="00CD5B8C" w:rsidRDefault="00630B2C" w:rsidP="00CD5B8C">
      <w:pPr>
        <w:pStyle w:val="Default"/>
        <w:rPr>
          <w:rFonts w:ascii="NEYURB+Sophisto-EGauge" w:hAnsi="NEYURB+Sophisto-EGauge" w:cs="NEYURB+Sophisto-EGauge"/>
        </w:rPr>
      </w:pPr>
      <w:r>
        <w:rPr>
          <w:rStyle w:val="Appelnotedebasdep"/>
          <w:rFonts w:asciiTheme="minorHAnsi" w:hAnsiTheme="minorHAnsi" w:cstheme="minorBidi"/>
          <w:color w:val="auto"/>
          <w:sz w:val="20"/>
          <w:szCs w:val="20"/>
        </w:rPr>
        <w:footnoteRef/>
      </w:r>
      <w:r w:rsidR="00341914" w:rsidRPr="00CD5B8C">
        <w:rPr>
          <w:rStyle w:val="Appelnotedebasdep"/>
          <w:sz w:val="20"/>
          <w:szCs w:val="20"/>
        </w:rPr>
        <w:footnoteRef/>
      </w:r>
      <w:r w:rsidR="00341914">
        <w:t xml:space="preserve"> </w:t>
      </w:r>
      <w:r w:rsidR="00341914" w:rsidRPr="00CD5B8C">
        <w:rPr>
          <w:rFonts w:ascii="RKMSVT+Sophisto-CGauge" w:hAnsi="RKMSVT+Sophisto-CGauge"/>
        </w:rPr>
        <w:t xml:space="preserve"> </w:t>
      </w:r>
      <w:r w:rsidR="00341914" w:rsidRPr="00FD3B25">
        <w:rPr>
          <w:rFonts w:asciiTheme="majorBidi" w:hAnsiTheme="majorBidi" w:cstheme="majorBidi"/>
          <w:sz w:val="22"/>
          <w:szCs w:val="22"/>
        </w:rPr>
        <w:t xml:space="preserve">Les dossiers techniques d’information </w:t>
      </w:r>
      <w:proofErr w:type="spellStart"/>
      <w:r w:rsidR="00341914" w:rsidRPr="00FD3B25">
        <w:rPr>
          <w:rFonts w:asciiTheme="majorBidi" w:hAnsiTheme="majorBidi" w:cstheme="majorBidi"/>
          <w:sz w:val="22"/>
          <w:szCs w:val="22"/>
        </w:rPr>
        <w:t>Optimind</w:t>
      </w:r>
      <w:proofErr w:type="spellEnd"/>
      <w:r w:rsidR="00341914" w:rsidRPr="00FD3B25">
        <w:rPr>
          <w:rFonts w:asciiTheme="majorBidi" w:hAnsiTheme="majorBidi" w:cstheme="majorBidi"/>
          <w:sz w:val="22"/>
          <w:szCs w:val="22"/>
        </w:rPr>
        <w:t xml:space="preserve">, </w:t>
      </w:r>
      <w:r w:rsidR="00341914" w:rsidRPr="00FD3B25">
        <w:rPr>
          <w:rFonts w:asciiTheme="majorBidi" w:hAnsiTheme="majorBidi" w:cstheme="majorBidi"/>
          <w:sz w:val="22"/>
          <w:szCs w:val="22"/>
          <w:u w:val="single"/>
        </w:rPr>
        <w:t>Solvabilité II : Point d’étape</w:t>
      </w:r>
      <w:r w:rsidR="00341914" w:rsidRPr="00FD3B25">
        <w:rPr>
          <w:rFonts w:asciiTheme="majorBidi" w:hAnsiTheme="majorBidi" w:cstheme="majorBidi"/>
          <w:sz w:val="22"/>
          <w:szCs w:val="22"/>
        </w:rPr>
        <w:t>,</w:t>
      </w:r>
      <w:r w:rsidR="00341914" w:rsidRPr="00FD3B25">
        <w:rPr>
          <w:rFonts w:asciiTheme="majorBidi" w:hAnsiTheme="majorBidi" w:cstheme="majorBidi"/>
          <w:sz w:val="22"/>
          <w:szCs w:val="22"/>
          <w:u w:val="single"/>
        </w:rPr>
        <w:t xml:space="preserve"> </w:t>
      </w:r>
      <w:proofErr w:type="spellStart"/>
      <w:r w:rsidR="00341914" w:rsidRPr="00FD3B25">
        <w:rPr>
          <w:rFonts w:asciiTheme="majorBidi" w:hAnsiTheme="majorBidi" w:cstheme="majorBidi"/>
          <w:sz w:val="22"/>
          <w:szCs w:val="22"/>
        </w:rPr>
        <w:t>Optimind</w:t>
      </w:r>
      <w:proofErr w:type="spellEnd"/>
      <w:r w:rsidR="00341914" w:rsidRPr="00FD3B25">
        <w:rPr>
          <w:rFonts w:asciiTheme="majorBidi" w:hAnsiTheme="majorBidi" w:cstheme="majorBidi"/>
          <w:sz w:val="22"/>
          <w:szCs w:val="22"/>
        </w:rPr>
        <w:t>,</w:t>
      </w:r>
      <w:r w:rsidR="00341914">
        <w:rPr>
          <w:rFonts w:asciiTheme="majorBidi" w:hAnsiTheme="majorBidi" w:cstheme="majorBidi"/>
          <w:sz w:val="22"/>
          <w:szCs w:val="22"/>
        </w:rPr>
        <w:t xml:space="preserve"> </w:t>
      </w:r>
      <w:r w:rsidR="00341914" w:rsidRPr="00FD3B25">
        <w:rPr>
          <w:rFonts w:asciiTheme="majorBidi" w:hAnsiTheme="majorBidi" w:cstheme="majorBidi"/>
          <w:sz w:val="22"/>
          <w:szCs w:val="22"/>
        </w:rPr>
        <w:t>Paris</w:t>
      </w:r>
      <w:proofErr w:type="gramStart"/>
      <w:r w:rsidR="00341914" w:rsidRPr="00FD3B25">
        <w:rPr>
          <w:rFonts w:asciiTheme="majorBidi" w:hAnsiTheme="majorBidi" w:cstheme="majorBidi"/>
          <w:sz w:val="22"/>
          <w:szCs w:val="22"/>
        </w:rPr>
        <w:t>,</w:t>
      </w:r>
      <w:r w:rsidR="00341914">
        <w:rPr>
          <w:rFonts w:asciiTheme="majorBidi" w:hAnsiTheme="majorBidi" w:cstheme="majorBidi"/>
          <w:sz w:val="22"/>
          <w:szCs w:val="22"/>
        </w:rPr>
        <w:t xml:space="preserve"> </w:t>
      </w:r>
      <w:r w:rsidR="00341914" w:rsidRPr="00FD3B25">
        <w:rPr>
          <w:rFonts w:asciiTheme="majorBidi" w:hAnsiTheme="majorBidi" w:cstheme="majorBidi"/>
          <w:sz w:val="22"/>
          <w:szCs w:val="22"/>
        </w:rPr>
        <w:t xml:space="preserve"> Mars</w:t>
      </w:r>
      <w:proofErr w:type="gramEnd"/>
      <w:r w:rsidR="00341914" w:rsidRPr="00FD3B25">
        <w:rPr>
          <w:rFonts w:asciiTheme="majorBidi" w:hAnsiTheme="majorBidi" w:cstheme="majorBidi"/>
          <w:sz w:val="22"/>
          <w:szCs w:val="22"/>
        </w:rPr>
        <w:t xml:space="preserve"> 2008, P8.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14" w:rsidRDefault="00B85085" w:rsidP="007A134E">
    <w:pPr>
      <w:pStyle w:val="En-tte"/>
    </w:pPr>
    <w:sdt>
      <w:sdtPr>
        <w:id w:val="7896928"/>
        <w:docPartObj>
          <w:docPartGallery w:val="Page Numbers (Top of Page)"/>
          <w:docPartUnique/>
        </w:docPartObj>
      </w:sdtPr>
      <w:sdtContent>
        <w:r w:rsidRPr="00B85085">
          <w:rPr>
            <w:rFonts w:ascii="Monotype Corsiva" w:hAnsi="Monotype Corsiva"/>
            <w:b/>
            <w:bCs/>
            <w:noProof/>
            <w:sz w:val="28"/>
            <w:szCs w:val="28"/>
          </w:rPr>
          <w:pict>
            <v:shapetype id="_x0000_t32" coordsize="21600,21600" o:spt="32" o:oned="t" path="m,l21600,21600e" filled="f">
              <v:path arrowok="t" fillok="f" o:connecttype="none"/>
              <o:lock v:ext="edit" shapetype="t"/>
            </v:shapetype>
            <v:shape id="_x0000_s32770" type="#_x0000_t32" style="position:absolute;margin-left:4.55pt;margin-top:19.6pt;width:450.35pt;height:0;z-index:251658240;mso-position-horizontal-relative:text;mso-position-vertical-relative:text" o:connectortype="straight" strokecolor="black [3213]" strokeweight="2.25pt"/>
          </w:pict>
        </w:r>
        <w:r w:rsidR="00341914">
          <w:rPr>
            <w:rFonts w:ascii="Monotype Corsiva" w:hAnsi="Monotype Corsiva"/>
            <w:b/>
            <w:bCs/>
            <w:sz w:val="28"/>
            <w:szCs w:val="28"/>
          </w:rPr>
          <w:t xml:space="preserve">Chapitre </w:t>
        </w:r>
        <w:proofErr w:type="gramStart"/>
        <w:r w:rsidR="00341914">
          <w:rPr>
            <w:rFonts w:ascii="Monotype Corsiva" w:hAnsi="Monotype Corsiva"/>
            <w:b/>
            <w:bCs/>
            <w:sz w:val="28"/>
            <w:szCs w:val="28"/>
          </w:rPr>
          <w:t>II:</w:t>
        </w:r>
        <w:proofErr w:type="gramEnd"/>
        <w:r w:rsidR="00341914">
          <w:rPr>
            <w:rFonts w:ascii="Monotype Corsiva" w:hAnsi="Monotype Corsiva"/>
            <w:b/>
            <w:bCs/>
            <w:sz w:val="28"/>
            <w:szCs w:val="28"/>
          </w:rPr>
          <w:t xml:space="preserve"> </w:t>
        </w:r>
        <w:r w:rsidR="00341914" w:rsidRPr="005E3D00">
          <w:rPr>
            <w:rFonts w:ascii="Monotype Corsiva" w:hAnsi="Monotype Corsiva"/>
            <w:b/>
            <w:bCs/>
            <w:sz w:val="26"/>
            <w:szCs w:val="26"/>
          </w:rPr>
          <w:t>Calcul  du besoin en capital selon le contexte actuel et sous solvabilité</w:t>
        </w:r>
        <w:r w:rsidR="00341914">
          <w:rPr>
            <w:rFonts w:ascii="Monotype Corsiva" w:hAnsi="Monotype Corsiva"/>
            <w:b/>
            <w:bCs/>
            <w:sz w:val="28"/>
            <w:szCs w:val="28"/>
          </w:rPr>
          <w:t xml:space="preserve"> II            </w:t>
        </w:r>
        <w:sdt>
          <w:sdtPr>
            <w:rPr>
              <w:rFonts w:ascii="Monotype Corsiva" w:hAnsi="Monotype Corsiva"/>
              <w:b/>
              <w:bCs/>
              <w:sz w:val="24"/>
              <w:szCs w:val="24"/>
            </w:rPr>
            <w:id w:val="340471"/>
            <w:docPartObj>
              <w:docPartGallery w:val="Page Numbers (Top of Page)"/>
              <w:docPartUnique/>
            </w:docPartObj>
          </w:sdtPr>
          <w:sdtContent>
            <w:r w:rsidRPr="00FA51B4">
              <w:rPr>
                <w:rFonts w:ascii="Monotype Corsiva" w:hAnsi="Monotype Corsiva"/>
                <w:b/>
                <w:bCs/>
                <w:sz w:val="24"/>
                <w:szCs w:val="24"/>
              </w:rPr>
              <w:fldChar w:fldCharType="begin"/>
            </w:r>
            <w:r w:rsidR="00341914" w:rsidRPr="00FA51B4">
              <w:rPr>
                <w:rFonts w:ascii="Monotype Corsiva" w:hAnsi="Monotype Corsiva"/>
                <w:b/>
                <w:bCs/>
                <w:sz w:val="24"/>
                <w:szCs w:val="24"/>
              </w:rPr>
              <w:instrText xml:space="preserve"> PAGE   \* MERGEFORMAT </w:instrText>
            </w:r>
            <w:r w:rsidRPr="00FA51B4">
              <w:rPr>
                <w:rFonts w:ascii="Monotype Corsiva" w:hAnsi="Monotype Corsiva"/>
                <w:b/>
                <w:bCs/>
                <w:sz w:val="24"/>
                <w:szCs w:val="24"/>
              </w:rPr>
              <w:fldChar w:fldCharType="separate"/>
            </w:r>
            <w:r w:rsidR="009465DC">
              <w:rPr>
                <w:rFonts w:ascii="Monotype Corsiva" w:hAnsi="Monotype Corsiva"/>
                <w:b/>
                <w:bCs/>
                <w:noProof/>
                <w:sz w:val="24"/>
                <w:szCs w:val="24"/>
              </w:rPr>
              <w:t>85</w:t>
            </w:r>
            <w:r w:rsidRPr="00FA51B4">
              <w:rPr>
                <w:rFonts w:ascii="Monotype Corsiva" w:hAnsi="Monotype Corsiva"/>
                <w:b/>
                <w:bCs/>
                <w:sz w:val="24"/>
                <w:szCs w:val="24"/>
              </w:rPr>
              <w:fldChar w:fldCharType="end"/>
            </w:r>
          </w:sdtContent>
        </w:sdt>
        <w:r w:rsidR="00341914">
          <w:t xml:space="preserve"> </w:t>
        </w:r>
        <w:r w:rsidR="00341914">
          <w:rPr>
            <w:rFonts w:ascii="Monotype Corsiva" w:hAnsi="Monotype Corsiva"/>
            <w:b/>
            <w:bCs/>
            <w:sz w:val="28"/>
            <w:szCs w:val="28"/>
          </w:rPr>
          <w:t xml:space="preserve">                                                  </w:t>
        </w:r>
      </w:sdtContent>
    </w:sdt>
    <w:r w:rsidR="00341914">
      <w:tab/>
    </w:r>
    <w:r w:rsidR="00341914">
      <w:tab/>
    </w:r>
    <w:r w:rsidR="00341914">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9.75pt;visibility:visible" o:bullet="t">
        <v:imagedata r:id="rId1" o:title=""/>
      </v:shape>
    </w:pict>
  </w:numPicBullet>
  <w:numPicBullet w:numPicBulletId="1">
    <w:pict>
      <v:shape id="_x0000_i1027" type="#_x0000_t75" style="width:29.25pt;height:13.5pt;visibility:visible" o:bullet="t">
        <v:imagedata r:id="rId2" o:title=""/>
      </v:shape>
    </w:pict>
  </w:numPicBullet>
  <w:numPicBullet w:numPicBulletId="2">
    <w:pict>
      <v:shape id="_x0000_i1028" type="#_x0000_t75" style="width:11.25pt;height:11.25pt" o:bullet="t">
        <v:imagedata r:id="rId3" o:title="msoC"/>
      </v:shape>
    </w:pict>
  </w:numPicBullet>
  <w:abstractNum w:abstractNumId="0">
    <w:nsid w:val="0528750C"/>
    <w:multiLevelType w:val="hybridMultilevel"/>
    <w:tmpl w:val="8466E3A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8BC445D"/>
    <w:multiLevelType w:val="hybridMultilevel"/>
    <w:tmpl w:val="9D320BF6"/>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nsid w:val="12B9699B"/>
    <w:multiLevelType w:val="hybridMultilevel"/>
    <w:tmpl w:val="77CEB1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D269B6"/>
    <w:multiLevelType w:val="hybridMultilevel"/>
    <w:tmpl w:val="60B80700"/>
    <w:lvl w:ilvl="0" w:tplc="D5EEC8B4">
      <w:start w:val="1"/>
      <w:numFmt w:val="bullet"/>
      <w:lvlText w:val=""/>
      <w:lvlPicBulletId w:val="0"/>
      <w:lvlJc w:val="left"/>
      <w:pPr>
        <w:tabs>
          <w:tab w:val="num" w:pos="720"/>
        </w:tabs>
        <w:ind w:left="720" w:hanging="360"/>
      </w:pPr>
      <w:rPr>
        <w:rFonts w:ascii="Symbol" w:hAnsi="Symbol" w:hint="default"/>
      </w:rPr>
    </w:lvl>
    <w:lvl w:ilvl="1" w:tplc="29843974" w:tentative="1">
      <w:start w:val="1"/>
      <w:numFmt w:val="bullet"/>
      <w:lvlText w:val=""/>
      <w:lvlJc w:val="left"/>
      <w:pPr>
        <w:tabs>
          <w:tab w:val="num" w:pos="1440"/>
        </w:tabs>
        <w:ind w:left="1440" w:hanging="360"/>
      </w:pPr>
      <w:rPr>
        <w:rFonts w:ascii="Symbol" w:hAnsi="Symbol" w:hint="default"/>
      </w:rPr>
    </w:lvl>
    <w:lvl w:ilvl="2" w:tplc="95B01CC2" w:tentative="1">
      <w:start w:val="1"/>
      <w:numFmt w:val="bullet"/>
      <w:lvlText w:val=""/>
      <w:lvlJc w:val="left"/>
      <w:pPr>
        <w:tabs>
          <w:tab w:val="num" w:pos="2160"/>
        </w:tabs>
        <w:ind w:left="2160" w:hanging="360"/>
      </w:pPr>
      <w:rPr>
        <w:rFonts w:ascii="Symbol" w:hAnsi="Symbol" w:hint="default"/>
      </w:rPr>
    </w:lvl>
    <w:lvl w:ilvl="3" w:tplc="94CCF03E" w:tentative="1">
      <w:start w:val="1"/>
      <w:numFmt w:val="bullet"/>
      <w:lvlText w:val=""/>
      <w:lvlJc w:val="left"/>
      <w:pPr>
        <w:tabs>
          <w:tab w:val="num" w:pos="2880"/>
        </w:tabs>
        <w:ind w:left="2880" w:hanging="360"/>
      </w:pPr>
      <w:rPr>
        <w:rFonts w:ascii="Symbol" w:hAnsi="Symbol" w:hint="default"/>
      </w:rPr>
    </w:lvl>
    <w:lvl w:ilvl="4" w:tplc="18CC936A" w:tentative="1">
      <w:start w:val="1"/>
      <w:numFmt w:val="bullet"/>
      <w:lvlText w:val=""/>
      <w:lvlJc w:val="left"/>
      <w:pPr>
        <w:tabs>
          <w:tab w:val="num" w:pos="3600"/>
        </w:tabs>
        <w:ind w:left="3600" w:hanging="360"/>
      </w:pPr>
      <w:rPr>
        <w:rFonts w:ascii="Symbol" w:hAnsi="Symbol" w:hint="default"/>
      </w:rPr>
    </w:lvl>
    <w:lvl w:ilvl="5" w:tplc="F3689A02" w:tentative="1">
      <w:start w:val="1"/>
      <w:numFmt w:val="bullet"/>
      <w:lvlText w:val=""/>
      <w:lvlJc w:val="left"/>
      <w:pPr>
        <w:tabs>
          <w:tab w:val="num" w:pos="4320"/>
        </w:tabs>
        <w:ind w:left="4320" w:hanging="360"/>
      </w:pPr>
      <w:rPr>
        <w:rFonts w:ascii="Symbol" w:hAnsi="Symbol" w:hint="default"/>
      </w:rPr>
    </w:lvl>
    <w:lvl w:ilvl="6" w:tplc="AE047984" w:tentative="1">
      <w:start w:val="1"/>
      <w:numFmt w:val="bullet"/>
      <w:lvlText w:val=""/>
      <w:lvlJc w:val="left"/>
      <w:pPr>
        <w:tabs>
          <w:tab w:val="num" w:pos="5040"/>
        </w:tabs>
        <w:ind w:left="5040" w:hanging="360"/>
      </w:pPr>
      <w:rPr>
        <w:rFonts w:ascii="Symbol" w:hAnsi="Symbol" w:hint="default"/>
      </w:rPr>
    </w:lvl>
    <w:lvl w:ilvl="7" w:tplc="5088DC2C" w:tentative="1">
      <w:start w:val="1"/>
      <w:numFmt w:val="bullet"/>
      <w:lvlText w:val=""/>
      <w:lvlJc w:val="left"/>
      <w:pPr>
        <w:tabs>
          <w:tab w:val="num" w:pos="5760"/>
        </w:tabs>
        <w:ind w:left="5760" w:hanging="360"/>
      </w:pPr>
      <w:rPr>
        <w:rFonts w:ascii="Symbol" w:hAnsi="Symbol" w:hint="default"/>
      </w:rPr>
    </w:lvl>
    <w:lvl w:ilvl="8" w:tplc="11DC876E" w:tentative="1">
      <w:start w:val="1"/>
      <w:numFmt w:val="bullet"/>
      <w:lvlText w:val=""/>
      <w:lvlJc w:val="left"/>
      <w:pPr>
        <w:tabs>
          <w:tab w:val="num" w:pos="6480"/>
        </w:tabs>
        <w:ind w:left="6480" w:hanging="360"/>
      </w:pPr>
      <w:rPr>
        <w:rFonts w:ascii="Symbol" w:hAnsi="Symbol" w:hint="default"/>
      </w:rPr>
    </w:lvl>
  </w:abstractNum>
  <w:abstractNum w:abstractNumId="4">
    <w:nsid w:val="23510CFE"/>
    <w:multiLevelType w:val="multilevel"/>
    <w:tmpl w:val="05CCA058"/>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2"/>
      <w:numFmt w:val="decimal"/>
      <w:lvlText w:val="%1-%2-%3-"/>
      <w:lvlJc w:val="left"/>
      <w:pPr>
        <w:ind w:left="840" w:hanging="840"/>
      </w:pPr>
      <w:rPr>
        <w:rFonts w:asciiTheme="majorBidi" w:hAnsiTheme="majorBidi" w:cstheme="majorBidi" w:hint="default"/>
        <w:b/>
        <w:bCs/>
        <w:sz w:val="24"/>
        <w:szCs w:val="24"/>
      </w:rPr>
    </w:lvl>
    <w:lvl w:ilvl="3">
      <w:start w:val="2"/>
      <w:numFmt w:val="decimal"/>
      <w:lvlText w:val="%1-%2-%3-%4-"/>
      <w:lvlJc w:val="left"/>
      <w:pPr>
        <w:ind w:left="1080" w:hanging="1080"/>
      </w:pPr>
      <w:rPr>
        <w:rFonts w:asciiTheme="majorBidi" w:hAnsiTheme="majorBidi" w:cstheme="majorBidi"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13298A"/>
    <w:multiLevelType w:val="hybridMultilevel"/>
    <w:tmpl w:val="8B4078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FA04E3"/>
    <w:multiLevelType w:val="hybridMultilevel"/>
    <w:tmpl w:val="B044C812"/>
    <w:lvl w:ilvl="0" w:tplc="B57ABDD8">
      <w:start w:val="2"/>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7">
    <w:nsid w:val="28947B6B"/>
    <w:multiLevelType w:val="hybridMultilevel"/>
    <w:tmpl w:val="38463602"/>
    <w:lvl w:ilvl="0" w:tplc="4CC8E8A8">
      <w:start w:val="8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CD51FE2"/>
    <w:multiLevelType w:val="hybridMultilevel"/>
    <w:tmpl w:val="E4CCFAD0"/>
    <w:lvl w:ilvl="0" w:tplc="040C0007">
      <w:start w:val="1"/>
      <w:numFmt w:val="bullet"/>
      <w:lvlText w:val=""/>
      <w:lvlPicBulletId w:val="2"/>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33545D9"/>
    <w:multiLevelType w:val="hybridMultilevel"/>
    <w:tmpl w:val="DB2CD9E6"/>
    <w:lvl w:ilvl="0" w:tplc="040C0009">
      <w:start w:val="1"/>
      <w:numFmt w:val="bullet"/>
      <w:lvlText w:val=""/>
      <w:lvlJc w:val="left"/>
      <w:pPr>
        <w:ind w:left="761" w:hanging="360"/>
      </w:pPr>
      <w:rPr>
        <w:rFonts w:ascii="Wingdings" w:hAnsi="Wingdings"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10">
    <w:nsid w:val="3C9E37C1"/>
    <w:multiLevelType w:val="hybridMultilevel"/>
    <w:tmpl w:val="723A8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B053DB"/>
    <w:multiLevelType w:val="multilevel"/>
    <w:tmpl w:val="875C3A5E"/>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F506B78"/>
    <w:multiLevelType w:val="multilevel"/>
    <w:tmpl w:val="515A7D70"/>
    <w:lvl w:ilvl="0">
      <w:start w:val="3"/>
      <w:numFmt w:val="decimal"/>
      <w:lvlText w:val="%1-"/>
      <w:lvlJc w:val="left"/>
      <w:pPr>
        <w:ind w:left="780" w:hanging="780"/>
      </w:pPr>
      <w:rPr>
        <w:rFonts w:ascii="Cambria Math" w:hAnsi="Cambria Math" w:cs="Cambria Math" w:hint="default"/>
        <w:b w:val="0"/>
        <w:sz w:val="22"/>
      </w:rPr>
    </w:lvl>
    <w:lvl w:ilvl="1">
      <w:start w:val="1"/>
      <w:numFmt w:val="decimal"/>
      <w:lvlText w:val="%1-%2-"/>
      <w:lvlJc w:val="left"/>
      <w:pPr>
        <w:ind w:left="780" w:hanging="780"/>
      </w:pPr>
      <w:rPr>
        <w:rFonts w:ascii="Cambria Math" w:hAnsi="Cambria Math" w:cs="Cambria Math" w:hint="default"/>
        <w:b w:val="0"/>
        <w:sz w:val="22"/>
      </w:rPr>
    </w:lvl>
    <w:lvl w:ilvl="2">
      <w:start w:val="2"/>
      <w:numFmt w:val="decimal"/>
      <w:lvlText w:val="%1-%2-%3-"/>
      <w:lvlJc w:val="left"/>
      <w:pPr>
        <w:ind w:left="780" w:hanging="780"/>
      </w:pPr>
      <w:rPr>
        <w:rFonts w:ascii="Cambria Math" w:hAnsi="Cambria Math" w:cs="Cambria Math" w:hint="default"/>
        <w:b w:val="0"/>
        <w:sz w:val="22"/>
      </w:rPr>
    </w:lvl>
    <w:lvl w:ilvl="3">
      <w:start w:val="1"/>
      <w:numFmt w:val="decimal"/>
      <w:lvlText w:val="%1-%2-%3-%4-"/>
      <w:lvlJc w:val="left"/>
      <w:pPr>
        <w:ind w:left="1080" w:hanging="1080"/>
      </w:pPr>
      <w:rPr>
        <w:rFonts w:asciiTheme="majorBidi" w:hAnsiTheme="majorBidi" w:cstheme="majorBidi" w:hint="default"/>
        <w:b/>
        <w:bCs w:val="0"/>
        <w:sz w:val="24"/>
        <w:szCs w:val="24"/>
      </w:rPr>
    </w:lvl>
    <w:lvl w:ilvl="4">
      <w:start w:val="1"/>
      <w:numFmt w:val="decimal"/>
      <w:lvlText w:val="%1-%2-%3-%4-%5."/>
      <w:lvlJc w:val="left"/>
      <w:pPr>
        <w:ind w:left="1080" w:hanging="1080"/>
      </w:pPr>
      <w:rPr>
        <w:rFonts w:ascii="Cambria Math" w:hAnsi="Cambria Math" w:cs="Cambria Math" w:hint="default"/>
        <w:b w:val="0"/>
        <w:sz w:val="22"/>
      </w:rPr>
    </w:lvl>
    <w:lvl w:ilvl="5">
      <w:start w:val="1"/>
      <w:numFmt w:val="decimal"/>
      <w:lvlText w:val="%1-%2-%3-%4-%5.%6."/>
      <w:lvlJc w:val="left"/>
      <w:pPr>
        <w:ind w:left="1440" w:hanging="1440"/>
      </w:pPr>
      <w:rPr>
        <w:rFonts w:ascii="Cambria Math" w:hAnsi="Cambria Math" w:cs="Cambria Math" w:hint="default"/>
        <w:b w:val="0"/>
        <w:sz w:val="22"/>
      </w:rPr>
    </w:lvl>
    <w:lvl w:ilvl="6">
      <w:start w:val="1"/>
      <w:numFmt w:val="decimal"/>
      <w:lvlText w:val="%1-%2-%3-%4-%5.%6.%7."/>
      <w:lvlJc w:val="left"/>
      <w:pPr>
        <w:ind w:left="1440" w:hanging="1440"/>
      </w:pPr>
      <w:rPr>
        <w:rFonts w:ascii="Cambria Math" w:hAnsi="Cambria Math" w:cs="Cambria Math" w:hint="default"/>
        <w:b w:val="0"/>
        <w:sz w:val="22"/>
      </w:rPr>
    </w:lvl>
    <w:lvl w:ilvl="7">
      <w:start w:val="1"/>
      <w:numFmt w:val="decimal"/>
      <w:lvlText w:val="%1-%2-%3-%4-%5.%6.%7.%8."/>
      <w:lvlJc w:val="left"/>
      <w:pPr>
        <w:ind w:left="1800" w:hanging="1800"/>
      </w:pPr>
      <w:rPr>
        <w:rFonts w:ascii="Cambria Math" w:hAnsi="Cambria Math" w:cs="Cambria Math" w:hint="default"/>
        <w:b w:val="0"/>
        <w:sz w:val="22"/>
      </w:rPr>
    </w:lvl>
    <w:lvl w:ilvl="8">
      <w:start w:val="1"/>
      <w:numFmt w:val="decimal"/>
      <w:lvlText w:val="%1-%2-%3-%4-%5.%6.%7.%8.%9."/>
      <w:lvlJc w:val="left"/>
      <w:pPr>
        <w:ind w:left="1800" w:hanging="1800"/>
      </w:pPr>
      <w:rPr>
        <w:rFonts w:ascii="Cambria Math" w:hAnsi="Cambria Math" w:cs="Cambria Math" w:hint="default"/>
        <w:b w:val="0"/>
        <w:sz w:val="22"/>
      </w:rPr>
    </w:lvl>
  </w:abstractNum>
  <w:abstractNum w:abstractNumId="13">
    <w:nsid w:val="5D931E66"/>
    <w:multiLevelType w:val="hybridMultilevel"/>
    <w:tmpl w:val="C7105C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2546F51"/>
    <w:multiLevelType w:val="hybridMultilevel"/>
    <w:tmpl w:val="FBD247A2"/>
    <w:lvl w:ilvl="0" w:tplc="CB82F88E">
      <w:start w:val="1"/>
      <w:numFmt w:val="bullet"/>
      <w:lvlText w:val="-"/>
      <w:lvlJc w:val="left"/>
      <w:pPr>
        <w:ind w:left="4785" w:hanging="360"/>
      </w:pPr>
      <w:rPr>
        <w:rFonts w:ascii="Times New Roman" w:eastAsiaTheme="minorEastAsia" w:hAnsi="Times New Roman" w:cs="Times New Roman" w:hint="default"/>
      </w:rPr>
    </w:lvl>
    <w:lvl w:ilvl="1" w:tplc="040C0003" w:tentative="1">
      <w:start w:val="1"/>
      <w:numFmt w:val="bullet"/>
      <w:lvlText w:val="o"/>
      <w:lvlJc w:val="left"/>
      <w:pPr>
        <w:ind w:left="5505" w:hanging="360"/>
      </w:pPr>
      <w:rPr>
        <w:rFonts w:ascii="Courier New" w:hAnsi="Courier New" w:cs="Courier New" w:hint="default"/>
      </w:rPr>
    </w:lvl>
    <w:lvl w:ilvl="2" w:tplc="040C0005" w:tentative="1">
      <w:start w:val="1"/>
      <w:numFmt w:val="bullet"/>
      <w:lvlText w:val=""/>
      <w:lvlJc w:val="left"/>
      <w:pPr>
        <w:ind w:left="6225" w:hanging="360"/>
      </w:pPr>
      <w:rPr>
        <w:rFonts w:ascii="Wingdings" w:hAnsi="Wingdings" w:hint="default"/>
      </w:rPr>
    </w:lvl>
    <w:lvl w:ilvl="3" w:tplc="040C0001" w:tentative="1">
      <w:start w:val="1"/>
      <w:numFmt w:val="bullet"/>
      <w:lvlText w:val=""/>
      <w:lvlJc w:val="left"/>
      <w:pPr>
        <w:ind w:left="6945" w:hanging="360"/>
      </w:pPr>
      <w:rPr>
        <w:rFonts w:ascii="Symbol" w:hAnsi="Symbol" w:hint="default"/>
      </w:rPr>
    </w:lvl>
    <w:lvl w:ilvl="4" w:tplc="040C0003" w:tentative="1">
      <w:start w:val="1"/>
      <w:numFmt w:val="bullet"/>
      <w:lvlText w:val="o"/>
      <w:lvlJc w:val="left"/>
      <w:pPr>
        <w:ind w:left="7665" w:hanging="360"/>
      </w:pPr>
      <w:rPr>
        <w:rFonts w:ascii="Courier New" w:hAnsi="Courier New" w:cs="Courier New" w:hint="default"/>
      </w:rPr>
    </w:lvl>
    <w:lvl w:ilvl="5" w:tplc="040C0005" w:tentative="1">
      <w:start w:val="1"/>
      <w:numFmt w:val="bullet"/>
      <w:lvlText w:val=""/>
      <w:lvlJc w:val="left"/>
      <w:pPr>
        <w:ind w:left="8385" w:hanging="360"/>
      </w:pPr>
      <w:rPr>
        <w:rFonts w:ascii="Wingdings" w:hAnsi="Wingdings" w:hint="default"/>
      </w:rPr>
    </w:lvl>
    <w:lvl w:ilvl="6" w:tplc="040C0001" w:tentative="1">
      <w:start w:val="1"/>
      <w:numFmt w:val="bullet"/>
      <w:lvlText w:val=""/>
      <w:lvlJc w:val="left"/>
      <w:pPr>
        <w:ind w:left="9105" w:hanging="360"/>
      </w:pPr>
      <w:rPr>
        <w:rFonts w:ascii="Symbol" w:hAnsi="Symbol" w:hint="default"/>
      </w:rPr>
    </w:lvl>
    <w:lvl w:ilvl="7" w:tplc="040C0003" w:tentative="1">
      <w:start w:val="1"/>
      <w:numFmt w:val="bullet"/>
      <w:lvlText w:val="o"/>
      <w:lvlJc w:val="left"/>
      <w:pPr>
        <w:ind w:left="9825" w:hanging="360"/>
      </w:pPr>
      <w:rPr>
        <w:rFonts w:ascii="Courier New" w:hAnsi="Courier New" w:cs="Courier New" w:hint="default"/>
      </w:rPr>
    </w:lvl>
    <w:lvl w:ilvl="8" w:tplc="040C0005" w:tentative="1">
      <w:start w:val="1"/>
      <w:numFmt w:val="bullet"/>
      <w:lvlText w:val=""/>
      <w:lvlJc w:val="left"/>
      <w:pPr>
        <w:ind w:left="10545" w:hanging="360"/>
      </w:pPr>
      <w:rPr>
        <w:rFonts w:ascii="Wingdings" w:hAnsi="Wingdings" w:hint="default"/>
      </w:rPr>
    </w:lvl>
  </w:abstractNum>
  <w:abstractNum w:abstractNumId="15">
    <w:nsid w:val="73FD090C"/>
    <w:multiLevelType w:val="multilevel"/>
    <w:tmpl w:val="60A4D59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62C3C50"/>
    <w:multiLevelType w:val="hybridMultilevel"/>
    <w:tmpl w:val="FD9008A8"/>
    <w:lvl w:ilvl="0" w:tplc="8A706BEC">
      <w:start w:val="1"/>
      <w:numFmt w:val="bullet"/>
      <w:lvlText w:val=""/>
      <w:lvlPicBulletId w:val="1"/>
      <w:lvlJc w:val="left"/>
      <w:pPr>
        <w:tabs>
          <w:tab w:val="num" w:pos="720"/>
        </w:tabs>
        <w:ind w:left="720" w:hanging="360"/>
      </w:pPr>
      <w:rPr>
        <w:rFonts w:ascii="Symbol" w:hAnsi="Symbol" w:hint="default"/>
      </w:rPr>
    </w:lvl>
    <w:lvl w:ilvl="1" w:tplc="CD8E5A6C" w:tentative="1">
      <w:start w:val="1"/>
      <w:numFmt w:val="bullet"/>
      <w:lvlText w:val=""/>
      <w:lvlJc w:val="left"/>
      <w:pPr>
        <w:tabs>
          <w:tab w:val="num" w:pos="1440"/>
        </w:tabs>
        <w:ind w:left="1440" w:hanging="360"/>
      </w:pPr>
      <w:rPr>
        <w:rFonts w:ascii="Symbol" w:hAnsi="Symbol" w:hint="default"/>
      </w:rPr>
    </w:lvl>
    <w:lvl w:ilvl="2" w:tplc="597075E6" w:tentative="1">
      <w:start w:val="1"/>
      <w:numFmt w:val="bullet"/>
      <w:lvlText w:val=""/>
      <w:lvlJc w:val="left"/>
      <w:pPr>
        <w:tabs>
          <w:tab w:val="num" w:pos="2160"/>
        </w:tabs>
        <w:ind w:left="2160" w:hanging="360"/>
      </w:pPr>
      <w:rPr>
        <w:rFonts w:ascii="Symbol" w:hAnsi="Symbol" w:hint="default"/>
      </w:rPr>
    </w:lvl>
    <w:lvl w:ilvl="3" w:tplc="644AE118" w:tentative="1">
      <w:start w:val="1"/>
      <w:numFmt w:val="bullet"/>
      <w:lvlText w:val=""/>
      <w:lvlJc w:val="left"/>
      <w:pPr>
        <w:tabs>
          <w:tab w:val="num" w:pos="2880"/>
        </w:tabs>
        <w:ind w:left="2880" w:hanging="360"/>
      </w:pPr>
      <w:rPr>
        <w:rFonts w:ascii="Symbol" w:hAnsi="Symbol" w:hint="default"/>
      </w:rPr>
    </w:lvl>
    <w:lvl w:ilvl="4" w:tplc="FC0863F0" w:tentative="1">
      <w:start w:val="1"/>
      <w:numFmt w:val="bullet"/>
      <w:lvlText w:val=""/>
      <w:lvlJc w:val="left"/>
      <w:pPr>
        <w:tabs>
          <w:tab w:val="num" w:pos="3600"/>
        </w:tabs>
        <w:ind w:left="3600" w:hanging="360"/>
      </w:pPr>
      <w:rPr>
        <w:rFonts w:ascii="Symbol" w:hAnsi="Symbol" w:hint="default"/>
      </w:rPr>
    </w:lvl>
    <w:lvl w:ilvl="5" w:tplc="55ECA206" w:tentative="1">
      <w:start w:val="1"/>
      <w:numFmt w:val="bullet"/>
      <w:lvlText w:val=""/>
      <w:lvlJc w:val="left"/>
      <w:pPr>
        <w:tabs>
          <w:tab w:val="num" w:pos="4320"/>
        </w:tabs>
        <w:ind w:left="4320" w:hanging="360"/>
      </w:pPr>
      <w:rPr>
        <w:rFonts w:ascii="Symbol" w:hAnsi="Symbol" w:hint="default"/>
      </w:rPr>
    </w:lvl>
    <w:lvl w:ilvl="6" w:tplc="5DB2E5A6" w:tentative="1">
      <w:start w:val="1"/>
      <w:numFmt w:val="bullet"/>
      <w:lvlText w:val=""/>
      <w:lvlJc w:val="left"/>
      <w:pPr>
        <w:tabs>
          <w:tab w:val="num" w:pos="5040"/>
        </w:tabs>
        <w:ind w:left="5040" w:hanging="360"/>
      </w:pPr>
      <w:rPr>
        <w:rFonts w:ascii="Symbol" w:hAnsi="Symbol" w:hint="default"/>
      </w:rPr>
    </w:lvl>
    <w:lvl w:ilvl="7" w:tplc="98C67A8C" w:tentative="1">
      <w:start w:val="1"/>
      <w:numFmt w:val="bullet"/>
      <w:lvlText w:val=""/>
      <w:lvlJc w:val="left"/>
      <w:pPr>
        <w:tabs>
          <w:tab w:val="num" w:pos="5760"/>
        </w:tabs>
        <w:ind w:left="5760" w:hanging="360"/>
      </w:pPr>
      <w:rPr>
        <w:rFonts w:ascii="Symbol" w:hAnsi="Symbol" w:hint="default"/>
      </w:rPr>
    </w:lvl>
    <w:lvl w:ilvl="8" w:tplc="B8B6C408" w:tentative="1">
      <w:start w:val="1"/>
      <w:numFmt w:val="bullet"/>
      <w:lvlText w:val=""/>
      <w:lvlJc w:val="left"/>
      <w:pPr>
        <w:tabs>
          <w:tab w:val="num" w:pos="6480"/>
        </w:tabs>
        <w:ind w:left="6480" w:hanging="360"/>
      </w:pPr>
      <w:rPr>
        <w:rFonts w:ascii="Symbol" w:hAnsi="Symbol" w:hint="default"/>
      </w:rPr>
    </w:lvl>
  </w:abstractNum>
  <w:abstractNum w:abstractNumId="17">
    <w:nsid w:val="78D316C9"/>
    <w:multiLevelType w:val="hybridMultilevel"/>
    <w:tmpl w:val="9A123D02"/>
    <w:lvl w:ilvl="0" w:tplc="040C000B">
      <w:start w:val="1"/>
      <w:numFmt w:val="bullet"/>
      <w:lvlText w:val=""/>
      <w:lvlJc w:val="left"/>
      <w:pPr>
        <w:ind w:left="870"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num w:numId="1">
    <w:abstractNumId w:val="9"/>
  </w:num>
  <w:num w:numId="2">
    <w:abstractNumId w:val="2"/>
  </w:num>
  <w:num w:numId="3">
    <w:abstractNumId w:val="17"/>
  </w:num>
  <w:num w:numId="4">
    <w:abstractNumId w:val="6"/>
  </w:num>
  <w:num w:numId="5">
    <w:abstractNumId w:val="14"/>
  </w:num>
  <w:num w:numId="6">
    <w:abstractNumId w:val="1"/>
  </w:num>
  <w:num w:numId="7">
    <w:abstractNumId w:val="12"/>
  </w:num>
  <w:num w:numId="8">
    <w:abstractNumId w:val="10"/>
  </w:num>
  <w:num w:numId="9">
    <w:abstractNumId w:val="4"/>
  </w:num>
  <w:num w:numId="10">
    <w:abstractNumId w:val="16"/>
  </w:num>
  <w:num w:numId="11">
    <w:abstractNumId w:val="3"/>
  </w:num>
  <w:num w:numId="12">
    <w:abstractNumId w:val="11"/>
  </w:num>
  <w:num w:numId="13">
    <w:abstractNumId w:val="15"/>
  </w:num>
  <w:num w:numId="14">
    <w:abstractNumId w:val="7"/>
  </w:num>
  <w:num w:numId="15">
    <w:abstractNumId w:val="5"/>
  </w:num>
  <w:num w:numId="16">
    <w:abstractNumId w:val="0"/>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71" fillcolor="white">
      <v:fill color="white"/>
      <o:colormenu v:ext="edit" shadowcolor="none"/>
    </o:shapedefaults>
    <o:shapelayout v:ext="edit">
      <o:idmap v:ext="edit" data="32"/>
      <o:rules v:ext="edit">
        <o:r id="V:Rule2" type="connector" idref="#_x0000_s32770"/>
      </o:rules>
    </o:shapelayout>
  </w:hdrShapeDefaults>
  <w:footnotePr>
    <w:numRestart w:val="eachPage"/>
    <w:footnote w:id="0"/>
    <w:footnote w:id="1"/>
  </w:footnotePr>
  <w:endnotePr>
    <w:endnote w:id="0"/>
    <w:endnote w:id="1"/>
  </w:endnotePr>
  <w:compat>
    <w:useFELayout/>
  </w:compat>
  <w:rsids>
    <w:rsidRoot w:val="0071350F"/>
    <w:rsid w:val="00000866"/>
    <w:rsid w:val="0000376B"/>
    <w:rsid w:val="00004F63"/>
    <w:rsid w:val="00014DCA"/>
    <w:rsid w:val="00015E00"/>
    <w:rsid w:val="000168A2"/>
    <w:rsid w:val="00016AF1"/>
    <w:rsid w:val="00016F07"/>
    <w:rsid w:val="000171BF"/>
    <w:rsid w:val="00021131"/>
    <w:rsid w:val="0002150B"/>
    <w:rsid w:val="0002166D"/>
    <w:rsid w:val="00021E92"/>
    <w:rsid w:val="00024885"/>
    <w:rsid w:val="000274C0"/>
    <w:rsid w:val="0003088B"/>
    <w:rsid w:val="00033397"/>
    <w:rsid w:val="00037292"/>
    <w:rsid w:val="00041A62"/>
    <w:rsid w:val="00041F15"/>
    <w:rsid w:val="00042A04"/>
    <w:rsid w:val="00047279"/>
    <w:rsid w:val="00047A71"/>
    <w:rsid w:val="00047E47"/>
    <w:rsid w:val="00057448"/>
    <w:rsid w:val="00057787"/>
    <w:rsid w:val="00065674"/>
    <w:rsid w:val="00066CC2"/>
    <w:rsid w:val="000673C5"/>
    <w:rsid w:val="00067697"/>
    <w:rsid w:val="00073599"/>
    <w:rsid w:val="00082A01"/>
    <w:rsid w:val="00083424"/>
    <w:rsid w:val="000A02A3"/>
    <w:rsid w:val="000A47AF"/>
    <w:rsid w:val="000A51BD"/>
    <w:rsid w:val="000A6A1C"/>
    <w:rsid w:val="000B24EB"/>
    <w:rsid w:val="000B4180"/>
    <w:rsid w:val="000B5822"/>
    <w:rsid w:val="000C06AF"/>
    <w:rsid w:val="000C11F6"/>
    <w:rsid w:val="000D14FB"/>
    <w:rsid w:val="000D1702"/>
    <w:rsid w:val="000D25AE"/>
    <w:rsid w:val="000D77DD"/>
    <w:rsid w:val="000E0119"/>
    <w:rsid w:val="000E2302"/>
    <w:rsid w:val="000E5B93"/>
    <w:rsid w:val="000F0A93"/>
    <w:rsid w:val="000F1804"/>
    <w:rsid w:val="000F4A90"/>
    <w:rsid w:val="000F4AC9"/>
    <w:rsid w:val="000F73F6"/>
    <w:rsid w:val="00100D74"/>
    <w:rsid w:val="0010332E"/>
    <w:rsid w:val="00103990"/>
    <w:rsid w:val="00110AF2"/>
    <w:rsid w:val="00112F75"/>
    <w:rsid w:val="0011793C"/>
    <w:rsid w:val="00120B98"/>
    <w:rsid w:val="001225C0"/>
    <w:rsid w:val="00124687"/>
    <w:rsid w:val="001261F3"/>
    <w:rsid w:val="001273C2"/>
    <w:rsid w:val="00133F7A"/>
    <w:rsid w:val="001352F3"/>
    <w:rsid w:val="00136C5B"/>
    <w:rsid w:val="00137B23"/>
    <w:rsid w:val="00140EE7"/>
    <w:rsid w:val="001411F1"/>
    <w:rsid w:val="001433CD"/>
    <w:rsid w:val="001464D9"/>
    <w:rsid w:val="00150301"/>
    <w:rsid w:val="00150E32"/>
    <w:rsid w:val="00155ECC"/>
    <w:rsid w:val="00156890"/>
    <w:rsid w:val="001574B3"/>
    <w:rsid w:val="00165B8B"/>
    <w:rsid w:val="00171691"/>
    <w:rsid w:val="001739AF"/>
    <w:rsid w:val="001743AB"/>
    <w:rsid w:val="00177BDE"/>
    <w:rsid w:val="0018084B"/>
    <w:rsid w:val="00183A92"/>
    <w:rsid w:val="00190327"/>
    <w:rsid w:val="0019112C"/>
    <w:rsid w:val="00191130"/>
    <w:rsid w:val="001964F7"/>
    <w:rsid w:val="001A0ABC"/>
    <w:rsid w:val="001A31F2"/>
    <w:rsid w:val="001A3E4E"/>
    <w:rsid w:val="001A4CDF"/>
    <w:rsid w:val="001B3390"/>
    <w:rsid w:val="001B3CD0"/>
    <w:rsid w:val="001B6AAA"/>
    <w:rsid w:val="001C20BB"/>
    <w:rsid w:val="001C385F"/>
    <w:rsid w:val="001C3F60"/>
    <w:rsid w:val="001C41BC"/>
    <w:rsid w:val="001C5CE1"/>
    <w:rsid w:val="001C6FAE"/>
    <w:rsid w:val="001D0265"/>
    <w:rsid w:val="001D381F"/>
    <w:rsid w:val="001E7E83"/>
    <w:rsid w:val="001F0499"/>
    <w:rsid w:val="001F1E0D"/>
    <w:rsid w:val="001F4E00"/>
    <w:rsid w:val="001F51EA"/>
    <w:rsid w:val="001F5543"/>
    <w:rsid w:val="001F7041"/>
    <w:rsid w:val="00200CD2"/>
    <w:rsid w:val="00204CD8"/>
    <w:rsid w:val="00205AB7"/>
    <w:rsid w:val="00211D46"/>
    <w:rsid w:val="0021445F"/>
    <w:rsid w:val="0021612B"/>
    <w:rsid w:val="00220FE8"/>
    <w:rsid w:val="0022421E"/>
    <w:rsid w:val="002312BF"/>
    <w:rsid w:val="00241367"/>
    <w:rsid w:val="00242790"/>
    <w:rsid w:val="00243785"/>
    <w:rsid w:val="002457C2"/>
    <w:rsid w:val="002502F8"/>
    <w:rsid w:val="0026336E"/>
    <w:rsid w:val="00263377"/>
    <w:rsid w:val="00266A0D"/>
    <w:rsid w:val="00266FD9"/>
    <w:rsid w:val="002678CC"/>
    <w:rsid w:val="0027215A"/>
    <w:rsid w:val="002742B7"/>
    <w:rsid w:val="00275608"/>
    <w:rsid w:val="00285845"/>
    <w:rsid w:val="002876FF"/>
    <w:rsid w:val="00292179"/>
    <w:rsid w:val="00293708"/>
    <w:rsid w:val="00294B26"/>
    <w:rsid w:val="002A0052"/>
    <w:rsid w:val="002A5554"/>
    <w:rsid w:val="002A5BDB"/>
    <w:rsid w:val="002A7647"/>
    <w:rsid w:val="002B3C24"/>
    <w:rsid w:val="002C4DE0"/>
    <w:rsid w:val="002C5962"/>
    <w:rsid w:val="002C7232"/>
    <w:rsid w:val="002D17F1"/>
    <w:rsid w:val="002D3781"/>
    <w:rsid w:val="002D6CF6"/>
    <w:rsid w:val="002E4AA1"/>
    <w:rsid w:val="002E5935"/>
    <w:rsid w:val="002F3CBE"/>
    <w:rsid w:val="002F54E2"/>
    <w:rsid w:val="002F7234"/>
    <w:rsid w:val="00300DC4"/>
    <w:rsid w:val="003031AE"/>
    <w:rsid w:val="003064CE"/>
    <w:rsid w:val="00324389"/>
    <w:rsid w:val="003341A6"/>
    <w:rsid w:val="00334E7E"/>
    <w:rsid w:val="00335133"/>
    <w:rsid w:val="0034034A"/>
    <w:rsid w:val="00341914"/>
    <w:rsid w:val="00342227"/>
    <w:rsid w:val="003425AE"/>
    <w:rsid w:val="003467C5"/>
    <w:rsid w:val="00346DAA"/>
    <w:rsid w:val="00347C2B"/>
    <w:rsid w:val="00347CBC"/>
    <w:rsid w:val="00347DE2"/>
    <w:rsid w:val="00354F08"/>
    <w:rsid w:val="00364274"/>
    <w:rsid w:val="00365C21"/>
    <w:rsid w:val="00367A62"/>
    <w:rsid w:val="003717B0"/>
    <w:rsid w:val="00373A9F"/>
    <w:rsid w:val="00384957"/>
    <w:rsid w:val="0038654D"/>
    <w:rsid w:val="00387808"/>
    <w:rsid w:val="00390AF6"/>
    <w:rsid w:val="00395A73"/>
    <w:rsid w:val="003A03AF"/>
    <w:rsid w:val="003A313C"/>
    <w:rsid w:val="003A3AE2"/>
    <w:rsid w:val="003B0F0F"/>
    <w:rsid w:val="003C0D48"/>
    <w:rsid w:val="003C2721"/>
    <w:rsid w:val="003C2910"/>
    <w:rsid w:val="003C70AD"/>
    <w:rsid w:val="003D237D"/>
    <w:rsid w:val="003D3BBB"/>
    <w:rsid w:val="003D735D"/>
    <w:rsid w:val="003E1A90"/>
    <w:rsid w:val="003F04A3"/>
    <w:rsid w:val="003F15BC"/>
    <w:rsid w:val="003F2B91"/>
    <w:rsid w:val="003F413A"/>
    <w:rsid w:val="00407268"/>
    <w:rsid w:val="004110F2"/>
    <w:rsid w:val="00412D79"/>
    <w:rsid w:val="00415939"/>
    <w:rsid w:val="00423397"/>
    <w:rsid w:val="00423919"/>
    <w:rsid w:val="00424034"/>
    <w:rsid w:val="00424690"/>
    <w:rsid w:val="004431B6"/>
    <w:rsid w:val="004440CB"/>
    <w:rsid w:val="00447987"/>
    <w:rsid w:val="00452CEB"/>
    <w:rsid w:val="00453B1E"/>
    <w:rsid w:val="004552C3"/>
    <w:rsid w:val="0045531D"/>
    <w:rsid w:val="004603E0"/>
    <w:rsid w:val="00460661"/>
    <w:rsid w:val="004634AC"/>
    <w:rsid w:val="00472DFA"/>
    <w:rsid w:val="004743EE"/>
    <w:rsid w:val="00482EF0"/>
    <w:rsid w:val="00485890"/>
    <w:rsid w:val="00487CC2"/>
    <w:rsid w:val="00492FAF"/>
    <w:rsid w:val="004A0EF5"/>
    <w:rsid w:val="004A11E3"/>
    <w:rsid w:val="004A156C"/>
    <w:rsid w:val="004A1EC6"/>
    <w:rsid w:val="004A52CE"/>
    <w:rsid w:val="004A573F"/>
    <w:rsid w:val="004A6F3B"/>
    <w:rsid w:val="004A7637"/>
    <w:rsid w:val="004A7A9B"/>
    <w:rsid w:val="004B02FB"/>
    <w:rsid w:val="004B3D3F"/>
    <w:rsid w:val="004B4284"/>
    <w:rsid w:val="004B6C48"/>
    <w:rsid w:val="004C2332"/>
    <w:rsid w:val="004D254E"/>
    <w:rsid w:val="004D3DC5"/>
    <w:rsid w:val="004E23DD"/>
    <w:rsid w:val="004E6C0C"/>
    <w:rsid w:val="004F2C2F"/>
    <w:rsid w:val="004F714F"/>
    <w:rsid w:val="004F7F91"/>
    <w:rsid w:val="00501F02"/>
    <w:rsid w:val="005021BA"/>
    <w:rsid w:val="0050234D"/>
    <w:rsid w:val="00507DB7"/>
    <w:rsid w:val="00507E53"/>
    <w:rsid w:val="00515EED"/>
    <w:rsid w:val="00521A4F"/>
    <w:rsid w:val="00523F20"/>
    <w:rsid w:val="0052409A"/>
    <w:rsid w:val="0053083B"/>
    <w:rsid w:val="005311D0"/>
    <w:rsid w:val="005339AD"/>
    <w:rsid w:val="00535007"/>
    <w:rsid w:val="00541F7F"/>
    <w:rsid w:val="00546180"/>
    <w:rsid w:val="00547C79"/>
    <w:rsid w:val="0055185C"/>
    <w:rsid w:val="00555340"/>
    <w:rsid w:val="00561EA7"/>
    <w:rsid w:val="0056216A"/>
    <w:rsid w:val="00566C9E"/>
    <w:rsid w:val="005726D5"/>
    <w:rsid w:val="005812C1"/>
    <w:rsid w:val="00582C05"/>
    <w:rsid w:val="0058303B"/>
    <w:rsid w:val="0058355D"/>
    <w:rsid w:val="00590386"/>
    <w:rsid w:val="005909A5"/>
    <w:rsid w:val="005A1E22"/>
    <w:rsid w:val="005A62A5"/>
    <w:rsid w:val="005B08D9"/>
    <w:rsid w:val="005B16BE"/>
    <w:rsid w:val="005B2193"/>
    <w:rsid w:val="005B350F"/>
    <w:rsid w:val="005B41E7"/>
    <w:rsid w:val="005B50B6"/>
    <w:rsid w:val="005C0832"/>
    <w:rsid w:val="005C15D8"/>
    <w:rsid w:val="005C1D67"/>
    <w:rsid w:val="005C48D5"/>
    <w:rsid w:val="005C590D"/>
    <w:rsid w:val="005D1131"/>
    <w:rsid w:val="005E1CEB"/>
    <w:rsid w:val="005E279D"/>
    <w:rsid w:val="005E3965"/>
    <w:rsid w:val="005E3D00"/>
    <w:rsid w:val="005E5627"/>
    <w:rsid w:val="005E626C"/>
    <w:rsid w:val="005F1534"/>
    <w:rsid w:val="005F3CFB"/>
    <w:rsid w:val="00603417"/>
    <w:rsid w:val="00612768"/>
    <w:rsid w:val="006155ED"/>
    <w:rsid w:val="00623CC7"/>
    <w:rsid w:val="00623F34"/>
    <w:rsid w:val="00624CB7"/>
    <w:rsid w:val="0062554F"/>
    <w:rsid w:val="006266ED"/>
    <w:rsid w:val="00630B2C"/>
    <w:rsid w:val="006321E0"/>
    <w:rsid w:val="00633505"/>
    <w:rsid w:val="00635FD7"/>
    <w:rsid w:val="00643289"/>
    <w:rsid w:val="00643C67"/>
    <w:rsid w:val="006525D2"/>
    <w:rsid w:val="006536FD"/>
    <w:rsid w:val="00653A98"/>
    <w:rsid w:val="00653B18"/>
    <w:rsid w:val="00654BF8"/>
    <w:rsid w:val="00656C02"/>
    <w:rsid w:val="00670695"/>
    <w:rsid w:val="006737F9"/>
    <w:rsid w:val="0067391D"/>
    <w:rsid w:val="00673FA8"/>
    <w:rsid w:val="0067582E"/>
    <w:rsid w:val="006904B3"/>
    <w:rsid w:val="006928BA"/>
    <w:rsid w:val="00692C73"/>
    <w:rsid w:val="0069589B"/>
    <w:rsid w:val="00696930"/>
    <w:rsid w:val="006A09FF"/>
    <w:rsid w:val="006A0C74"/>
    <w:rsid w:val="006B05F2"/>
    <w:rsid w:val="006B66BA"/>
    <w:rsid w:val="006B6C8F"/>
    <w:rsid w:val="006B732B"/>
    <w:rsid w:val="006C1B0F"/>
    <w:rsid w:val="006D2896"/>
    <w:rsid w:val="006D5C44"/>
    <w:rsid w:val="006E3267"/>
    <w:rsid w:val="006E5784"/>
    <w:rsid w:val="007007C1"/>
    <w:rsid w:val="007077E1"/>
    <w:rsid w:val="00711816"/>
    <w:rsid w:val="0071350F"/>
    <w:rsid w:val="007148EE"/>
    <w:rsid w:val="00716D12"/>
    <w:rsid w:val="00717423"/>
    <w:rsid w:val="00724F55"/>
    <w:rsid w:val="00726EDB"/>
    <w:rsid w:val="00727F2C"/>
    <w:rsid w:val="00730A98"/>
    <w:rsid w:val="00733515"/>
    <w:rsid w:val="00735353"/>
    <w:rsid w:val="0073750E"/>
    <w:rsid w:val="00741B29"/>
    <w:rsid w:val="007435AE"/>
    <w:rsid w:val="00746068"/>
    <w:rsid w:val="00747AE6"/>
    <w:rsid w:val="00751240"/>
    <w:rsid w:val="00751CF8"/>
    <w:rsid w:val="00755704"/>
    <w:rsid w:val="00756DC3"/>
    <w:rsid w:val="00760545"/>
    <w:rsid w:val="00763639"/>
    <w:rsid w:val="00763CD8"/>
    <w:rsid w:val="007646BD"/>
    <w:rsid w:val="00770868"/>
    <w:rsid w:val="0078011B"/>
    <w:rsid w:val="0078069F"/>
    <w:rsid w:val="00781DCB"/>
    <w:rsid w:val="007872BD"/>
    <w:rsid w:val="007873ED"/>
    <w:rsid w:val="0078756A"/>
    <w:rsid w:val="00787F03"/>
    <w:rsid w:val="00790CDD"/>
    <w:rsid w:val="00791496"/>
    <w:rsid w:val="007921D9"/>
    <w:rsid w:val="00794D5B"/>
    <w:rsid w:val="00796201"/>
    <w:rsid w:val="00796723"/>
    <w:rsid w:val="007A0FAD"/>
    <w:rsid w:val="007A134E"/>
    <w:rsid w:val="007A1C4E"/>
    <w:rsid w:val="007A2A23"/>
    <w:rsid w:val="007A5D16"/>
    <w:rsid w:val="007B0577"/>
    <w:rsid w:val="007B61D6"/>
    <w:rsid w:val="007C4B9B"/>
    <w:rsid w:val="007E2136"/>
    <w:rsid w:val="007E3854"/>
    <w:rsid w:val="007E5DE0"/>
    <w:rsid w:val="007F2611"/>
    <w:rsid w:val="007F27A4"/>
    <w:rsid w:val="007F27F0"/>
    <w:rsid w:val="007F4B61"/>
    <w:rsid w:val="007F575F"/>
    <w:rsid w:val="008060EB"/>
    <w:rsid w:val="00807C52"/>
    <w:rsid w:val="008109B7"/>
    <w:rsid w:val="00811A12"/>
    <w:rsid w:val="00815AA9"/>
    <w:rsid w:val="00817A09"/>
    <w:rsid w:val="00824DA1"/>
    <w:rsid w:val="00826DFD"/>
    <w:rsid w:val="00833E4D"/>
    <w:rsid w:val="00834876"/>
    <w:rsid w:val="0084020E"/>
    <w:rsid w:val="00842EAB"/>
    <w:rsid w:val="00845D55"/>
    <w:rsid w:val="00847595"/>
    <w:rsid w:val="00851A8F"/>
    <w:rsid w:val="00852072"/>
    <w:rsid w:val="00852475"/>
    <w:rsid w:val="00856E5B"/>
    <w:rsid w:val="00867123"/>
    <w:rsid w:val="00871CE6"/>
    <w:rsid w:val="00875BCD"/>
    <w:rsid w:val="0087654F"/>
    <w:rsid w:val="0088029E"/>
    <w:rsid w:val="00881C71"/>
    <w:rsid w:val="008833DD"/>
    <w:rsid w:val="0088380D"/>
    <w:rsid w:val="008849C7"/>
    <w:rsid w:val="00891B33"/>
    <w:rsid w:val="00892D83"/>
    <w:rsid w:val="00895551"/>
    <w:rsid w:val="008957C9"/>
    <w:rsid w:val="008A24FE"/>
    <w:rsid w:val="008A37E4"/>
    <w:rsid w:val="008A60CB"/>
    <w:rsid w:val="008A6A19"/>
    <w:rsid w:val="008A774C"/>
    <w:rsid w:val="008B04CD"/>
    <w:rsid w:val="008B3A40"/>
    <w:rsid w:val="008B3F83"/>
    <w:rsid w:val="008B72D4"/>
    <w:rsid w:val="008C00B7"/>
    <w:rsid w:val="008C0BBA"/>
    <w:rsid w:val="008C1367"/>
    <w:rsid w:val="008C3488"/>
    <w:rsid w:val="008C43B8"/>
    <w:rsid w:val="008D640B"/>
    <w:rsid w:val="008E688A"/>
    <w:rsid w:val="008F0DF6"/>
    <w:rsid w:val="008F2915"/>
    <w:rsid w:val="00900786"/>
    <w:rsid w:val="00903F06"/>
    <w:rsid w:val="0090405D"/>
    <w:rsid w:val="0090468F"/>
    <w:rsid w:val="009077E0"/>
    <w:rsid w:val="00914689"/>
    <w:rsid w:val="00922F19"/>
    <w:rsid w:val="009253FB"/>
    <w:rsid w:val="00925709"/>
    <w:rsid w:val="00927493"/>
    <w:rsid w:val="00933738"/>
    <w:rsid w:val="009356FB"/>
    <w:rsid w:val="009374B3"/>
    <w:rsid w:val="00940850"/>
    <w:rsid w:val="00940C1C"/>
    <w:rsid w:val="00940FA9"/>
    <w:rsid w:val="00942F8C"/>
    <w:rsid w:val="00944FC9"/>
    <w:rsid w:val="009465DC"/>
    <w:rsid w:val="0094759D"/>
    <w:rsid w:val="00951F85"/>
    <w:rsid w:val="009524C6"/>
    <w:rsid w:val="009546E5"/>
    <w:rsid w:val="00955DB4"/>
    <w:rsid w:val="009565D0"/>
    <w:rsid w:val="009634CF"/>
    <w:rsid w:val="009701CB"/>
    <w:rsid w:val="009708AD"/>
    <w:rsid w:val="00972718"/>
    <w:rsid w:val="00973F70"/>
    <w:rsid w:val="00975782"/>
    <w:rsid w:val="009876B4"/>
    <w:rsid w:val="009938E8"/>
    <w:rsid w:val="0099714E"/>
    <w:rsid w:val="009977B2"/>
    <w:rsid w:val="009A66E4"/>
    <w:rsid w:val="009B0E49"/>
    <w:rsid w:val="009C3334"/>
    <w:rsid w:val="009D14D2"/>
    <w:rsid w:val="009D1917"/>
    <w:rsid w:val="009D2D3E"/>
    <w:rsid w:val="009D3F1F"/>
    <w:rsid w:val="009D6F6B"/>
    <w:rsid w:val="009E0C34"/>
    <w:rsid w:val="009E7EB0"/>
    <w:rsid w:val="009F24E3"/>
    <w:rsid w:val="009F4A1E"/>
    <w:rsid w:val="00A01274"/>
    <w:rsid w:val="00A0446A"/>
    <w:rsid w:val="00A07EB5"/>
    <w:rsid w:val="00A108E3"/>
    <w:rsid w:val="00A1782C"/>
    <w:rsid w:val="00A21CDF"/>
    <w:rsid w:val="00A2321E"/>
    <w:rsid w:val="00A2383F"/>
    <w:rsid w:val="00A23F2A"/>
    <w:rsid w:val="00A25381"/>
    <w:rsid w:val="00A258F0"/>
    <w:rsid w:val="00A26E20"/>
    <w:rsid w:val="00A27064"/>
    <w:rsid w:val="00A41D9B"/>
    <w:rsid w:val="00A4463B"/>
    <w:rsid w:val="00A516DC"/>
    <w:rsid w:val="00A544E5"/>
    <w:rsid w:val="00A569BC"/>
    <w:rsid w:val="00A576D1"/>
    <w:rsid w:val="00A623B7"/>
    <w:rsid w:val="00A661F2"/>
    <w:rsid w:val="00A70918"/>
    <w:rsid w:val="00A71856"/>
    <w:rsid w:val="00A71BDE"/>
    <w:rsid w:val="00A74926"/>
    <w:rsid w:val="00A765AF"/>
    <w:rsid w:val="00A76619"/>
    <w:rsid w:val="00A835C3"/>
    <w:rsid w:val="00A86C60"/>
    <w:rsid w:val="00A8739D"/>
    <w:rsid w:val="00AA0EA5"/>
    <w:rsid w:val="00AA249D"/>
    <w:rsid w:val="00AA35DE"/>
    <w:rsid w:val="00AA64E6"/>
    <w:rsid w:val="00AA7D8B"/>
    <w:rsid w:val="00AB0483"/>
    <w:rsid w:val="00AB4513"/>
    <w:rsid w:val="00AB475A"/>
    <w:rsid w:val="00AC1BEB"/>
    <w:rsid w:val="00AC31BB"/>
    <w:rsid w:val="00AC3E37"/>
    <w:rsid w:val="00AD128F"/>
    <w:rsid w:val="00AD7099"/>
    <w:rsid w:val="00AE21D8"/>
    <w:rsid w:val="00AE2DD7"/>
    <w:rsid w:val="00AE3A85"/>
    <w:rsid w:val="00AE5481"/>
    <w:rsid w:val="00AE571E"/>
    <w:rsid w:val="00AF3F9B"/>
    <w:rsid w:val="00AF6DCC"/>
    <w:rsid w:val="00AF763E"/>
    <w:rsid w:val="00B011BB"/>
    <w:rsid w:val="00B01391"/>
    <w:rsid w:val="00B01DBB"/>
    <w:rsid w:val="00B021EF"/>
    <w:rsid w:val="00B06480"/>
    <w:rsid w:val="00B10394"/>
    <w:rsid w:val="00B125F6"/>
    <w:rsid w:val="00B15A55"/>
    <w:rsid w:val="00B179B3"/>
    <w:rsid w:val="00B2173B"/>
    <w:rsid w:val="00B22353"/>
    <w:rsid w:val="00B242B2"/>
    <w:rsid w:val="00B31D8F"/>
    <w:rsid w:val="00B3431B"/>
    <w:rsid w:val="00B34A60"/>
    <w:rsid w:val="00B420BC"/>
    <w:rsid w:val="00B50A8E"/>
    <w:rsid w:val="00B51EDB"/>
    <w:rsid w:val="00B5587B"/>
    <w:rsid w:val="00B55D2C"/>
    <w:rsid w:val="00B60328"/>
    <w:rsid w:val="00B7270F"/>
    <w:rsid w:val="00B73BA9"/>
    <w:rsid w:val="00B73CB2"/>
    <w:rsid w:val="00B7522A"/>
    <w:rsid w:val="00B810B5"/>
    <w:rsid w:val="00B82264"/>
    <w:rsid w:val="00B835F3"/>
    <w:rsid w:val="00B85085"/>
    <w:rsid w:val="00B865C3"/>
    <w:rsid w:val="00B87F21"/>
    <w:rsid w:val="00B90727"/>
    <w:rsid w:val="00B93D8B"/>
    <w:rsid w:val="00B9783C"/>
    <w:rsid w:val="00B97B5B"/>
    <w:rsid w:val="00BA749B"/>
    <w:rsid w:val="00BB1B6C"/>
    <w:rsid w:val="00BB475D"/>
    <w:rsid w:val="00BB65F0"/>
    <w:rsid w:val="00BC05E3"/>
    <w:rsid w:val="00BC0BE7"/>
    <w:rsid w:val="00BC4492"/>
    <w:rsid w:val="00BC667B"/>
    <w:rsid w:val="00BD0E7E"/>
    <w:rsid w:val="00BD1A90"/>
    <w:rsid w:val="00BD2B94"/>
    <w:rsid w:val="00BD5ACB"/>
    <w:rsid w:val="00BD6630"/>
    <w:rsid w:val="00BD6EE2"/>
    <w:rsid w:val="00BE2DC1"/>
    <w:rsid w:val="00BE5A19"/>
    <w:rsid w:val="00BE71A1"/>
    <w:rsid w:val="00BF0200"/>
    <w:rsid w:val="00BF363D"/>
    <w:rsid w:val="00BF3C0D"/>
    <w:rsid w:val="00BF41CA"/>
    <w:rsid w:val="00BF4ED9"/>
    <w:rsid w:val="00BF5CF1"/>
    <w:rsid w:val="00BF7849"/>
    <w:rsid w:val="00C002DA"/>
    <w:rsid w:val="00C010A2"/>
    <w:rsid w:val="00C03670"/>
    <w:rsid w:val="00C06D6F"/>
    <w:rsid w:val="00C07882"/>
    <w:rsid w:val="00C11181"/>
    <w:rsid w:val="00C1142D"/>
    <w:rsid w:val="00C13558"/>
    <w:rsid w:val="00C16153"/>
    <w:rsid w:val="00C23E56"/>
    <w:rsid w:val="00C249D1"/>
    <w:rsid w:val="00C269C6"/>
    <w:rsid w:val="00C364AA"/>
    <w:rsid w:val="00C372FE"/>
    <w:rsid w:val="00C4477D"/>
    <w:rsid w:val="00C44A91"/>
    <w:rsid w:val="00C458EC"/>
    <w:rsid w:val="00C46309"/>
    <w:rsid w:val="00C464CF"/>
    <w:rsid w:val="00C46E7C"/>
    <w:rsid w:val="00C47B0C"/>
    <w:rsid w:val="00C505FA"/>
    <w:rsid w:val="00C50E7B"/>
    <w:rsid w:val="00C51C7D"/>
    <w:rsid w:val="00C52690"/>
    <w:rsid w:val="00C55DD4"/>
    <w:rsid w:val="00C61DFA"/>
    <w:rsid w:val="00C639FD"/>
    <w:rsid w:val="00C658EB"/>
    <w:rsid w:val="00C67001"/>
    <w:rsid w:val="00C67726"/>
    <w:rsid w:val="00C7272B"/>
    <w:rsid w:val="00C7604F"/>
    <w:rsid w:val="00C77AEF"/>
    <w:rsid w:val="00C82C65"/>
    <w:rsid w:val="00C84E72"/>
    <w:rsid w:val="00C85A6E"/>
    <w:rsid w:val="00C9096F"/>
    <w:rsid w:val="00CA0190"/>
    <w:rsid w:val="00CA1DD5"/>
    <w:rsid w:val="00CA3DD1"/>
    <w:rsid w:val="00CB11FD"/>
    <w:rsid w:val="00CB1B3E"/>
    <w:rsid w:val="00CB6563"/>
    <w:rsid w:val="00CB6EF9"/>
    <w:rsid w:val="00CB7B82"/>
    <w:rsid w:val="00CC33A5"/>
    <w:rsid w:val="00CC7304"/>
    <w:rsid w:val="00CD5B8C"/>
    <w:rsid w:val="00CD76F9"/>
    <w:rsid w:val="00CE086A"/>
    <w:rsid w:val="00CE3DF1"/>
    <w:rsid w:val="00CE4397"/>
    <w:rsid w:val="00CE53E8"/>
    <w:rsid w:val="00CE6C00"/>
    <w:rsid w:val="00CE7E9D"/>
    <w:rsid w:val="00CF2534"/>
    <w:rsid w:val="00D02409"/>
    <w:rsid w:val="00D03AD7"/>
    <w:rsid w:val="00D04C96"/>
    <w:rsid w:val="00D06D28"/>
    <w:rsid w:val="00D1491E"/>
    <w:rsid w:val="00D262CB"/>
    <w:rsid w:val="00D309F0"/>
    <w:rsid w:val="00D313FB"/>
    <w:rsid w:val="00D314E6"/>
    <w:rsid w:val="00D31B02"/>
    <w:rsid w:val="00D330D1"/>
    <w:rsid w:val="00D36744"/>
    <w:rsid w:val="00D369BB"/>
    <w:rsid w:val="00D379B9"/>
    <w:rsid w:val="00D43E53"/>
    <w:rsid w:val="00D44429"/>
    <w:rsid w:val="00D533C9"/>
    <w:rsid w:val="00D55CD3"/>
    <w:rsid w:val="00D61F84"/>
    <w:rsid w:val="00D624C2"/>
    <w:rsid w:val="00D653EE"/>
    <w:rsid w:val="00D70B31"/>
    <w:rsid w:val="00D7201E"/>
    <w:rsid w:val="00D72A1F"/>
    <w:rsid w:val="00D741E2"/>
    <w:rsid w:val="00D74355"/>
    <w:rsid w:val="00D752D6"/>
    <w:rsid w:val="00D828B9"/>
    <w:rsid w:val="00D959BD"/>
    <w:rsid w:val="00D974F4"/>
    <w:rsid w:val="00DA0D86"/>
    <w:rsid w:val="00DA2743"/>
    <w:rsid w:val="00DB0FCB"/>
    <w:rsid w:val="00DB1357"/>
    <w:rsid w:val="00DB71C7"/>
    <w:rsid w:val="00DC5054"/>
    <w:rsid w:val="00DC745E"/>
    <w:rsid w:val="00DD2266"/>
    <w:rsid w:val="00DD6AAD"/>
    <w:rsid w:val="00DE0B85"/>
    <w:rsid w:val="00DE694E"/>
    <w:rsid w:val="00DF21A3"/>
    <w:rsid w:val="00DF4E76"/>
    <w:rsid w:val="00DF627A"/>
    <w:rsid w:val="00DF7FFD"/>
    <w:rsid w:val="00E02E70"/>
    <w:rsid w:val="00E07F3F"/>
    <w:rsid w:val="00E140D8"/>
    <w:rsid w:val="00E16461"/>
    <w:rsid w:val="00E2479D"/>
    <w:rsid w:val="00E3336A"/>
    <w:rsid w:val="00E3430D"/>
    <w:rsid w:val="00E37149"/>
    <w:rsid w:val="00E420E6"/>
    <w:rsid w:val="00E5064C"/>
    <w:rsid w:val="00E506F8"/>
    <w:rsid w:val="00E511A8"/>
    <w:rsid w:val="00E525DA"/>
    <w:rsid w:val="00E53D23"/>
    <w:rsid w:val="00E56471"/>
    <w:rsid w:val="00E567A7"/>
    <w:rsid w:val="00E610AD"/>
    <w:rsid w:val="00E661EB"/>
    <w:rsid w:val="00E66412"/>
    <w:rsid w:val="00E66A8D"/>
    <w:rsid w:val="00E71322"/>
    <w:rsid w:val="00E71D99"/>
    <w:rsid w:val="00E77504"/>
    <w:rsid w:val="00E90CA6"/>
    <w:rsid w:val="00E90EB7"/>
    <w:rsid w:val="00E90F68"/>
    <w:rsid w:val="00E9207A"/>
    <w:rsid w:val="00E97E97"/>
    <w:rsid w:val="00EA472E"/>
    <w:rsid w:val="00EA5EFC"/>
    <w:rsid w:val="00EB0BBA"/>
    <w:rsid w:val="00EB2617"/>
    <w:rsid w:val="00EB3674"/>
    <w:rsid w:val="00EB768F"/>
    <w:rsid w:val="00EC4180"/>
    <w:rsid w:val="00EC45E6"/>
    <w:rsid w:val="00ED1A1D"/>
    <w:rsid w:val="00ED1CB0"/>
    <w:rsid w:val="00ED3100"/>
    <w:rsid w:val="00ED461D"/>
    <w:rsid w:val="00ED7F4C"/>
    <w:rsid w:val="00EE5AF1"/>
    <w:rsid w:val="00EE7241"/>
    <w:rsid w:val="00EF037D"/>
    <w:rsid w:val="00EF4803"/>
    <w:rsid w:val="00EF6D70"/>
    <w:rsid w:val="00EF72E2"/>
    <w:rsid w:val="00F0052B"/>
    <w:rsid w:val="00F00F2D"/>
    <w:rsid w:val="00F010BA"/>
    <w:rsid w:val="00F01A12"/>
    <w:rsid w:val="00F03210"/>
    <w:rsid w:val="00F03BE8"/>
    <w:rsid w:val="00F0551E"/>
    <w:rsid w:val="00F12BAC"/>
    <w:rsid w:val="00F13597"/>
    <w:rsid w:val="00F136EA"/>
    <w:rsid w:val="00F23E30"/>
    <w:rsid w:val="00F302EA"/>
    <w:rsid w:val="00F32561"/>
    <w:rsid w:val="00F3421B"/>
    <w:rsid w:val="00F4242B"/>
    <w:rsid w:val="00F44022"/>
    <w:rsid w:val="00F4770D"/>
    <w:rsid w:val="00F55015"/>
    <w:rsid w:val="00F564D9"/>
    <w:rsid w:val="00F5729C"/>
    <w:rsid w:val="00F601CB"/>
    <w:rsid w:val="00F62B01"/>
    <w:rsid w:val="00F633A2"/>
    <w:rsid w:val="00F636E6"/>
    <w:rsid w:val="00F643B2"/>
    <w:rsid w:val="00F64E1F"/>
    <w:rsid w:val="00F706FE"/>
    <w:rsid w:val="00F708F3"/>
    <w:rsid w:val="00F7281F"/>
    <w:rsid w:val="00F73A4B"/>
    <w:rsid w:val="00F74CC0"/>
    <w:rsid w:val="00F75529"/>
    <w:rsid w:val="00F77A25"/>
    <w:rsid w:val="00F83217"/>
    <w:rsid w:val="00F84104"/>
    <w:rsid w:val="00F85A68"/>
    <w:rsid w:val="00F91E2B"/>
    <w:rsid w:val="00FA0464"/>
    <w:rsid w:val="00FA13AD"/>
    <w:rsid w:val="00FA238C"/>
    <w:rsid w:val="00FA4F2F"/>
    <w:rsid w:val="00FA51B4"/>
    <w:rsid w:val="00FA6F26"/>
    <w:rsid w:val="00FB0A03"/>
    <w:rsid w:val="00FB158D"/>
    <w:rsid w:val="00FC0838"/>
    <w:rsid w:val="00FC174D"/>
    <w:rsid w:val="00FC347D"/>
    <w:rsid w:val="00FC627D"/>
    <w:rsid w:val="00FC7C49"/>
    <w:rsid w:val="00FD1A40"/>
    <w:rsid w:val="00FD3B25"/>
    <w:rsid w:val="00FD5AB1"/>
    <w:rsid w:val="00FD7FCB"/>
    <w:rsid w:val="00FE346D"/>
    <w:rsid w:val="00FE406C"/>
    <w:rsid w:val="00FF5DB4"/>
    <w:rsid w:val="00FF69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71" fillcolor="white">
      <v:fill color="white"/>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4CB7"/>
    <w:pPr>
      <w:ind w:left="720"/>
      <w:contextualSpacing/>
    </w:pPr>
  </w:style>
  <w:style w:type="paragraph" w:styleId="Textedebulles">
    <w:name w:val="Balloon Text"/>
    <w:basedOn w:val="Normal"/>
    <w:link w:val="TextedebullesCar"/>
    <w:uiPriority w:val="99"/>
    <w:semiHidden/>
    <w:unhideWhenUsed/>
    <w:rsid w:val="009938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8E8"/>
    <w:rPr>
      <w:rFonts w:ascii="Tahoma" w:hAnsi="Tahoma" w:cs="Tahoma"/>
      <w:sz w:val="16"/>
      <w:szCs w:val="16"/>
    </w:rPr>
  </w:style>
  <w:style w:type="table" w:styleId="Grillemoyenne3-Accent1">
    <w:name w:val="Medium Grid 3 Accent 1"/>
    <w:basedOn w:val="TableauNormal"/>
    <w:uiPriority w:val="69"/>
    <w:rsid w:val="00F477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4">
    <w:name w:val="Medium Grid 3 Accent 4"/>
    <w:basedOn w:val="TableauNormal"/>
    <w:uiPriority w:val="69"/>
    <w:rsid w:val="00F64E1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En-tte">
    <w:name w:val="header"/>
    <w:basedOn w:val="Normal"/>
    <w:link w:val="En-tteCar"/>
    <w:uiPriority w:val="99"/>
    <w:unhideWhenUsed/>
    <w:rsid w:val="00014DCA"/>
    <w:pPr>
      <w:tabs>
        <w:tab w:val="center" w:pos="4536"/>
        <w:tab w:val="right" w:pos="9072"/>
      </w:tabs>
      <w:spacing w:after="0" w:line="240" w:lineRule="auto"/>
    </w:pPr>
  </w:style>
  <w:style w:type="character" w:customStyle="1" w:styleId="En-tteCar">
    <w:name w:val="En-tête Car"/>
    <w:basedOn w:val="Policepardfaut"/>
    <w:link w:val="En-tte"/>
    <w:uiPriority w:val="99"/>
    <w:rsid w:val="00014DCA"/>
  </w:style>
  <w:style w:type="paragraph" w:styleId="Pieddepage">
    <w:name w:val="footer"/>
    <w:basedOn w:val="Normal"/>
    <w:link w:val="PieddepageCar"/>
    <w:uiPriority w:val="99"/>
    <w:semiHidden/>
    <w:unhideWhenUsed/>
    <w:rsid w:val="00014DC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14DCA"/>
  </w:style>
  <w:style w:type="paragraph" w:styleId="Notedebasdepage">
    <w:name w:val="footnote text"/>
    <w:basedOn w:val="Normal"/>
    <w:link w:val="NotedebasdepageCar"/>
    <w:uiPriority w:val="99"/>
    <w:semiHidden/>
    <w:unhideWhenUsed/>
    <w:rsid w:val="00BF5CF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F5CF1"/>
    <w:rPr>
      <w:sz w:val="20"/>
      <w:szCs w:val="20"/>
    </w:rPr>
  </w:style>
  <w:style w:type="character" w:styleId="Appelnotedebasdep">
    <w:name w:val="footnote reference"/>
    <w:basedOn w:val="Policepardfaut"/>
    <w:uiPriority w:val="99"/>
    <w:semiHidden/>
    <w:unhideWhenUsed/>
    <w:rsid w:val="00BF5CF1"/>
    <w:rPr>
      <w:vertAlign w:val="superscript"/>
    </w:rPr>
  </w:style>
  <w:style w:type="table" w:styleId="Tramemoyenne1-Accent4">
    <w:name w:val="Medium Shading 1 Accent 4"/>
    <w:basedOn w:val="TableauNormal"/>
    <w:uiPriority w:val="63"/>
    <w:rsid w:val="00E90F68"/>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354F08"/>
    <w:pPr>
      <w:autoSpaceDE w:val="0"/>
      <w:autoSpaceDN w:val="0"/>
      <w:adjustRightInd w:val="0"/>
      <w:spacing w:after="0" w:line="240" w:lineRule="auto"/>
    </w:pPr>
    <w:rPr>
      <w:rFonts w:ascii="Verdana" w:hAnsi="Verdana" w:cs="Verdana"/>
      <w:color w:val="000000"/>
      <w:sz w:val="24"/>
      <w:szCs w:val="24"/>
    </w:rPr>
  </w:style>
  <w:style w:type="paragraph" w:customStyle="1" w:styleId="NP">
    <w:name w:val="NP"/>
    <w:basedOn w:val="Default"/>
    <w:next w:val="Default"/>
    <w:uiPriority w:val="99"/>
    <w:rsid w:val="00730A98"/>
    <w:rPr>
      <w:rFonts w:ascii="Times New Roman" w:hAnsi="Times New Roman" w:cs="Times New Roman"/>
      <w:color w:val="auto"/>
    </w:rPr>
  </w:style>
  <w:style w:type="table" w:styleId="Grillemoyenne1-Accent4">
    <w:name w:val="Medium Grid 1 Accent 4"/>
    <w:basedOn w:val="TableauNormal"/>
    <w:uiPriority w:val="67"/>
    <w:rsid w:val="00756DC3"/>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4">
    <w:name w:val="Colorful Grid Accent 4"/>
    <w:basedOn w:val="TableauNormal"/>
    <w:uiPriority w:val="73"/>
    <w:rsid w:val="0042339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Tramemoyenne2-Accent4">
    <w:name w:val="Medium Shading 2 Accent 4"/>
    <w:basedOn w:val="TableauNormal"/>
    <w:uiPriority w:val="64"/>
    <w:rsid w:val="008A774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0">
    <w:name w:val="A0"/>
    <w:uiPriority w:val="99"/>
    <w:rsid w:val="001B3390"/>
    <w:rPr>
      <w:rFonts w:cs="PUSGTX+EideticNeoBold"/>
      <w:color w:val="000000"/>
      <w:sz w:val="18"/>
      <w:szCs w:val="18"/>
    </w:rPr>
  </w:style>
  <w:style w:type="paragraph" w:customStyle="1" w:styleId="Pa0">
    <w:name w:val="Pa0"/>
    <w:basedOn w:val="Default"/>
    <w:next w:val="Default"/>
    <w:uiPriority w:val="99"/>
    <w:rsid w:val="00F01A12"/>
    <w:pPr>
      <w:spacing w:line="241" w:lineRule="atLeast"/>
    </w:pPr>
    <w:rPr>
      <w:rFonts w:ascii="TAGEXP+EideticNeoRegular" w:hAnsi="TAGEXP+EideticNeoRegular" w:cstheme="minorBidi"/>
      <w:color w:val="auto"/>
    </w:rPr>
  </w:style>
  <w:style w:type="paragraph" w:customStyle="1" w:styleId="Pa1">
    <w:name w:val="Pa1"/>
    <w:basedOn w:val="Default"/>
    <w:next w:val="Default"/>
    <w:uiPriority w:val="99"/>
    <w:rsid w:val="00F01A12"/>
    <w:pPr>
      <w:spacing w:line="241" w:lineRule="atLeast"/>
    </w:pPr>
    <w:rPr>
      <w:rFonts w:ascii="TAGEXP+EideticNeoRegular" w:hAnsi="TAGEXP+EideticNeoRegular" w:cstheme="minorBidi"/>
      <w:color w:val="auto"/>
    </w:rPr>
  </w:style>
  <w:style w:type="character" w:customStyle="1" w:styleId="A8">
    <w:name w:val="A8"/>
    <w:uiPriority w:val="99"/>
    <w:rsid w:val="00CD5B8C"/>
    <w:rPr>
      <w:rFonts w:cs="RKMSVT+Sophisto-CGauge"/>
      <w:color w:val="000000"/>
      <w:sz w:val="26"/>
      <w:szCs w:val="26"/>
    </w:rPr>
  </w:style>
  <w:style w:type="character" w:customStyle="1" w:styleId="A6">
    <w:name w:val="A6"/>
    <w:uiPriority w:val="99"/>
    <w:rsid w:val="00CD5B8C"/>
    <w:rPr>
      <w:rFonts w:cs="NEYURB+Sophisto-EGauge"/>
      <w:color w:val="000000"/>
      <w:sz w:val="114"/>
      <w:szCs w:val="114"/>
    </w:rPr>
  </w:style>
  <w:style w:type="table" w:styleId="Grilledutableau">
    <w:name w:val="Table Grid"/>
    <w:basedOn w:val="TableauNormal"/>
    <w:uiPriority w:val="59"/>
    <w:rsid w:val="00452C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FE346D"/>
    <w:rPr>
      <w:color w:val="0000FF" w:themeColor="hyperlink"/>
      <w:u w:val="single"/>
    </w:rPr>
  </w:style>
  <w:style w:type="paragraph" w:styleId="Corpsdetexte">
    <w:name w:val="Body Text"/>
    <w:basedOn w:val="Normal"/>
    <w:link w:val="CorpsdetexteCar"/>
    <w:rsid w:val="00E525DA"/>
    <w:pPr>
      <w:spacing w:before="240" w:after="0" w:line="360" w:lineRule="auto"/>
      <w:jc w:val="both"/>
    </w:pPr>
    <w:rPr>
      <w:rFonts w:ascii="Arial" w:eastAsia="Times New Roman" w:hAnsi="Arial" w:cs="Arial"/>
      <w:shadow/>
      <w:sz w:val="24"/>
      <w:szCs w:val="24"/>
    </w:rPr>
  </w:style>
  <w:style w:type="character" w:customStyle="1" w:styleId="CorpsdetexteCar">
    <w:name w:val="Corps de texte Car"/>
    <w:basedOn w:val="Policepardfaut"/>
    <w:link w:val="Corpsdetexte"/>
    <w:rsid w:val="00E525DA"/>
    <w:rPr>
      <w:rFonts w:ascii="Arial" w:eastAsia="Times New Roman" w:hAnsi="Arial" w:cs="Arial"/>
      <w:shadow/>
      <w:sz w:val="24"/>
      <w:szCs w:val="24"/>
    </w:rPr>
  </w:style>
  <w:style w:type="paragraph" w:styleId="Corpsdetexte2">
    <w:name w:val="Body Text 2"/>
    <w:basedOn w:val="Normal"/>
    <w:link w:val="Corpsdetexte2Car"/>
    <w:uiPriority w:val="99"/>
    <w:semiHidden/>
    <w:unhideWhenUsed/>
    <w:rsid w:val="004E23DD"/>
    <w:pPr>
      <w:spacing w:after="120" w:line="480" w:lineRule="auto"/>
    </w:pPr>
  </w:style>
  <w:style w:type="character" w:customStyle="1" w:styleId="Corpsdetexte2Car">
    <w:name w:val="Corps de texte 2 Car"/>
    <w:basedOn w:val="Policepardfaut"/>
    <w:link w:val="Corpsdetexte2"/>
    <w:uiPriority w:val="99"/>
    <w:semiHidden/>
    <w:rsid w:val="004E23DD"/>
  </w:style>
</w:styles>
</file>

<file path=word/webSettings.xml><?xml version="1.0" encoding="utf-8"?>
<w:webSettings xmlns:r="http://schemas.openxmlformats.org/officeDocument/2006/relationships" xmlns:w="http://schemas.openxmlformats.org/wordprocessingml/2006/main">
  <w:divs>
    <w:div w:id="3670398">
      <w:bodyDiv w:val="1"/>
      <w:marLeft w:val="0"/>
      <w:marRight w:val="0"/>
      <w:marTop w:val="0"/>
      <w:marBottom w:val="0"/>
      <w:divBdr>
        <w:top w:val="none" w:sz="0" w:space="0" w:color="auto"/>
        <w:left w:val="none" w:sz="0" w:space="0" w:color="auto"/>
        <w:bottom w:val="none" w:sz="0" w:space="0" w:color="auto"/>
        <w:right w:val="none" w:sz="0" w:space="0" w:color="auto"/>
      </w:divBdr>
    </w:div>
    <w:div w:id="45182835">
      <w:bodyDiv w:val="1"/>
      <w:marLeft w:val="0"/>
      <w:marRight w:val="0"/>
      <w:marTop w:val="0"/>
      <w:marBottom w:val="0"/>
      <w:divBdr>
        <w:top w:val="none" w:sz="0" w:space="0" w:color="auto"/>
        <w:left w:val="none" w:sz="0" w:space="0" w:color="auto"/>
        <w:bottom w:val="none" w:sz="0" w:space="0" w:color="auto"/>
        <w:right w:val="none" w:sz="0" w:space="0" w:color="auto"/>
      </w:divBdr>
    </w:div>
    <w:div w:id="81805662">
      <w:bodyDiv w:val="1"/>
      <w:marLeft w:val="0"/>
      <w:marRight w:val="0"/>
      <w:marTop w:val="0"/>
      <w:marBottom w:val="0"/>
      <w:divBdr>
        <w:top w:val="none" w:sz="0" w:space="0" w:color="auto"/>
        <w:left w:val="none" w:sz="0" w:space="0" w:color="auto"/>
        <w:bottom w:val="none" w:sz="0" w:space="0" w:color="auto"/>
        <w:right w:val="none" w:sz="0" w:space="0" w:color="auto"/>
      </w:divBdr>
    </w:div>
    <w:div w:id="125398666">
      <w:bodyDiv w:val="1"/>
      <w:marLeft w:val="0"/>
      <w:marRight w:val="0"/>
      <w:marTop w:val="0"/>
      <w:marBottom w:val="0"/>
      <w:divBdr>
        <w:top w:val="none" w:sz="0" w:space="0" w:color="auto"/>
        <w:left w:val="none" w:sz="0" w:space="0" w:color="auto"/>
        <w:bottom w:val="none" w:sz="0" w:space="0" w:color="auto"/>
        <w:right w:val="none" w:sz="0" w:space="0" w:color="auto"/>
      </w:divBdr>
    </w:div>
    <w:div w:id="151071600">
      <w:bodyDiv w:val="1"/>
      <w:marLeft w:val="0"/>
      <w:marRight w:val="0"/>
      <w:marTop w:val="0"/>
      <w:marBottom w:val="0"/>
      <w:divBdr>
        <w:top w:val="none" w:sz="0" w:space="0" w:color="auto"/>
        <w:left w:val="none" w:sz="0" w:space="0" w:color="auto"/>
        <w:bottom w:val="none" w:sz="0" w:space="0" w:color="auto"/>
        <w:right w:val="none" w:sz="0" w:space="0" w:color="auto"/>
      </w:divBdr>
    </w:div>
    <w:div w:id="221140914">
      <w:bodyDiv w:val="1"/>
      <w:marLeft w:val="0"/>
      <w:marRight w:val="0"/>
      <w:marTop w:val="0"/>
      <w:marBottom w:val="0"/>
      <w:divBdr>
        <w:top w:val="none" w:sz="0" w:space="0" w:color="auto"/>
        <w:left w:val="none" w:sz="0" w:space="0" w:color="auto"/>
        <w:bottom w:val="none" w:sz="0" w:space="0" w:color="auto"/>
        <w:right w:val="none" w:sz="0" w:space="0" w:color="auto"/>
      </w:divBdr>
    </w:div>
    <w:div w:id="251596510">
      <w:bodyDiv w:val="1"/>
      <w:marLeft w:val="0"/>
      <w:marRight w:val="0"/>
      <w:marTop w:val="0"/>
      <w:marBottom w:val="0"/>
      <w:divBdr>
        <w:top w:val="none" w:sz="0" w:space="0" w:color="auto"/>
        <w:left w:val="none" w:sz="0" w:space="0" w:color="auto"/>
        <w:bottom w:val="none" w:sz="0" w:space="0" w:color="auto"/>
        <w:right w:val="none" w:sz="0" w:space="0" w:color="auto"/>
      </w:divBdr>
    </w:div>
    <w:div w:id="257369775">
      <w:bodyDiv w:val="1"/>
      <w:marLeft w:val="0"/>
      <w:marRight w:val="0"/>
      <w:marTop w:val="0"/>
      <w:marBottom w:val="0"/>
      <w:divBdr>
        <w:top w:val="none" w:sz="0" w:space="0" w:color="auto"/>
        <w:left w:val="none" w:sz="0" w:space="0" w:color="auto"/>
        <w:bottom w:val="none" w:sz="0" w:space="0" w:color="auto"/>
        <w:right w:val="none" w:sz="0" w:space="0" w:color="auto"/>
      </w:divBdr>
    </w:div>
    <w:div w:id="278804347">
      <w:bodyDiv w:val="1"/>
      <w:marLeft w:val="0"/>
      <w:marRight w:val="0"/>
      <w:marTop w:val="0"/>
      <w:marBottom w:val="0"/>
      <w:divBdr>
        <w:top w:val="none" w:sz="0" w:space="0" w:color="auto"/>
        <w:left w:val="none" w:sz="0" w:space="0" w:color="auto"/>
        <w:bottom w:val="none" w:sz="0" w:space="0" w:color="auto"/>
        <w:right w:val="none" w:sz="0" w:space="0" w:color="auto"/>
      </w:divBdr>
    </w:div>
    <w:div w:id="280185781">
      <w:bodyDiv w:val="1"/>
      <w:marLeft w:val="0"/>
      <w:marRight w:val="0"/>
      <w:marTop w:val="0"/>
      <w:marBottom w:val="0"/>
      <w:divBdr>
        <w:top w:val="none" w:sz="0" w:space="0" w:color="auto"/>
        <w:left w:val="none" w:sz="0" w:space="0" w:color="auto"/>
        <w:bottom w:val="none" w:sz="0" w:space="0" w:color="auto"/>
        <w:right w:val="none" w:sz="0" w:space="0" w:color="auto"/>
      </w:divBdr>
    </w:div>
    <w:div w:id="296227896">
      <w:bodyDiv w:val="1"/>
      <w:marLeft w:val="0"/>
      <w:marRight w:val="0"/>
      <w:marTop w:val="0"/>
      <w:marBottom w:val="0"/>
      <w:divBdr>
        <w:top w:val="none" w:sz="0" w:space="0" w:color="auto"/>
        <w:left w:val="none" w:sz="0" w:space="0" w:color="auto"/>
        <w:bottom w:val="none" w:sz="0" w:space="0" w:color="auto"/>
        <w:right w:val="none" w:sz="0" w:space="0" w:color="auto"/>
      </w:divBdr>
    </w:div>
    <w:div w:id="351028981">
      <w:bodyDiv w:val="1"/>
      <w:marLeft w:val="0"/>
      <w:marRight w:val="0"/>
      <w:marTop w:val="0"/>
      <w:marBottom w:val="0"/>
      <w:divBdr>
        <w:top w:val="none" w:sz="0" w:space="0" w:color="auto"/>
        <w:left w:val="none" w:sz="0" w:space="0" w:color="auto"/>
        <w:bottom w:val="none" w:sz="0" w:space="0" w:color="auto"/>
        <w:right w:val="none" w:sz="0" w:space="0" w:color="auto"/>
      </w:divBdr>
    </w:div>
    <w:div w:id="357704609">
      <w:bodyDiv w:val="1"/>
      <w:marLeft w:val="0"/>
      <w:marRight w:val="0"/>
      <w:marTop w:val="0"/>
      <w:marBottom w:val="0"/>
      <w:divBdr>
        <w:top w:val="none" w:sz="0" w:space="0" w:color="auto"/>
        <w:left w:val="none" w:sz="0" w:space="0" w:color="auto"/>
        <w:bottom w:val="none" w:sz="0" w:space="0" w:color="auto"/>
        <w:right w:val="none" w:sz="0" w:space="0" w:color="auto"/>
      </w:divBdr>
    </w:div>
    <w:div w:id="476193419">
      <w:bodyDiv w:val="1"/>
      <w:marLeft w:val="0"/>
      <w:marRight w:val="0"/>
      <w:marTop w:val="0"/>
      <w:marBottom w:val="0"/>
      <w:divBdr>
        <w:top w:val="none" w:sz="0" w:space="0" w:color="auto"/>
        <w:left w:val="none" w:sz="0" w:space="0" w:color="auto"/>
        <w:bottom w:val="none" w:sz="0" w:space="0" w:color="auto"/>
        <w:right w:val="none" w:sz="0" w:space="0" w:color="auto"/>
      </w:divBdr>
    </w:div>
    <w:div w:id="512961645">
      <w:bodyDiv w:val="1"/>
      <w:marLeft w:val="0"/>
      <w:marRight w:val="0"/>
      <w:marTop w:val="0"/>
      <w:marBottom w:val="0"/>
      <w:divBdr>
        <w:top w:val="none" w:sz="0" w:space="0" w:color="auto"/>
        <w:left w:val="none" w:sz="0" w:space="0" w:color="auto"/>
        <w:bottom w:val="none" w:sz="0" w:space="0" w:color="auto"/>
        <w:right w:val="none" w:sz="0" w:space="0" w:color="auto"/>
      </w:divBdr>
    </w:div>
    <w:div w:id="526023579">
      <w:bodyDiv w:val="1"/>
      <w:marLeft w:val="0"/>
      <w:marRight w:val="0"/>
      <w:marTop w:val="0"/>
      <w:marBottom w:val="0"/>
      <w:divBdr>
        <w:top w:val="none" w:sz="0" w:space="0" w:color="auto"/>
        <w:left w:val="none" w:sz="0" w:space="0" w:color="auto"/>
        <w:bottom w:val="none" w:sz="0" w:space="0" w:color="auto"/>
        <w:right w:val="none" w:sz="0" w:space="0" w:color="auto"/>
      </w:divBdr>
    </w:div>
    <w:div w:id="590505296">
      <w:bodyDiv w:val="1"/>
      <w:marLeft w:val="0"/>
      <w:marRight w:val="0"/>
      <w:marTop w:val="0"/>
      <w:marBottom w:val="0"/>
      <w:divBdr>
        <w:top w:val="none" w:sz="0" w:space="0" w:color="auto"/>
        <w:left w:val="none" w:sz="0" w:space="0" w:color="auto"/>
        <w:bottom w:val="none" w:sz="0" w:space="0" w:color="auto"/>
        <w:right w:val="none" w:sz="0" w:space="0" w:color="auto"/>
      </w:divBdr>
    </w:div>
    <w:div w:id="728773524">
      <w:bodyDiv w:val="1"/>
      <w:marLeft w:val="0"/>
      <w:marRight w:val="0"/>
      <w:marTop w:val="0"/>
      <w:marBottom w:val="0"/>
      <w:divBdr>
        <w:top w:val="none" w:sz="0" w:space="0" w:color="auto"/>
        <w:left w:val="none" w:sz="0" w:space="0" w:color="auto"/>
        <w:bottom w:val="none" w:sz="0" w:space="0" w:color="auto"/>
        <w:right w:val="none" w:sz="0" w:space="0" w:color="auto"/>
      </w:divBdr>
    </w:div>
    <w:div w:id="740712992">
      <w:bodyDiv w:val="1"/>
      <w:marLeft w:val="0"/>
      <w:marRight w:val="0"/>
      <w:marTop w:val="0"/>
      <w:marBottom w:val="0"/>
      <w:divBdr>
        <w:top w:val="none" w:sz="0" w:space="0" w:color="auto"/>
        <w:left w:val="none" w:sz="0" w:space="0" w:color="auto"/>
        <w:bottom w:val="none" w:sz="0" w:space="0" w:color="auto"/>
        <w:right w:val="none" w:sz="0" w:space="0" w:color="auto"/>
      </w:divBdr>
    </w:div>
    <w:div w:id="826482781">
      <w:bodyDiv w:val="1"/>
      <w:marLeft w:val="0"/>
      <w:marRight w:val="0"/>
      <w:marTop w:val="0"/>
      <w:marBottom w:val="0"/>
      <w:divBdr>
        <w:top w:val="none" w:sz="0" w:space="0" w:color="auto"/>
        <w:left w:val="none" w:sz="0" w:space="0" w:color="auto"/>
        <w:bottom w:val="none" w:sz="0" w:space="0" w:color="auto"/>
        <w:right w:val="none" w:sz="0" w:space="0" w:color="auto"/>
      </w:divBdr>
    </w:div>
    <w:div w:id="830944939">
      <w:bodyDiv w:val="1"/>
      <w:marLeft w:val="0"/>
      <w:marRight w:val="0"/>
      <w:marTop w:val="0"/>
      <w:marBottom w:val="0"/>
      <w:divBdr>
        <w:top w:val="none" w:sz="0" w:space="0" w:color="auto"/>
        <w:left w:val="none" w:sz="0" w:space="0" w:color="auto"/>
        <w:bottom w:val="none" w:sz="0" w:space="0" w:color="auto"/>
        <w:right w:val="none" w:sz="0" w:space="0" w:color="auto"/>
      </w:divBdr>
    </w:div>
    <w:div w:id="838152366">
      <w:bodyDiv w:val="1"/>
      <w:marLeft w:val="0"/>
      <w:marRight w:val="0"/>
      <w:marTop w:val="0"/>
      <w:marBottom w:val="0"/>
      <w:divBdr>
        <w:top w:val="none" w:sz="0" w:space="0" w:color="auto"/>
        <w:left w:val="none" w:sz="0" w:space="0" w:color="auto"/>
        <w:bottom w:val="none" w:sz="0" w:space="0" w:color="auto"/>
        <w:right w:val="none" w:sz="0" w:space="0" w:color="auto"/>
      </w:divBdr>
    </w:div>
    <w:div w:id="853112037">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52324067">
      <w:bodyDiv w:val="1"/>
      <w:marLeft w:val="0"/>
      <w:marRight w:val="0"/>
      <w:marTop w:val="0"/>
      <w:marBottom w:val="0"/>
      <w:divBdr>
        <w:top w:val="none" w:sz="0" w:space="0" w:color="auto"/>
        <w:left w:val="none" w:sz="0" w:space="0" w:color="auto"/>
        <w:bottom w:val="none" w:sz="0" w:space="0" w:color="auto"/>
        <w:right w:val="none" w:sz="0" w:space="0" w:color="auto"/>
      </w:divBdr>
    </w:div>
    <w:div w:id="959922502">
      <w:bodyDiv w:val="1"/>
      <w:marLeft w:val="0"/>
      <w:marRight w:val="0"/>
      <w:marTop w:val="0"/>
      <w:marBottom w:val="0"/>
      <w:divBdr>
        <w:top w:val="none" w:sz="0" w:space="0" w:color="auto"/>
        <w:left w:val="none" w:sz="0" w:space="0" w:color="auto"/>
        <w:bottom w:val="none" w:sz="0" w:space="0" w:color="auto"/>
        <w:right w:val="none" w:sz="0" w:space="0" w:color="auto"/>
      </w:divBdr>
    </w:div>
    <w:div w:id="995182622">
      <w:bodyDiv w:val="1"/>
      <w:marLeft w:val="0"/>
      <w:marRight w:val="0"/>
      <w:marTop w:val="0"/>
      <w:marBottom w:val="0"/>
      <w:divBdr>
        <w:top w:val="none" w:sz="0" w:space="0" w:color="auto"/>
        <w:left w:val="none" w:sz="0" w:space="0" w:color="auto"/>
        <w:bottom w:val="none" w:sz="0" w:space="0" w:color="auto"/>
        <w:right w:val="none" w:sz="0" w:space="0" w:color="auto"/>
      </w:divBdr>
    </w:div>
    <w:div w:id="1017272101">
      <w:bodyDiv w:val="1"/>
      <w:marLeft w:val="0"/>
      <w:marRight w:val="0"/>
      <w:marTop w:val="0"/>
      <w:marBottom w:val="0"/>
      <w:divBdr>
        <w:top w:val="none" w:sz="0" w:space="0" w:color="auto"/>
        <w:left w:val="none" w:sz="0" w:space="0" w:color="auto"/>
        <w:bottom w:val="none" w:sz="0" w:space="0" w:color="auto"/>
        <w:right w:val="none" w:sz="0" w:space="0" w:color="auto"/>
      </w:divBdr>
    </w:div>
    <w:div w:id="1063135207">
      <w:bodyDiv w:val="1"/>
      <w:marLeft w:val="0"/>
      <w:marRight w:val="0"/>
      <w:marTop w:val="0"/>
      <w:marBottom w:val="0"/>
      <w:divBdr>
        <w:top w:val="none" w:sz="0" w:space="0" w:color="auto"/>
        <w:left w:val="none" w:sz="0" w:space="0" w:color="auto"/>
        <w:bottom w:val="none" w:sz="0" w:space="0" w:color="auto"/>
        <w:right w:val="none" w:sz="0" w:space="0" w:color="auto"/>
      </w:divBdr>
    </w:div>
    <w:div w:id="1081834728">
      <w:bodyDiv w:val="1"/>
      <w:marLeft w:val="0"/>
      <w:marRight w:val="0"/>
      <w:marTop w:val="0"/>
      <w:marBottom w:val="0"/>
      <w:divBdr>
        <w:top w:val="none" w:sz="0" w:space="0" w:color="auto"/>
        <w:left w:val="none" w:sz="0" w:space="0" w:color="auto"/>
        <w:bottom w:val="none" w:sz="0" w:space="0" w:color="auto"/>
        <w:right w:val="none" w:sz="0" w:space="0" w:color="auto"/>
      </w:divBdr>
    </w:div>
    <w:div w:id="1132987964">
      <w:bodyDiv w:val="1"/>
      <w:marLeft w:val="0"/>
      <w:marRight w:val="0"/>
      <w:marTop w:val="0"/>
      <w:marBottom w:val="0"/>
      <w:divBdr>
        <w:top w:val="none" w:sz="0" w:space="0" w:color="auto"/>
        <w:left w:val="none" w:sz="0" w:space="0" w:color="auto"/>
        <w:bottom w:val="none" w:sz="0" w:space="0" w:color="auto"/>
        <w:right w:val="none" w:sz="0" w:space="0" w:color="auto"/>
      </w:divBdr>
    </w:div>
    <w:div w:id="1195919024">
      <w:bodyDiv w:val="1"/>
      <w:marLeft w:val="0"/>
      <w:marRight w:val="0"/>
      <w:marTop w:val="0"/>
      <w:marBottom w:val="0"/>
      <w:divBdr>
        <w:top w:val="none" w:sz="0" w:space="0" w:color="auto"/>
        <w:left w:val="none" w:sz="0" w:space="0" w:color="auto"/>
        <w:bottom w:val="none" w:sz="0" w:space="0" w:color="auto"/>
        <w:right w:val="none" w:sz="0" w:space="0" w:color="auto"/>
      </w:divBdr>
    </w:div>
    <w:div w:id="1223758956">
      <w:bodyDiv w:val="1"/>
      <w:marLeft w:val="0"/>
      <w:marRight w:val="0"/>
      <w:marTop w:val="0"/>
      <w:marBottom w:val="0"/>
      <w:divBdr>
        <w:top w:val="none" w:sz="0" w:space="0" w:color="auto"/>
        <w:left w:val="none" w:sz="0" w:space="0" w:color="auto"/>
        <w:bottom w:val="none" w:sz="0" w:space="0" w:color="auto"/>
        <w:right w:val="none" w:sz="0" w:space="0" w:color="auto"/>
      </w:divBdr>
    </w:div>
    <w:div w:id="1246918351">
      <w:bodyDiv w:val="1"/>
      <w:marLeft w:val="0"/>
      <w:marRight w:val="0"/>
      <w:marTop w:val="0"/>
      <w:marBottom w:val="0"/>
      <w:divBdr>
        <w:top w:val="none" w:sz="0" w:space="0" w:color="auto"/>
        <w:left w:val="none" w:sz="0" w:space="0" w:color="auto"/>
        <w:bottom w:val="none" w:sz="0" w:space="0" w:color="auto"/>
        <w:right w:val="none" w:sz="0" w:space="0" w:color="auto"/>
      </w:divBdr>
    </w:div>
    <w:div w:id="1252272203">
      <w:bodyDiv w:val="1"/>
      <w:marLeft w:val="0"/>
      <w:marRight w:val="0"/>
      <w:marTop w:val="0"/>
      <w:marBottom w:val="0"/>
      <w:divBdr>
        <w:top w:val="none" w:sz="0" w:space="0" w:color="auto"/>
        <w:left w:val="none" w:sz="0" w:space="0" w:color="auto"/>
        <w:bottom w:val="none" w:sz="0" w:space="0" w:color="auto"/>
        <w:right w:val="none" w:sz="0" w:space="0" w:color="auto"/>
      </w:divBdr>
    </w:div>
    <w:div w:id="1260874059">
      <w:bodyDiv w:val="1"/>
      <w:marLeft w:val="0"/>
      <w:marRight w:val="0"/>
      <w:marTop w:val="0"/>
      <w:marBottom w:val="0"/>
      <w:divBdr>
        <w:top w:val="none" w:sz="0" w:space="0" w:color="auto"/>
        <w:left w:val="none" w:sz="0" w:space="0" w:color="auto"/>
        <w:bottom w:val="none" w:sz="0" w:space="0" w:color="auto"/>
        <w:right w:val="none" w:sz="0" w:space="0" w:color="auto"/>
      </w:divBdr>
    </w:div>
    <w:div w:id="1337735034">
      <w:bodyDiv w:val="1"/>
      <w:marLeft w:val="0"/>
      <w:marRight w:val="0"/>
      <w:marTop w:val="0"/>
      <w:marBottom w:val="0"/>
      <w:divBdr>
        <w:top w:val="none" w:sz="0" w:space="0" w:color="auto"/>
        <w:left w:val="none" w:sz="0" w:space="0" w:color="auto"/>
        <w:bottom w:val="none" w:sz="0" w:space="0" w:color="auto"/>
        <w:right w:val="none" w:sz="0" w:space="0" w:color="auto"/>
      </w:divBdr>
    </w:div>
    <w:div w:id="1411542990">
      <w:bodyDiv w:val="1"/>
      <w:marLeft w:val="0"/>
      <w:marRight w:val="0"/>
      <w:marTop w:val="0"/>
      <w:marBottom w:val="0"/>
      <w:divBdr>
        <w:top w:val="none" w:sz="0" w:space="0" w:color="auto"/>
        <w:left w:val="none" w:sz="0" w:space="0" w:color="auto"/>
        <w:bottom w:val="none" w:sz="0" w:space="0" w:color="auto"/>
        <w:right w:val="none" w:sz="0" w:space="0" w:color="auto"/>
      </w:divBdr>
    </w:div>
    <w:div w:id="1430927313">
      <w:bodyDiv w:val="1"/>
      <w:marLeft w:val="0"/>
      <w:marRight w:val="0"/>
      <w:marTop w:val="0"/>
      <w:marBottom w:val="0"/>
      <w:divBdr>
        <w:top w:val="none" w:sz="0" w:space="0" w:color="auto"/>
        <w:left w:val="none" w:sz="0" w:space="0" w:color="auto"/>
        <w:bottom w:val="none" w:sz="0" w:space="0" w:color="auto"/>
        <w:right w:val="none" w:sz="0" w:space="0" w:color="auto"/>
      </w:divBdr>
    </w:div>
    <w:div w:id="1462848757">
      <w:bodyDiv w:val="1"/>
      <w:marLeft w:val="0"/>
      <w:marRight w:val="0"/>
      <w:marTop w:val="0"/>
      <w:marBottom w:val="0"/>
      <w:divBdr>
        <w:top w:val="none" w:sz="0" w:space="0" w:color="auto"/>
        <w:left w:val="none" w:sz="0" w:space="0" w:color="auto"/>
        <w:bottom w:val="none" w:sz="0" w:space="0" w:color="auto"/>
        <w:right w:val="none" w:sz="0" w:space="0" w:color="auto"/>
      </w:divBdr>
    </w:div>
    <w:div w:id="1532302793">
      <w:bodyDiv w:val="1"/>
      <w:marLeft w:val="0"/>
      <w:marRight w:val="0"/>
      <w:marTop w:val="0"/>
      <w:marBottom w:val="0"/>
      <w:divBdr>
        <w:top w:val="none" w:sz="0" w:space="0" w:color="auto"/>
        <w:left w:val="none" w:sz="0" w:space="0" w:color="auto"/>
        <w:bottom w:val="none" w:sz="0" w:space="0" w:color="auto"/>
        <w:right w:val="none" w:sz="0" w:space="0" w:color="auto"/>
      </w:divBdr>
    </w:div>
    <w:div w:id="1543011416">
      <w:bodyDiv w:val="1"/>
      <w:marLeft w:val="0"/>
      <w:marRight w:val="0"/>
      <w:marTop w:val="0"/>
      <w:marBottom w:val="0"/>
      <w:divBdr>
        <w:top w:val="none" w:sz="0" w:space="0" w:color="auto"/>
        <w:left w:val="none" w:sz="0" w:space="0" w:color="auto"/>
        <w:bottom w:val="none" w:sz="0" w:space="0" w:color="auto"/>
        <w:right w:val="none" w:sz="0" w:space="0" w:color="auto"/>
      </w:divBdr>
    </w:div>
    <w:div w:id="1556770586">
      <w:bodyDiv w:val="1"/>
      <w:marLeft w:val="0"/>
      <w:marRight w:val="0"/>
      <w:marTop w:val="0"/>
      <w:marBottom w:val="0"/>
      <w:divBdr>
        <w:top w:val="none" w:sz="0" w:space="0" w:color="auto"/>
        <w:left w:val="none" w:sz="0" w:space="0" w:color="auto"/>
        <w:bottom w:val="none" w:sz="0" w:space="0" w:color="auto"/>
        <w:right w:val="none" w:sz="0" w:space="0" w:color="auto"/>
      </w:divBdr>
    </w:div>
    <w:div w:id="1571577853">
      <w:bodyDiv w:val="1"/>
      <w:marLeft w:val="0"/>
      <w:marRight w:val="0"/>
      <w:marTop w:val="0"/>
      <w:marBottom w:val="0"/>
      <w:divBdr>
        <w:top w:val="none" w:sz="0" w:space="0" w:color="auto"/>
        <w:left w:val="none" w:sz="0" w:space="0" w:color="auto"/>
        <w:bottom w:val="none" w:sz="0" w:space="0" w:color="auto"/>
        <w:right w:val="none" w:sz="0" w:space="0" w:color="auto"/>
      </w:divBdr>
    </w:div>
    <w:div w:id="1626499901">
      <w:bodyDiv w:val="1"/>
      <w:marLeft w:val="0"/>
      <w:marRight w:val="0"/>
      <w:marTop w:val="0"/>
      <w:marBottom w:val="0"/>
      <w:divBdr>
        <w:top w:val="none" w:sz="0" w:space="0" w:color="auto"/>
        <w:left w:val="none" w:sz="0" w:space="0" w:color="auto"/>
        <w:bottom w:val="none" w:sz="0" w:space="0" w:color="auto"/>
        <w:right w:val="none" w:sz="0" w:space="0" w:color="auto"/>
      </w:divBdr>
    </w:div>
    <w:div w:id="1629428830">
      <w:bodyDiv w:val="1"/>
      <w:marLeft w:val="0"/>
      <w:marRight w:val="0"/>
      <w:marTop w:val="0"/>
      <w:marBottom w:val="0"/>
      <w:divBdr>
        <w:top w:val="none" w:sz="0" w:space="0" w:color="auto"/>
        <w:left w:val="none" w:sz="0" w:space="0" w:color="auto"/>
        <w:bottom w:val="none" w:sz="0" w:space="0" w:color="auto"/>
        <w:right w:val="none" w:sz="0" w:space="0" w:color="auto"/>
      </w:divBdr>
    </w:div>
    <w:div w:id="1705132040">
      <w:bodyDiv w:val="1"/>
      <w:marLeft w:val="0"/>
      <w:marRight w:val="0"/>
      <w:marTop w:val="0"/>
      <w:marBottom w:val="0"/>
      <w:divBdr>
        <w:top w:val="none" w:sz="0" w:space="0" w:color="auto"/>
        <w:left w:val="none" w:sz="0" w:space="0" w:color="auto"/>
        <w:bottom w:val="none" w:sz="0" w:space="0" w:color="auto"/>
        <w:right w:val="none" w:sz="0" w:space="0" w:color="auto"/>
      </w:divBdr>
    </w:div>
    <w:div w:id="1757629318">
      <w:bodyDiv w:val="1"/>
      <w:marLeft w:val="0"/>
      <w:marRight w:val="0"/>
      <w:marTop w:val="0"/>
      <w:marBottom w:val="0"/>
      <w:divBdr>
        <w:top w:val="none" w:sz="0" w:space="0" w:color="auto"/>
        <w:left w:val="none" w:sz="0" w:space="0" w:color="auto"/>
        <w:bottom w:val="none" w:sz="0" w:space="0" w:color="auto"/>
        <w:right w:val="none" w:sz="0" w:space="0" w:color="auto"/>
      </w:divBdr>
    </w:div>
    <w:div w:id="1790005465">
      <w:bodyDiv w:val="1"/>
      <w:marLeft w:val="0"/>
      <w:marRight w:val="0"/>
      <w:marTop w:val="0"/>
      <w:marBottom w:val="0"/>
      <w:divBdr>
        <w:top w:val="none" w:sz="0" w:space="0" w:color="auto"/>
        <w:left w:val="none" w:sz="0" w:space="0" w:color="auto"/>
        <w:bottom w:val="none" w:sz="0" w:space="0" w:color="auto"/>
        <w:right w:val="none" w:sz="0" w:space="0" w:color="auto"/>
      </w:divBdr>
    </w:div>
    <w:div w:id="1831632260">
      <w:bodyDiv w:val="1"/>
      <w:marLeft w:val="0"/>
      <w:marRight w:val="0"/>
      <w:marTop w:val="0"/>
      <w:marBottom w:val="0"/>
      <w:divBdr>
        <w:top w:val="none" w:sz="0" w:space="0" w:color="auto"/>
        <w:left w:val="none" w:sz="0" w:space="0" w:color="auto"/>
        <w:bottom w:val="none" w:sz="0" w:space="0" w:color="auto"/>
        <w:right w:val="none" w:sz="0" w:space="0" w:color="auto"/>
      </w:divBdr>
    </w:div>
    <w:div w:id="1866599498">
      <w:bodyDiv w:val="1"/>
      <w:marLeft w:val="0"/>
      <w:marRight w:val="0"/>
      <w:marTop w:val="0"/>
      <w:marBottom w:val="0"/>
      <w:divBdr>
        <w:top w:val="none" w:sz="0" w:space="0" w:color="auto"/>
        <w:left w:val="none" w:sz="0" w:space="0" w:color="auto"/>
        <w:bottom w:val="none" w:sz="0" w:space="0" w:color="auto"/>
        <w:right w:val="none" w:sz="0" w:space="0" w:color="auto"/>
      </w:divBdr>
    </w:div>
    <w:div w:id="1939756485">
      <w:bodyDiv w:val="1"/>
      <w:marLeft w:val="0"/>
      <w:marRight w:val="0"/>
      <w:marTop w:val="0"/>
      <w:marBottom w:val="0"/>
      <w:divBdr>
        <w:top w:val="none" w:sz="0" w:space="0" w:color="auto"/>
        <w:left w:val="none" w:sz="0" w:space="0" w:color="auto"/>
        <w:bottom w:val="none" w:sz="0" w:space="0" w:color="auto"/>
        <w:right w:val="none" w:sz="0" w:space="0" w:color="auto"/>
      </w:divBdr>
    </w:div>
    <w:div w:id="1939875102">
      <w:bodyDiv w:val="1"/>
      <w:marLeft w:val="0"/>
      <w:marRight w:val="0"/>
      <w:marTop w:val="0"/>
      <w:marBottom w:val="0"/>
      <w:divBdr>
        <w:top w:val="none" w:sz="0" w:space="0" w:color="auto"/>
        <w:left w:val="none" w:sz="0" w:space="0" w:color="auto"/>
        <w:bottom w:val="none" w:sz="0" w:space="0" w:color="auto"/>
        <w:right w:val="none" w:sz="0" w:space="0" w:color="auto"/>
      </w:divBdr>
    </w:div>
    <w:div w:id="1971400393">
      <w:bodyDiv w:val="1"/>
      <w:marLeft w:val="0"/>
      <w:marRight w:val="0"/>
      <w:marTop w:val="0"/>
      <w:marBottom w:val="0"/>
      <w:divBdr>
        <w:top w:val="none" w:sz="0" w:space="0" w:color="auto"/>
        <w:left w:val="none" w:sz="0" w:space="0" w:color="auto"/>
        <w:bottom w:val="none" w:sz="0" w:space="0" w:color="auto"/>
        <w:right w:val="none" w:sz="0" w:space="0" w:color="auto"/>
      </w:divBdr>
    </w:div>
    <w:div w:id="2052067605">
      <w:bodyDiv w:val="1"/>
      <w:marLeft w:val="0"/>
      <w:marRight w:val="0"/>
      <w:marTop w:val="0"/>
      <w:marBottom w:val="0"/>
      <w:divBdr>
        <w:top w:val="none" w:sz="0" w:space="0" w:color="auto"/>
        <w:left w:val="none" w:sz="0" w:space="0" w:color="auto"/>
        <w:bottom w:val="none" w:sz="0" w:space="0" w:color="auto"/>
        <w:right w:val="none" w:sz="0" w:space="0" w:color="auto"/>
      </w:divBdr>
    </w:div>
    <w:div w:id="21100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eur\Desktop\qis\Copie%20de%20S_Non_Life_TP_2010082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451073362665129"/>
          <c:y val="7.8644784786517069E-2"/>
          <c:w val="0.5618183802973995"/>
          <c:h val="0.78713853076057805"/>
        </c:manualLayout>
      </c:layout>
      <c:lineChart>
        <c:grouping val="standard"/>
        <c:ser>
          <c:idx val="0"/>
          <c:order val="0"/>
          <c:tx>
            <c:v>courbe des taux 31/12/2011</c:v>
          </c:tx>
          <c:marker>
            <c:symbol val="none"/>
          </c:marker>
          <c:val>
            <c:numRef>
              <c:f>Feuil2!$K$3:$K$27</c:f>
              <c:numCache>
                <c:formatCode>0.00%</c:formatCode>
                <c:ptCount val="25"/>
                <c:pt idx="0">
                  <c:v>3.0000000000000002E-2</c:v>
                </c:pt>
                <c:pt idx="1">
                  <c:v>2.5000000000000001E-2</c:v>
                </c:pt>
                <c:pt idx="2">
                  <c:v>1.0100000000000001E-2</c:v>
                </c:pt>
                <c:pt idx="3">
                  <c:v>3.15E-2</c:v>
                </c:pt>
                <c:pt idx="4">
                  <c:v>3.5600000000000041E-2</c:v>
                </c:pt>
                <c:pt idx="5">
                  <c:v>3.500000000000001E-2</c:v>
                </c:pt>
                <c:pt idx="6">
                  <c:v>3.500000000000001E-2</c:v>
                </c:pt>
                <c:pt idx="7">
                  <c:v>3.790000000000001E-2</c:v>
                </c:pt>
                <c:pt idx="8">
                  <c:v>2.8199999999999989E-2</c:v>
                </c:pt>
                <c:pt idx="9">
                  <c:v>4.7900000000000012E-2</c:v>
                </c:pt>
                <c:pt idx="10">
                  <c:v>4.3800000000000013E-2</c:v>
                </c:pt>
                <c:pt idx="11">
                  <c:v>4.0900000000000013E-2</c:v>
                </c:pt>
                <c:pt idx="12">
                  <c:v>2.9900000000000006E-2</c:v>
                </c:pt>
                <c:pt idx="13">
                  <c:v>2.8999999999999998E-2</c:v>
                </c:pt>
                <c:pt idx="14">
                  <c:v>2.6000000000000002E-2</c:v>
                </c:pt>
                <c:pt idx="15">
                  <c:v>3.3000000000000002E-2</c:v>
                </c:pt>
                <c:pt idx="16">
                  <c:v>1.9500000000000163E-2</c:v>
                </c:pt>
                <c:pt idx="17">
                  <c:v>2.4E-2</c:v>
                </c:pt>
                <c:pt idx="18">
                  <c:v>2.9500000000000002E-2</c:v>
                </c:pt>
                <c:pt idx="19">
                  <c:v>0</c:v>
                </c:pt>
                <c:pt idx="20">
                  <c:v>0</c:v>
                </c:pt>
                <c:pt idx="21">
                  <c:v>0</c:v>
                </c:pt>
                <c:pt idx="22">
                  <c:v>0</c:v>
                </c:pt>
                <c:pt idx="23">
                  <c:v>0</c:v>
                </c:pt>
                <c:pt idx="24">
                  <c:v>0</c:v>
                </c:pt>
              </c:numCache>
            </c:numRef>
          </c:val>
        </c:ser>
        <c:ser>
          <c:idx val="2"/>
          <c:order val="1"/>
          <c:tx>
            <c:v>courbe des taux choquée à la hausse</c:v>
          </c:tx>
          <c:marker>
            <c:symbol val="none"/>
          </c:marker>
          <c:val>
            <c:numRef>
              <c:f>Feuil2!$M$3:$M$27</c:f>
              <c:numCache>
                <c:formatCode>0.00%</c:formatCode>
                <c:ptCount val="25"/>
                <c:pt idx="0">
                  <c:v>5.8200000000000002E-2</c:v>
                </c:pt>
                <c:pt idx="1">
                  <c:v>4.4249999999999998E-2</c:v>
                </c:pt>
                <c:pt idx="2">
                  <c:v>1.7068999999999997E-2</c:v>
                </c:pt>
                <c:pt idx="3">
                  <c:v>5.1029999999999985E-2</c:v>
                </c:pt>
                <c:pt idx="4">
                  <c:v>5.5536000000000113E-2</c:v>
                </c:pt>
                <c:pt idx="5">
                  <c:v>5.3199999999999997E-2</c:v>
                </c:pt>
                <c:pt idx="6">
                  <c:v>5.2150000000000002E-2</c:v>
                </c:pt>
                <c:pt idx="7">
                  <c:v>5.5334000000000133E-2</c:v>
                </c:pt>
                <c:pt idx="8">
                  <c:v>4.0607999999999998E-2</c:v>
                </c:pt>
                <c:pt idx="9">
                  <c:v>6.8018000000000023E-2</c:v>
                </c:pt>
                <c:pt idx="10">
                  <c:v>6.2196000000000549E-2</c:v>
                </c:pt>
                <c:pt idx="11">
                  <c:v>5.8077999999999991E-2</c:v>
                </c:pt>
                <c:pt idx="12">
                  <c:v>4.2458000000000003E-2</c:v>
                </c:pt>
                <c:pt idx="13">
                  <c:v>4.1179999999999967E-2</c:v>
                </c:pt>
                <c:pt idx="14">
                  <c:v>3.6919999999999994E-2</c:v>
                </c:pt>
                <c:pt idx="15">
                  <c:v>4.6529999999999995E-2</c:v>
                </c:pt>
                <c:pt idx="16">
                  <c:v>2.7300000000000001E-2</c:v>
                </c:pt>
                <c:pt idx="17">
                  <c:v>3.3360000000000001E-2</c:v>
                </c:pt>
                <c:pt idx="18">
                  <c:v>4.0710000000000114E-2</c:v>
                </c:pt>
                <c:pt idx="19">
                  <c:v>0</c:v>
                </c:pt>
                <c:pt idx="20">
                  <c:v>0</c:v>
                </c:pt>
                <c:pt idx="21">
                  <c:v>0</c:v>
                </c:pt>
                <c:pt idx="22">
                  <c:v>0</c:v>
                </c:pt>
                <c:pt idx="23">
                  <c:v>0</c:v>
                </c:pt>
                <c:pt idx="24">
                  <c:v>0</c:v>
                </c:pt>
              </c:numCache>
            </c:numRef>
          </c:val>
        </c:ser>
        <c:ser>
          <c:idx val="3"/>
          <c:order val="2"/>
          <c:tx>
            <c:v>courbe des taux choquée à la baisse</c:v>
          </c:tx>
          <c:marker>
            <c:symbol val="none"/>
          </c:marker>
          <c:val>
            <c:numRef>
              <c:f>Feuil2!$O$3:$O$27</c:f>
              <c:numCache>
                <c:formatCode>0.00%</c:formatCode>
                <c:ptCount val="25"/>
                <c:pt idx="0">
                  <c:v>1.4700000000000001E-2</c:v>
                </c:pt>
                <c:pt idx="1">
                  <c:v>1.3250000000000001E-2</c:v>
                </c:pt>
                <c:pt idx="2">
                  <c:v>5.6560000000000013E-3</c:v>
                </c:pt>
                <c:pt idx="3">
                  <c:v>1.8270000000000005E-2</c:v>
                </c:pt>
                <c:pt idx="4">
                  <c:v>2.1360000000000001E-2</c:v>
                </c:pt>
                <c:pt idx="5">
                  <c:v>2.1700000000000001E-2</c:v>
                </c:pt>
                <c:pt idx="6">
                  <c:v>2.2050000000000011E-2</c:v>
                </c:pt>
                <c:pt idx="7">
                  <c:v>2.4635000000000212E-2</c:v>
                </c:pt>
                <c:pt idx="8">
                  <c:v>1.8611999999999997E-2</c:v>
                </c:pt>
                <c:pt idx="9">
                  <c:v>3.1613999999999996E-2</c:v>
                </c:pt>
                <c:pt idx="10">
                  <c:v>2.8907999999999996E-2</c:v>
                </c:pt>
                <c:pt idx="11">
                  <c:v>2.6994000000000001E-2</c:v>
                </c:pt>
                <c:pt idx="12">
                  <c:v>1.9734000000000043E-2</c:v>
                </c:pt>
                <c:pt idx="13">
                  <c:v>1.9139999999999997E-2</c:v>
                </c:pt>
                <c:pt idx="14">
                  <c:v>1.7159999999999998E-2</c:v>
                </c:pt>
                <c:pt idx="15">
                  <c:v>2.2110000000000001E-2</c:v>
                </c:pt>
                <c:pt idx="16">
                  <c:v>1.3064999999999998E-2</c:v>
                </c:pt>
                <c:pt idx="17">
                  <c:v>1.6319999999999998E-2</c:v>
                </c:pt>
                <c:pt idx="18">
                  <c:v>2.0354999999999998E-2</c:v>
                </c:pt>
                <c:pt idx="19">
                  <c:v>0</c:v>
                </c:pt>
                <c:pt idx="20">
                  <c:v>0</c:v>
                </c:pt>
                <c:pt idx="21">
                  <c:v>0</c:v>
                </c:pt>
                <c:pt idx="22">
                  <c:v>0</c:v>
                </c:pt>
                <c:pt idx="23">
                  <c:v>0</c:v>
                </c:pt>
                <c:pt idx="24">
                  <c:v>0</c:v>
                </c:pt>
              </c:numCache>
            </c:numRef>
          </c:val>
        </c:ser>
        <c:marker val="1"/>
        <c:axId val="68580480"/>
        <c:axId val="68582016"/>
      </c:lineChart>
      <c:catAx>
        <c:axId val="68580480"/>
        <c:scaling>
          <c:orientation val="minMax"/>
        </c:scaling>
        <c:axPos val="b"/>
        <c:numFmt formatCode="General" sourceLinked="1"/>
        <c:tickLblPos val="nextTo"/>
        <c:crossAx val="68582016"/>
        <c:crosses val="autoZero"/>
        <c:auto val="1"/>
        <c:lblAlgn val="ctr"/>
        <c:lblOffset val="100"/>
      </c:catAx>
      <c:valAx>
        <c:axId val="68582016"/>
        <c:scaling>
          <c:orientation val="minMax"/>
        </c:scaling>
        <c:axPos val="l"/>
        <c:majorGridlines/>
        <c:numFmt formatCode="0.00%" sourceLinked="1"/>
        <c:tickLblPos val="nextTo"/>
        <c:crossAx val="6858048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56CAC-1C5C-4DB8-A2BA-6A76BDF3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23</Pages>
  <Words>5383</Words>
  <Characters>29612</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qlubicwin7</Company>
  <LinksUpToDate>false</LinksUpToDate>
  <CharactersWithSpaces>34926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qlubic7</dc:creator>
  <cp:lastModifiedBy>s_kati</cp:lastModifiedBy>
  <cp:revision>72</cp:revision>
  <cp:lastPrinted>2014-01-15T11:00:00Z</cp:lastPrinted>
  <dcterms:created xsi:type="dcterms:W3CDTF">2012-11-17T21:52:00Z</dcterms:created>
  <dcterms:modified xsi:type="dcterms:W3CDTF">2014-02-19T11:20:00Z</dcterms:modified>
</cp:coreProperties>
</file>