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87" w:rsidRPr="00D944B1" w:rsidRDefault="008753F6" w:rsidP="00E14D65">
      <w:pPr>
        <w:spacing w:line="360" w:lineRule="auto"/>
        <w:jc w:val="both"/>
        <w:rPr>
          <w:rFonts w:asciiTheme="majorBidi" w:hAnsiTheme="majorBidi" w:cstheme="majorBidi"/>
          <w:b/>
          <w:bCs/>
          <w:sz w:val="32"/>
          <w:szCs w:val="32"/>
        </w:rPr>
      </w:pPr>
      <w:r w:rsidRPr="00D944B1">
        <w:rPr>
          <w:rFonts w:asciiTheme="majorBidi" w:hAnsiTheme="majorBidi" w:cstheme="majorBidi"/>
          <w:b/>
          <w:bCs/>
          <w:sz w:val="32"/>
          <w:szCs w:val="32"/>
        </w:rPr>
        <w:t>CHAPITRE I: LE CONT</w:t>
      </w:r>
      <w:r w:rsidR="00C1263A">
        <w:rPr>
          <w:rFonts w:asciiTheme="majorBidi" w:hAnsiTheme="majorBidi" w:cstheme="majorBidi"/>
          <w:b/>
          <w:bCs/>
          <w:sz w:val="32"/>
          <w:szCs w:val="32"/>
        </w:rPr>
        <w:t xml:space="preserve">EXTE ACTUEL DE </w:t>
      </w:r>
      <w:r w:rsidR="00CB2447" w:rsidRPr="00D944B1">
        <w:rPr>
          <w:rFonts w:asciiTheme="majorBidi" w:hAnsiTheme="majorBidi" w:cstheme="majorBidi"/>
          <w:b/>
          <w:bCs/>
          <w:sz w:val="32"/>
          <w:szCs w:val="32"/>
        </w:rPr>
        <w:t>SOLVABILITE «</w:t>
      </w:r>
      <w:r w:rsidR="00860086" w:rsidRPr="00D944B1">
        <w:rPr>
          <w:rFonts w:asciiTheme="majorBidi" w:hAnsiTheme="majorBidi" w:cstheme="majorBidi"/>
          <w:b/>
          <w:bCs/>
          <w:sz w:val="32"/>
          <w:szCs w:val="32"/>
        </w:rPr>
        <w:t>SOLVENCY</w:t>
      </w:r>
      <w:r w:rsidR="00CB2447" w:rsidRPr="00D944B1">
        <w:rPr>
          <w:rFonts w:asciiTheme="majorBidi" w:hAnsiTheme="majorBidi" w:cstheme="majorBidi"/>
          <w:b/>
          <w:bCs/>
          <w:sz w:val="32"/>
          <w:szCs w:val="32"/>
        </w:rPr>
        <w:t xml:space="preserve"> I»</w:t>
      </w:r>
    </w:p>
    <w:p w:rsidR="00871987" w:rsidRPr="00D944B1" w:rsidRDefault="002B674F" w:rsidP="00E14D65">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r>
      <w:r w:rsidR="00871987" w:rsidRPr="00D944B1">
        <w:rPr>
          <w:rFonts w:asciiTheme="majorBidi" w:hAnsiTheme="majorBidi" w:cstheme="majorBidi"/>
          <w:sz w:val="24"/>
          <w:szCs w:val="24"/>
        </w:rPr>
        <w:t xml:space="preserve">Avant même de savoir en quoi le nouveau cadre </w:t>
      </w:r>
      <w:r w:rsidR="00860086" w:rsidRPr="00D944B1">
        <w:rPr>
          <w:rFonts w:asciiTheme="majorBidi" w:hAnsiTheme="majorBidi" w:cstheme="majorBidi"/>
          <w:sz w:val="24"/>
          <w:szCs w:val="24"/>
        </w:rPr>
        <w:t>SOLVENCY</w:t>
      </w:r>
      <w:r w:rsidR="00871987" w:rsidRPr="00D944B1">
        <w:rPr>
          <w:rFonts w:asciiTheme="majorBidi" w:hAnsiTheme="majorBidi" w:cstheme="majorBidi"/>
          <w:sz w:val="24"/>
          <w:szCs w:val="24"/>
        </w:rPr>
        <w:t xml:space="preserve"> II (en projet) sera meilleur que celui utilisé actuellement, nous avons </w:t>
      </w:r>
      <w:r w:rsidR="00507EFC" w:rsidRPr="00D944B1">
        <w:rPr>
          <w:rFonts w:asciiTheme="majorBidi" w:hAnsiTheme="majorBidi" w:cstheme="majorBidi"/>
          <w:sz w:val="24"/>
          <w:szCs w:val="24"/>
        </w:rPr>
        <w:t>jugé</w:t>
      </w:r>
      <w:r w:rsidR="00871987" w:rsidRPr="00D944B1">
        <w:rPr>
          <w:rFonts w:asciiTheme="majorBidi" w:hAnsiTheme="majorBidi" w:cstheme="majorBidi"/>
          <w:sz w:val="24"/>
          <w:szCs w:val="24"/>
        </w:rPr>
        <w:t xml:space="preserve"> légitime de se demander pourquoi il faut instaurer un nouveau cadre et notamment, examiner les éventuelles limites de </w:t>
      </w:r>
      <w:r w:rsidR="00860086" w:rsidRPr="00D944B1">
        <w:rPr>
          <w:rFonts w:asciiTheme="majorBidi" w:hAnsiTheme="majorBidi" w:cstheme="majorBidi"/>
          <w:sz w:val="24"/>
          <w:szCs w:val="24"/>
        </w:rPr>
        <w:t>SOLVENCY</w:t>
      </w:r>
      <w:r w:rsidR="00871987" w:rsidRPr="00D944B1">
        <w:rPr>
          <w:rFonts w:asciiTheme="majorBidi" w:hAnsiTheme="majorBidi" w:cstheme="majorBidi"/>
          <w:sz w:val="24"/>
          <w:szCs w:val="24"/>
        </w:rPr>
        <w:t xml:space="preserve"> I.</w:t>
      </w:r>
    </w:p>
    <w:p w:rsidR="00276235" w:rsidRPr="00D944B1" w:rsidRDefault="00507EFC"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r>
      <w:r w:rsidR="002B674F" w:rsidRPr="00D944B1">
        <w:rPr>
          <w:rFonts w:asciiTheme="majorBidi" w:hAnsiTheme="majorBidi" w:cstheme="majorBidi"/>
          <w:sz w:val="24"/>
          <w:szCs w:val="24"/>
        </w:rPr>
        <w:t>La réforme Solvabilité I mise en place le 5 mars 2002 constitue le régime de solvabilité actuel. Elle a débuté par l’application de deux directives européennes, celle de 1973 pour l’assurance non vie et celle de 1979 pour l’assurance vie.</w:t>
      </w:r>
    </w:p>
    <w:p w:rsidR="00752F9B" w:rsidRPr="00D944B1" w:rsidRDefault="00276235"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r>
      <w:r w:rsidR="002B674F" w:rsidRPr="00D944B1">
        <w:rPr>
          <w:rFonts w:asciiTheme="majorBidi" w:hAnsiTheme="majorBidi" w:cstheme="majorBidi"/>
          <w:sz w:val="24"/>
          <w:szCs w:val="24"/>
        </w:rPr>
        <w:t>Cette réglementation donne la norme minimale en matière de solvabilité tout en laissant la possibilité aux différents Etats d’être plus stricts.</w:t>
      </w:r>
      <w:r w:rsidR="00507EFC" w:rsidRPr="00D944B1">
        <w:rPr>
          <w:rFonts w:asciiTheme="majorBidi" w:hAnsiTheme="majorBidi" w:cstheme="majorBidi"/>
          <w:sz w:val="24"/>
          <w:szCs w:val="24"/>
        </w:rPr>
        <w:t xml:space="preserve"> </w:t>
      </w:r>
      <w:r w:rsidR="002B674F" w:rsidRPr="00D944B1">
        <w:rPr>
          <w:rFonts w:asciiTheme="majorBidi" w:hAnsiTheme="majorBidi" w:cstheme="majorBidi"/>
          <w:sz w:val="24"/>
          <w:szCs w:val="24"/>
        </w:rPr>
        <w:t>Il est imposé aux compagnies d’assurance de détenir une réserve de fonds propres minimale.</w:t>
      </w:r>
      <w:r w:rsidR="00CC19A8" w:rsidRPr="00D944B1">
        <w:rPr>
          <w:rFonts w:asciiTheme="majorBidi" w:hAnsiTheme="majorBidi" w:cstheme="majorBidi"/>
          <w:sz w:val="24"/>
          <w:szCs w:val="24"/>
        </w:rPr>
        <w:t xml:space="preserve"> . Elles fixent des exigences de composition des actifs et de couverture des engagements par des actifs adéquats. </w:t>
      </w:r>
    </w:p>
    <w:p w:rsidR="00752F9B" w:rsidRPr="00D944B1" w:rsidRDefault="00752F9B"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t>En ce qui concerne le régime de solvabilité actuel en Algérie, il est régi par le Décret exécutif n° 95-343 du 30 octobre 1995 relatif à la marge de solvabilité des sociétés d'assurances. (J.O. n° 65 du 31 octobre 1995), à travers ses différents articles</w:t>
      </w:r>
      <w:r w:rsidR="000301C9" w:rsidRPr="00D944B1">
        <w:rPr>
          <w:rFonts w:asciiTheme="majorBidi" w:hAnsiTheme="majorBidi" w:cstheme="majorBidi"/>
          <w:sz w:val="24"/>
          <w:szCs w:val="24"/>
        </w:rPr>
        <w:t xml:space="preserve">. En revanche pour le cas tunisien </w:t>
      </w:r>
      <w:r w:rsidR="00D43CB3" w:rsidRPr="00D944B1">
        <w:rPr>
          <w:rFonts w:asciiTheme="majorBidi" w:hAnsiTheme="majorBidi" w:cstheme="majorBidi"/>
          <w:sz w:val="24"/>
          <w:szCs w:val="24"/>
        </w:rPr>
        <w:t xml:space="preserve">il est régi par les articles 58 et 58 bis du code des assurances inspiré dans une grande partie </w:t>
      </w:r>
      <w:r w:rsidR="00A158AC" w:rsidRPr="00D944B1">
        <w:rPr>
          <w:rFonts w:asciiTheme="majorBidi" w:hAnsiTheme="majorBidi" w:cstheme="majorBidi"/>
          <w:sz w:val="24"/>
          <w:szCs w:val="24"/>
        </w:rPr>
        <w:t>de la ré</w:t>
      </w:r>
      <w:r w:rsidR="00222D71">
        <w:rPr>
          <w:rFonts w:asciiTheme="majorBidi" w:hAnsiTheme="majorBidi" w:cstheme="majorBidi"/>
          <w:sz w:val="24"/>
          <w:szCs w:val="24"/>
        </w:rPr>
        <w:t>glementation française (solvabilité</w:t>
      </w:r>
      <w:r w:rsidR="00A158AC" w:rsidRPr="00D944B1">
        <w:rPr>
          <w:rFonts w:asciiTheme="majorBidi" w:hAnsiTheme="majorBidi" w:cstheme="majorBidi"/>
          <w:sz w:val="24"/>
          <w:szCs w:val="24"/>
        </w:rPr>
        <w:t xml:space="preserve"> I)</w:t>
      </w:r>
      <w:r w:rsidR="00D944B1">
        <w:rPr>
          <w:rFonts w:asciiTheme="majorBidi" w:hAnsiTheme="majorBidi" w:cstheme="majorBidi"/>
          <w:sz w:val="24"/>
          <w:szCs w:val="24"/>
        </w:rPr>
        <w:t>.</w:t>
      </w:r>
    </w:p>
    <w:p w:rsidR="0024522A" w:rsidRPr="00D944B1" w:rsidRDefault="00CC19A8"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t>De ce fait le présent chapitre exposera une analyse à la</w:t>
      </w:r>
      <w:r w:rsidR="00CB2447" w:rsidRPr="00D944B1">
        <w:rPr>
          <w:rFonts w:asciiTheme="majorBidi" w:hAnsiTheme="majorBidi" w:cstheme="majorBidi"/>
          <w:sz w:val="24"/>
          <w:szCs w:val="24"/>
        </w:rPr>
        <w:t xml:space="preserve"> fois descriptive et critique du</w:t>
      </w:r>
      <w:r w:rsidRPr="00D944B1">
        <w:rPr>
          <w:rFonts w:asciiTheme="majorBidi" w:hAnsiTheme="majorBidi" w:cstheme="majorBidi"/>
          <w:sz w:val="24"/>
          <w:szCs w:val="24"/>
        </w:rPr>
        <w:t xml:space="preserve"> contexte actuel de solvabilité </w:t>
      </w:r>
      <w:r w:rsidR="0024522A" w:rsidRPr="00D944B1">
        <w:rPr>
          <w:rFonts w:asciiTheme="majorBidi" w:hAnsiTheme="majorBidi" w:cstheme="majorBidi"/>
          <w:sz w:val="24"/>
          <w:szCs w:val="24"/>
        </w:rPr>
        <w:t>afin de tirer les principaux prétextes du passage de solvency I à solvency II. Pour ce faire nous avons scindé le premier cha</w:t>
      </w:r>
      <w:r w:rsidR="00222D71">
        <w:rPr>
          <w:rFonts w:asciiTheme="majorBidi" w:hAnsiTheme="majorBidi" w:cstheme="majorBidi"/>
          <w:sz w:val="24"/>
          <w:szCs w:val="24"/>
        </w:rPr>
        <w:t>pitre en deux sections à savoir</w:t>
      </w:r>
      <w:r w:rsidR="0024522A" w:rsidRPr="00D944B1">
        <w:rPr>
          <w:rFonts w:asciiTheme="majorBidi" w:hAnsiTheme="majorBidi" w:cstheme="majorBidi"/>
          <w:sz w:val="24"/>
          <w:szCs w:val="24"/>
        </w:rPr>
        <w:t>:</w:t>
      </w:r>
    </w:p>
    <w:p w:rsidR="0024522A" w:rsidRPr="00D944B1" w:rsidRDefault="0024522A" w:rsidP="00E14D65">
      <w:pPr>
        <w:autoSpaceDE w:val="0"/>
        <w:autoSpaceDN w:val="0"/>
        <w:adjustRightInd w:val="0"/>
        <w:spacing w:after="0" w:line="360" w:lineRule="auto"/>
        <w:jc w:val="both"/>
        <w:rPr>
          <w:rFonts w:asciiTheme="majorBidi" w:hAnsiTheme="majorBidi" w:cstheme="majorBidi"/>
          <w:b/>
          <w:bCs/>
          <w:sz w:val="24"/>
          <w:szCs w:val="24"/>
        </w:rPr>
      </w:pPr>
      <w:r w:rsidRPr="00D944B1">
        <w:rPr>
          <w:rFonts w:asciiTheme="majorBidi" w:hAnsiTheme="majorBidi" w:cstheme="majorBidi"/>
          <w:b/>
          <w:bCs/>
          <w:sz w:val="24"/>
          <w:szCs w:val="24"/>
        </w:rPr>
        <w:t xml:space="preserve">Section 1: </w:t>
      </w:r>
      <w:r w:rsidR="00572C8C" w:rsidRPr="00D944B1">
        <w:rPr>
          <w:rFonts w:asciiTheme="majorBidi" w:hAnsiTheme="majorBidi" w:cstheme="majorBidi"/>
          <w:b/>
          <w:bCs/>
          <w:sz w:val="24"/>
          <w:szCs w:val="24"/>
        </w:rPr>
        <w:t>La m</w:t>
      </w:r>
      <w:r w:rsidR="00612E65" w:rsidRPr="00D944B1">
        <w:rPr>
          <w:rFonts w:asciiTheme="majorBidi" w:hAnsiTheme="majorBidi" w:cstheme="majorBidi"/>
          <w:b/>
          <w:bCs/>
          <w:sz w:val="24"/>
          <w:szCs w:val="24"/>
        </w:rPr>
        <w:t>arge de solvabilité sous</w:t>
      </w:r>
      <w:r w:rsidR="009743D8" w:rsidRPr="00D944B1">
        <w:rPr>
          <w:rFonts w:asciiTheme="majorBidi" w:hAnsiTheme="majorBidi" w:cstheme="majorBidi"/>
          <w:b/>
          <w:bCs/>
          <w:sz w:val="24"/>
          <w:szCs w:val="24"/>
        </w:rPr>
        <w:t xml:space="preserve"> </w:t>
      </w:r>
      <w:r w:rsidR="00860086" w:rsidRPr="00D944B1">
        <w:rPr>
          <w:rFonts w:asciiTheme="majorBidi" w:hAnsiTheme="majorBidi" w:cstheme="majorBidi"/>
          <w:b/>
          <w:bCs/>
          <w:sz w:val="24"/>
          <w:szCs w:val="24"/>
        </w:rPr>
        <w:t>SOLVENCY</w:t>
      </w:r>
      <w:r w:rsidR="009743D8" w:rsidRPr="00D944B1">
        <w:rPr>
          <w:rFonts w:asciiTheme="majorBidi" w:hAnsiTheme="majorBidi" w:cstheme="majorBidi"/>
          <w:b/>
          <w:bCs/>
          <w:sz w:val="24"/>
          <w:szCs w:val="24"/>
        </w:rPr>
        <w:t xml:space="preserve"> I</w:t>
      </w:r>
    </w:p>
    <w:p w:rsidR="0024522A" w:rsidRPr="00D944B1" w:rsidRDefault="00273ADC" w:rsidP="00E14D65">
      <w:pPr>
        <w:autoSpaceDE w:val="0"/>
        <w:autoSpaceDN w:val="0"/>
        <w:adjustRightInd w:val="0"/>
        <w:spacing w:after="0" w:line="360" w:lineRule="auto"/>
        <w:jc w:val="both"/>
        <w:rPr>
          <w:rFonts w:asciiTheme="majorBidi" w:hAnsiTheme="majorBidi" w:cstheme="majorBidi"/>
          <w:b/>
          <w:bCs/>
          <w:sz w:val="24"/>
          <w:szCs w:val="24"/>
        </w:rPr>
      </w:pPr>
      <w:r w:rsidRPr="00D944B1">
        <w:rPr>
          <w:rFonts w:asciiTheme="majorBidi" w:hAnsiTheme="majorBidi" w:cstheme="majorBidi"/>
          <w:b/>
          <w:bCs/>
          <w:sz w:val="24"/>
          <w:szCs w:val="24"/>
        </w:rPr>
        <w:t xml:space="preserve">Section 2: </w:t>
      </w:r>
      <w:r w:rsidR="003D7FEC">
        <w:rPr>
          <w:rFonts w:asciiTheme="majorBidi" w:hAnsiTheme="majorBidi" w:cstheme="majorBidi"/>
          <w:b/>
          <w:bCs/>
          <w:sz w:val="24"/>
          <w:szCs w:val="24"/>
        </w:rPr>
        <w:t>Exemple pratique</w:t>
      </w:r>
      <w:r w:rsidR="00AD37DB" w:rsidRPr="00D944B1">
        <w:rPr>
          <w:rFonts w:asciiTheme="majorBidi" w:hAnsiTheme="majorBidi" w:cstheme="majorBidi"/>
          <w:b/>
          <w:bCs/>
          <w:sz w:val="24"/>
          <w:szCs w:val="24"/>
        </w:rPr>
        <w:t xml:space="preserve"> de calcul de la marge de solvabilité et  critiques à l’encontre  de </w:t>
      </w:r>
      <w:r w:rsidR="00860086" w:rsidRPr="00D944B1">
        <w:rPr>
          <w:rFonts w:asciiTheme="majorBidi" w:hAnsiTheme="majorBidi" w:cstheme="majorBidi"/>
          <w:b/>
          <w:bCs/>
          <w:sz w:val="24"/>
          <w:szCs w:val="24"/>
        </w:rPr>
        <w:t>SOLVENCY</w:t>
      </w:r>
      <w:r w:rsidR="00AD37DB" w:rsidRPr="00D944B1">
        <w:rPr>
          <w:rFonts w:asciiTheme="majorBidi" w:hAnsiTheme="majorBidi" w:cstheme="majorBidi"/>
          <w:b/>
          <w:bCs/>
          <w:sz w:val="24"/>
          <w:szCs w:val="24"/>
        </w:rPr>
        <w:t xml:space="preserve"> I</w:t>
      </w:r>
    </w:p>
    <w:p w:rsidR="00166D06" w:rsidRPr="00D944B1" w:rsidRDefault="00166D06" w:rsidP="00E14D65">
      <w:pPr>
        <w:autoSpaceDE w:val="0"/>
        <w:autoSpaceDN w:val="0"/>
        <w:adjustRightInd w:val="0"/>
        <w:spacing w:after="0" w:line="360" w:lineRule="auto"/>
        <w:jc w:val="both"/>
        <w:rPr>
          <w:rFonts w:asciiTheme="majorBidi" w:hAnsiTheme="majorBidi" w:cstheme="majorBidi"/>
          <w:b/>
          <w:bCs/>
          <w:sz w:val="24"/>
          <w:szCs w:val="24"/>
        </w:rPr>
      </w:pPr>
    </w:p>
    <w:p w:rsidR="0024522A" w:rsidRPr="00D944B1" w:rsidRDefault="0024522A" w:rsidP="00E14D65">
      <w:pPr>
        <w:autoSpaceDE w:val="0"/>
        <w:autoSpaceDN w:val="0"/>
        <w:adjustRightInd w:val="0"/>
        <w:spacing w:after="0" w:line="360" w:lineRule="auto"/>
        <w:jc w:val="both"/>
        <w:rPr>
          <w:rFonts w:asciiTheme="majorBidi" w:hAnsiTheme="majorBidi" w:cstheme="majorBidi"/>
          <w:sz w:val="24"/>
          <w:szCs w:val="24"/>
        </w:rPr>
      </w:pPr>
    </w:p>
    <w:p w:rsidR="00CC19A8" w:rsidRPr="00D944B1" w:rsidRDefault="0024522A"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xml:space="preserve">  </w:t>
      </w:r>
      <w:r w:rsidR="00CC19A8" w:rsidRPr="00D944B1">
        <w:rPr>
          <w:rFonts w:asciiTheme="majorBidi" w:hAnsiTheme="majorBidi" w:cstheme="majorBidi"/>
          <w:sz w:val="24"/>
          <w:szCs w:val="24"/>
        </w:rPr>
        <w:t xml:space="preserve">  </w:t>
      </w:r>
    </w:p>
    <w:p w:rsidR="002B674F" w:rsidRDefault="002B674F" w:rsidP="00E14D65">
      <w:pPr>
        <w:spacing w:line="360" w:lineRule="auto"/>
        <w:jc w:val="both"/>
        <w:rPr>
          <w:rFonts w:asciiTheme="majorBidi" w:hAnsiTheme="majorBidi" w:cstheme="majorBidi"/>
          <w:sz w:val="24"/>
          <w:szCs w:val="24"/>
        </w:rPr>
      </w:pPr>
    </w:p>
    <w:p w:rsidR="002E7D68" w:rsidRDefault="00AD37DB" w:rsidP="00E14D65">
      <w:pPr>
        <w:spacing w:after="0" w:line="360" w:lineRule="auto"/>
        <w:jc w:val="both"/>
        <w:rPr>
          <w:rFonts w:asciiTheme="majorBidi" w:hAnsiTheme="majorBidi" w:cstheme="majorBidi"/>
          <w:b/>
          <w:bCs/>
          <w:sz w:val="32"/>
          <w:szCs w:val="32"/>
        </w:rPr>
      </w:pPr>
      <w:r w:rsidRPr="00D944B1">
        <w:rPr>
          <w:rFonts w:asciiTheme="majorBidi" w:hAnsiTheme="majorBidi" w:cstheme="majorBidi"/>
          <w:b/>
          <w:bCs/>
          <w:sz w:val="32"/>
          <w:szCs w:val="32"/>
        </w:rPr>
        <w:lastRenderedPageBreak/>
        <w:t>SECTION 1:LA MARGE DE SOLVABILITE SOUS SOLVENCY I</w:t>
      </w:r>
    </w:p>
    <w:p w:rsidR="00E14D65" w:rsidRPr="00D944B1" w:rsidRDefault="00E14D65" w:rsidP="00E14D65">
      <w:pPr>
        <w:spacing w:after="0" w:line="240" w:lineRule="auto"/>
        <w:jc w:val="both"/>
        <w:rPr>
          <w:rFonts w:asciiTheme="majorBidi" w:hAnsiTheme="majorBidi" w:cstheme="majorBidi"/>
          <w:b/>
          <w:bCs/>
          <w:sz w:val="32"/>
          <w:szCs w:val="32"/>
        </w:rPr>
      </w:pPr>
    </w:p>
    <w:p w:rsidR="00706284" w:rsidRPr="00D944B1" w:rsidRDefault="008A304E" w:rsidP="00E14D65">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r>
      <w:r w:rsidR="005D36AF" w:rsidRPr="00D944B1">
        <w:rPr>
          <w:rFonts w:asciiTheme="majorBidi" w:hAnsiTheme="majorBidi" w:cstheme="majorBidi"/>
          <w:sz w:val="24"/>
          <w:szCs w:val="24"/>
        </w:rPr>
        <w:t xml:space="preserve">La </w:t>
      </w:r>
      <w:r w:rsidR="00C1263A">
        <w:rPr>
          <w:rFonts w:asciiTheme="majorBidi" w:hAnsiTheme="majorBidi" w:cstheme="majorBidi"/>
          <w:sz w:val="24"/>
          <w:szCs w:val="24"/>
        </w:rPr>
        <w:t xml:space="preserve">compagnie d’assurance se doit </w:t>
      </w:r>
      <w:r w:rsidR="005D36AF" w:rsidRPr="00D944B1">
        <w:rPr>
          <w:rFonts w:asciiTheme="majorBidi" w:hAnsiTheme="majorBidi" w:cstheme="majorBidi"/>
          <w:sz w:val="24"/>
          <w:szCs w:val="24"/>
        </w:rPr>
        <w:t>être solvable c'est-à-dire capable d’assumer ses engagements vis-à-vis des assurés et des bénéficiaires des contrats. Il faut donc en plus de la constitution des provisions techniques définir un capital suffisant pour faire face à des situations défavorables.</w:t>
      </w:r>
    </w:p>
    <w:p w:rsidR="002E7D68" w:rsidRDefault="00985D2A" w:rsidP="00E14D65">
      <w:pPr>
        <w:pStyle w:val="Paragraphedeliste"/>
        <w:numPr>
          <w:ilvl w:val="1"/>
          <w:numId w:val="1"/>
        </w:numPr>
        <w:spacing w:after="0" w:line="360" w:lineRule="auto"/>
        <w:jc w:val="both"/>
        <w:rPr>
          <w:rFonts w:asciiTheme="majorBidi" w:hAnsiTheme="majorBidi" w:cstheme="majorBidi"/>
          <w:b/>
          <w:bCs/>
          <w:sz w:val="28"/>
          <w:szCs w:val="28"/>
        </w:rPr>
      </w:pPr>
      <w:r w:rsidRPr="00D944B1">
        <w:rPr>
          <w:rFonts w:asciiTheme="majorBidi" w:hAnsiTheme="majorBidi" w:cstheme="majorBidi"/>
          <w:b/>
          <w:bCs/>
          <w:sz w:val="28"/>
          <w:szCs w:val="28"/>
        </w:rPr>
        <w:t xml:space="preserve">LA SOLVABILITE DES COMPAGNIES D’ASSURANCES </w:t>
      </w:r>
    </w:p>
    <w:p w:rsidR="00E14D65" w:rsidRPr="00E14D65" w:rsidRDefault="00E14D65" w:rsidP="00E14D65">
      <w:pPr>
        <w:spacing w:after="0" w:line="240" w:lineRule="auto"/>
        <w:jc w:val="both"/>
        <w:rPr>
          <w:rFonts w:asciiTheme="majorBidi" w:hAnsiTheme="majorBidi" w:cstheme="majorBidi"/>
          <w:b/>
          <w:bCs/>
          <w:sz w:val="28"/>
          <w:szCs w:val="28"/>
        </w:rPr>
      </w:pPr>
    </w:p>
    <w:p w:rsidR="008975ED" w:rsidRPr="00D944B1" w:rsidRDefault="00985D2A" w:rsidP="00E14D65">
      <w:pPr>
        <w:pStyle w:val="Paragraphedeliste"/>
        <w:autoSpaceDE w:val="0"/>
        <w:autoSpaceDN w:val="0"/>
        <w:adjustRightInd w:val="0"/>
        <w:spacing w:line="360" w:lineRule="auto"/>
        <w:ind w:left="0"/>
        <w:jc w:val="both"/>
        <w:rPr>
          <w:rFonts w:asciiTheme="majorBidi" w:hAnsiTheme="majorBidi" w:cstheme="majorBidi"/>
          <w:sz w:val="24"/>
          <w:szCs w:val="24"/>
        </w:rPr>
      </w:pPr>
      <w:r w:rsidRPr="00D944B1">
        <w:rPr>
          <w:rFonts w:asciiTheme="majorBidi" w:hAnsiTheme="majorBidi" w:cstheme="majorBidi"/>
          <w:sz w:val="20"/>
          <w:szCs w:val="20"/>
        </w:rPr>
        <w:tab/>
      </w:r>
      <w:r w:rsidRPr="00D944B1">
        <w:rPr>
          <w:rFonts w:asciiTheme="majorBidi" w:hAnsiTheme="majorBidi" w:cstheme="majorBidi"/>
          <w:sz w:val="24"/>
          <w:szCs w:val="24"/>
        </w:rPr>
        <w:t>La solvabilité d’une compagnie d’assurance correspond à son aptitude à régler ses engagements. Lorsque ses ailleurs d’actif sont insuffisantes (surendettement) ou ne peuvent être réalisées en temps voulu (illiquidité) pour régler les sinistres survenus, la compagnie est insolvable.</w:t>
      </w:r>
    </w:p>
    <w:p w:rsidR="00D944B1" w:rsidRDefault="00985D2A" w:rsidP="00E14D65">
      <w:pPr>
        <w:pStyle w:val="Paragraphedeliste"/>
        <w:autoSpaceDE w:val="0"/>
        <w:autoSpaceDN w:val="0"/>
        <w:adjustRightInd w:val="0"/>
        <w:spacing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ab/>
        <w:t>La solvabilité d’une compagnie d’assurance dépend prioritairement de la constitution de réserves techniques suffisantes pour faire face aux engagements contractés et de l’existence de fonds propres à même de garantir la sécurité.</w:t>
      </w:r>
    </w:p>
    <w:p w:rsidR="00D944B1" w:rsidRPr="00D944B1" w:rsidRDefault="00D944B1" w:rsidP="00E14D65">
      <w:pPr>
        <w:pStyle w:val="Paragraphedeliste"/>
        <w:autoSpaceDE w:val="0"/>
        <w:autoSpaceDN w:val="0"/>
        <w:adjustRightInd w:val="0"/>
        <w:spacing w:line="240" w:lineRule="auto"/>
        <w:ind w:left="0"/>
        <w:jc w:val="both"/>
        <w:rPr>
          <w:rFonts w:asciiTheme="majorBidi" w:hAnsiTheme="majorBidi" w:cstheme="majorBidi"/>
          <w:sz w:val="24"/>
          <w:szCs w:val="24"/>
        </w:rPr>
      </w:pPr>
    </w:p>
    <w:p w:rsidR="00503165" w:rsidRPr="00D944B1" w:rsidRDefault="00C94C42" w:rsidP="00E14D65">
      <w:pPr>
        <w:pStyle w:val="Paragraphedeliste"/>
        <w:autoSpaceDE w:val="0"/>
        <w:autoSpaceDN w:val="0"/>
        <w:adjustRightInd w:val="0"/>
        <w:spacing w:line="360" w:lineRule="auto"/>
        <w:ind w:left="0"/>
        <w:jc w:val="both"/>
        <w:rPr>
          <w:rFonts w:asciiTheme="majorBidi" w:hAnsiTheme="majorBidi" w:cstheme="majorBidi"/>
          <w:b/>
          <w:bCs/>
          <w:sz w:val="28"/>
          <w:szCs w:val="28"/>
        </w:rPr>
      </w:pPr>
      <w:r w:rsidRPr="00536949">
        <w:rPr>
          <w:rFonts w:asciiTheme="majorBidi" w:hAnsiTheme="majorBidi" w:cstheme="majorBidi"/>
          <w:b/>
          <w:bCs/>
          <w:sz w:val="28"/>
          <w:szCs w:val="28"/>
        </w:rPr>
        <w:t>1.1.1</w:t>
      </w:r>
      <w:r w:rsidR="00985D2A" w:rsidRPr="00D944B1">
        <w:rPr>
          <w:rFonts w:asciiTheme="majorBidi" w:hAnsiTheme="majorBidi" w:cstheme="majorBidi"/>
          <w:b/>
          <w:bCs/>
          <w:sz w:val="24"/>
          <w:szCs w:val="24"/>
        </w:rPr>
        <w:t>.</w:t>
      </w:r>
      <w:r w:rsidR="00985D2A" w:rsidRPr="00D944B1">
        <w:rPr>
          <w:rFonts w:asciiTheme="majorBidi" w:hAnsiTheme="majorBidi" w:cstheme="majorBidi"/>
          <w:b/>
          <w:bCs/>
          <w:sz w:val="20"/>
          <w:szCs w:val="20"/>
        </w:rPr>
        <w:t xml:space="preserve"> </w:t>
      </w:r>
      <w:r w:rsidR="00985D2A" w:rsidRPr="00D944B1">
        <w:rPr>
          <w:rFonts w:asciiTheme="majorBidi" w:hAnsiTheme="majorBidi" w:cstheme="majorBidi"/>
          <w:b/>
          <w:bCs/>
          <w:sz w:val="28"/>
          <w:szCs w:val="28"/>
        </w:rPr>
        <w:t>Facteurs déterminants</w:t>
      </w:r>
      <w:r w:rsidRPr="00D944B1">
        <w:rPr>
          <w:rFonts w:asciiTheme="majorBidi" w:hAnsiTheme="majorBidi" w:cstheme="majorBidi"/>
          <w:b/>
          <w:bCs/>
          <w:sz w:val="28"/>
          <w:szCs w:val="28"/>
        </w:rPr>
        <w:t xml:space="preserve"> de</w:t>
      </w:r>
      <w:r w:rsidR="00985D2A" w:rsidRPr="00D944B1">
        <w:rPr>
          <w:rFonts w:asciiTheme="majorBidi" w:hAnsiTheme="majorBidi" w:cstheme="majorBidi"/>
          <w:b/>
          <w:bCs/>
          <w:sz w:val="28"/>
          <w:szCs w:val="28"/>
        </w:rPr>
        <w:t xml:space="preserve"> la solvabilité</w:t>
      </w:r>
    </w:p>
    <w:p w:rsidR="009478FD" w:rsidRPr="00D944B1" w:rsidRDefault="00503165"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b/>
          <w:bCs/>
          <w:sz w:val="28"/>
          <w:szCs w:val="28"/>
        </w:rPr>
        <w:tab/>
      </w:r>
      <w:r w:rsidRPr="00D944B1">
        <w:rPr>
          <w:rFonts w:asciiTheme="majorBidi" w:hAnsiTheme="majorBidi" w:cstheme="majorBidi"/>
          <w:sz w:val="24"/>
          <w:szCs w:val="24"/>
        </w:rPr>
        <w:t>Le bilan et le compte de résultat d’une compagnie d’assurance renseignent, dans une certaine mesure, sur sa situation. Pour juger de la solvabilité et de l’adéquation des fonds propres, il est nécessaire d’analyser les risques sur lesquels repose son activité.</w:t>
      </w:r>
      <w:r w:rsidR="00C94C42" w:rsidRPr="00D944B1">
        <w:rPr>
          <w:rFonts w:asciiTheme="majorBidi" w:hAnsiTheme="majorBidi" w:cstheme="majorBidi"/>
          <w:sz w:val="24"/>
          <w:szCs w:val="24"/>
        </w:rPr>
        <w:t xml:space="preserve"> </w:t>
      </w:r>
      <w:r w:rsidRPr="00D944B1">
        <w:rPr>
          <w:rFonts w:asciiTheme="majorBidi" w:hAnsiTheme="majorBidi" w:cstheme="majorBidi"/>
          <w:sz w:val="24"/>
          <w:szCs w:val="24"/>
        </w:rPr>
        <w:t>Tous les postes du bilan et du compte de résultats sont sujets à des variations et des incertitudes qui doivent être prises en compte lors de l’évaluation de la solvabilité.</w:t>
      </w:r>
      <w:r w:rsidR="00985D2A" w:rsidRPr="00D944B1">
        <w:rPr>
          <w:rFonts w:asciiTheme="majorBidi" w:hAnsiTheme="majorBidi" w:cstheme="majorBidi"/>
          <w:sz w:val="24"/>
          <w:szCs w:val="24"/>
        </w:rPr>
        <w:t xml:space="preserve"> </w:t>
      </w:r>
    </w:p>
    <w:p w:rsidR="009478FD" w:rsidRDefault="00C94C42" w:rsidP="00E14D65">
      <w:pPr>
        <w:autoSpaceDE w:val="0"/>
        <w:autoSpaceDN w:val="0"/>
        <w:adjustRightInd w:val="0"/>
        <w:spacing w:after="0" w:line="360" w:lineRule="auto"/>
        <w:jc w:val="both"/>
        <w:rPr>
          <w:rFonts w:asciiTheme="majorBidi" w:hAnsiTheme="majorBidi" w:cstheme="majorBidi"/>
          <w:b/>
          <w:bCs/>
          <w:sz w:val="28"/>
          <w:szCs w:val="28"/>
        </w:rPr>
      </w:pPr>
      <w:r w:rsidRPr="00536949">
        <w:rPr>
          <w:rFonts w:asciiTheme="majorBidi" w:hAnsiTheme="majorBidi" w:cstheme="majorBidi"/>
          <w:b/>
          <w:bCs/>
          <w:sz w:val="28"/>
          <w:szCs w:val="28"/>
        </w:rPr>
        <w:t>1.1.</w:t>
      </w:r>
      <w:r w:rsidR="00B8250E" w:rsidRPr="00536949">
        <w:rPr>
          <w:rFonts w:asciiTheme="majorBidi" w:hAnsiTheme="majorBidi" w:cstheme="majorBidi"/>
          <w:b/>
          <w:bCs/>
          <w:sz w:val="28"/>
          <w:szCs w:val="28"/>
        </w:rPr>
        <w:t>2</w:t>
      </w:r>
      <w:r w:rsidR="00503165" w:rsidRPr="00536949">
        <w:rPr>
          <w:rFonts w:asciiTheme="majorBidi" w:hAnsiTheme="majorBidi" w:cstheme="majorBidi"/>
          <w:b/>
          <w:bCs/>
          <w:sz w:val="28"/>
          <w:szCs w:val="28"/>
        </w:rPr>
        <w:t>.</w:t>
      </w:r>
      <w:r w:rsidR="00503165" w:rsidRPr="00D944B1">
        <w:rPr>
          <w:rFonts w:asciiTheme="majorBidi" w:hAnsiTheme="majorBidi" w:cstheme="majorBidi"/>
          <w:sz w:val="24"/>
          <w:szCs w:val="24"/>
        </w:rPr>
        <w:t xml:space="preserve"> </w:t>
      </w:r>
      <w:r w:rsidR="00503165" w:rsidRPr="00D944B1">
        <w:rPr>
          <w:rFonts w:asciiTheme="majorBidi" w:hAnsiTheme="majorBidi" w:cstheme="majorBidi"/>
          <w:b/>
          <w:bCs/>
          <w:sz w:val="28"/>
          <w:szCs w:val="28"/>
        </w:rPr>
        <w:t>Evaluation de la solvabilité</w:t>
      </w:r>
      <w:r w:rsidR="00503165" w:rsidRPr="00D944B1">
        <w:rPr>
          <w:rStyle w:val="Appelnotedebasdep"/>
          <w:b/>
          <w:bCs/>
          <w:sz w:val="28"/>
          <w:szCs w:val="28"/>
        </w:rPr>
        <w:footnoteReference w:id="2"/>
      </w:r>
    </w:p>
    <w:p w:rsidR="002E7D68" w:rsidRPr="00D944B1" w:rsidRDefault="002E7D68" w:rsidP="00E14D65">
      <w:pPr>
        <w:autoSpaceDE w:val="0"/>
        <w:autoSpaceDN w:val="0"/>
        <w:adjustRightInd w:val="0"/>
        <w:spacing w:after="0" w:line="240" w:lineRule="auto"/>
        <w:jc w:val="both"/>
        <w:rPr>
          <w:rFonts w:asciiTheme="majorBidi" w:hAnsiTheme="majorBidi" w:cstheme="majorBidi"/>
          <w:b/>
          <w:bCs/>
          <w:sz w:val="28"/>
          <w:szCs w:val="28"/>
        </w:rPr>
      </w:pPr>
    </w:p>
    <w:p w:rsidR="008975ED" w:rsidRPr="00D944B1" w:rsidRDefault="009478FD"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t>Les indicateurs les plus Importants dans l’analyse du bilan et du compte de résultat en utilisant la méthode traditionnelle sont:</w:t>
      </w:r>
    </w:p>
    <w:p w:rsidR="009478FD" w:rsidRPr="00D944B1" w:rsidRDefault="009478FD" w:rsidP="002C373E">
      <w:pPr>
        <w:pStyle w:val="Paragraphedeliste"/>
        <w:numPr>
          <w:ilvl w:val="0"/>
          <w:numId w:val="5"/>
        </w:numPr>
        <w:autoSpaceDE w:val="0"/>
        <w:autoSpaceDN w:val="0"/>
        <w:adjustRightInd w:val="0"/>
        <w:spacing w:after="0" w:line="360" w:lineRule="auto"/>
        <w:jc w:val="both"/>
        <w:rPr>
          <w:rFonts w:asciiTheme="majorBidi" w:hAnsiTheme="majorBidi" w:cstheme="majorBidi"/>
          <w:sz w:val="20"/>
          <w:szCs w:val="20"/>
        </w:rPr>
      </w:pPr>
      <w:r w:rsidRPr="00D944B1">
        <w:rPr>
          <w:rFonts w:asciiTheme="majorBidi" w:hAnsiTheme="majorBidi" w:cstheme="majorBidi"/>
          <w:sz w:val="24"/>
          <w:szCs w:val="24"/>
        </w:rPr>
        <w:t xml:space="preserve">Le ratio de solvabilité=Fonds Propres/ Primes Nettes </w:t>
      </w:r>
      <w:r w:rsidR="002C373E" w:rsidRPr="002C373E">
        <w:rPr>
          <w:rStyle w:val="Appelnotedebasdep"/>
        </w:rPr>
        <w:footnoteReference w:customMarkFollows="1" w:id="3"/>
        <w:sym w:font="Symbol" w:char="F02A"/>
      </w:r>
    </w:p>
    <w:p w:rsidR="009478FD" w:rsidRPr="00D944B1" w:rsidRDefault="009478FD" w:rsidP="00E14D65">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Le ratio des Provisions Techniques = Réserves Techniques / Primes Nettes</w:t>
      </w:r>
    </w:p>
    <w:p w:rsidR="009478FD" w:rsidRDefault="009478FD" w:rsidP="00E14D65">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lastRenderedPageBreak/>
        <w:t>Le taux de Rétention : Primes nettes/Primes Brutes.</w:t>
      </w:r>
    </w:p>
    <w:p w:rsidR="00E14D65" w:rsidRPr="00E14D65" w:rsidRDefault="00E14D65" w:rsidP="00E14D65">
      <w:pPr>
        <w:autoSpaceDE w:val="0"/>
        <w:autoSpaceDN w:val="0"/>
        <w:adjustRightInd w:val="0"/>
        <w:spacing w:after="0" w:line="240" w:lineRule="auto"/>
        <w:jc w:val="both"/>
        <w:rPr>
          <w:rFonts w:asciiTheme="majorBidi" w:hAnsiTheme="majorBidi" w:cstheme="majorBidi"/>
          <w:sz w:val="24"/>
          <w:szCs w:val="24"/>
        </w:rPr>
      </w:pPr>
    </w:p>
    <w:p w:rsidR="003C07A3" w:rsidRPr="00D944B1" w:rsidRDefault="009478FD" w:rsidP="00E14D65">
      <w:pPr>
        <w:pStyle w:val="Paragraphedeliste"/>
        <w:autoSpaceDE w:val="0"/>
        <w:autoSpaceDN w:val="0"/>
        <w:adjustRightInd w:val="0"/>
        <w:spacing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ab/>
        <w:t>Lors de l’évaluation du niveau des fonds propres par rapport aux primes, c’est sur la base de ces dernières que sont jugés les risques encourus. Plus le ratio est élevé, plus le capital de sécurité disponible pour absorber des résultats négatifs est important .Dans l’ignorance des provisions techniques disponibles le ratio de solvabilité n’est cependant pas concluant.</w:t>
      </w:r>
    </w:p>
    <w:p w:rsidR="008975ED" w:rsidRPr="00D944B1" w:rsidRDefault="003C07A3"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r>
      <w:r w:rsidR="009478FD" w:rsidRPr="00D944B1">
        <w:rPr>
          <w:rFonts w:asciiTheme="majorBidi" w:hAnsiTheme="majorBidi" w:cstheme="majorBidi"/>
          <w:sz w:val="24"/>
          <w:szCs w:val="24"/>
        </w:rPr>
        <w:t>Un indicateur de solvabilité relativement élevé peut s’avérer insuffisant si les provisions techniques sont trop faibles. A l’inverse un indicateur de solvabilité plutôt faible peut suffire si la politique de provisionnent est très prudente. C’est pourquoi la somme des fonds propres et des provisions est fréquemment mise en relation avec les primes nettes.</w:t>
      </w:r>
    </w:p>
    <w:p w:rsidR="008975ED" w:rsidRPr="00D944B1" w:rsidRDefault="00C94C42"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r>
      <w:r w:rsidR="009478FD" w:rsidRPr="00D944B1">
        <w:rPr>
          <w:rFonts w:asciiTheme="majorBidi" w:hAnsiTheme="majorBidi" w:cstheme="majorBidi"/>
          <w:sz w:val="24"/>
          <w:szCs w:val="24"/>
        </w:rPr>
        <w:t>Ainsi, la totalité des fonds et des actifs disponibles peut être évaluée en fonction des risques souscrits.</w:t>
      </w:r>
    </w:p>
    <w:p w:rsidR="008975ED" w:rsidRPr="00D944B1" w:rsidRDefault="00C94C42"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r>
      <w:r w:rsidR="009478FD" w:rsidRPr="00D944B1">
        <w:rPr>
          <w:rFonts w:asciiTheme="majorBidi" w:hAnsiTheme="majorBidi" w:cstheme="majorBidi"/>
          <w:sz w:val="24"/>
          <w:szCs w:val="24"/>
        </w:rPr>
        <w:t>L’indicateur de solvabilité ainsi que le ratio des provisions techniques étant calculés sur la base des primes nettes, il s’avère judicieux de tenir également compte du taux de rétention.</w:t>
      </w:r>
    </w:p>
    <w:p w:rsidR="008975ED" w:rsidRPr="00D944B1" w:rsidRDefault="00C94C42"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r>
      <w:r w:rsidR="009478FD" w:rsidRPr="00D944B1">
        <w:rPr>
          <w:rFonts w:asciiTheme="majorBidi" w:hAnsiTheme="majorBidi" w:cstheme="majorBidi"/>
          <w:sz w:val="24"/>
          <w:szCs w:val="24"/>
        </w:rPr>
        <w:t>Celui-ci renseigne sur la dépendance par rapport à la</w:t>
      </w:r>
      <w:r w:rsidRPr="00D944B1">
        <w:rPr>
          <w:rFonts w:asciiTheme="majorBidi" w:hAnsiTheme="majorBidi" w:cstheme="majorBidi"/>
          <w:sz w:val="24"/>
          <w:szCs w:val="24"/>
        </w:rPr>
        <w:t xml:space="preserve"> réassurance et à la rétrocession. Plus le rapport des primes nettes aux primes brutes est élevé, plus la part de risque assumée est élevée et moins la compagnie dépend de la solvabilité de son réassureur. L’utilisation de ce type d’indicateur présente cependant plusieurs inconvénients.</w:t>
      </w:r>
    </w:p>
    <w:p w:rsidR="008975ED" w:rsidRPr="00D944B1" w:rsidRDefault="00C94C42"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t>Le volume de p</w:t>
      </w:r>
      <w:r w:rsidR="00E8005D">
        <w:rPr>
          <w:rFonts w:asciiTheme="majorBidi" w:hAnsiTheme="majorBidi" w:cstheme="majorBidi"/>
          <w:sz w:val="24"/>
          <w:szCs w:val="24"/>
        </w:rPr>
        <w:t>rimes n‘est pas, pour plusieurs</w:t>
      </w:r>
      <w:r w:rsidRPr="00D944B1">
        <w:rPr>
          <w:rFonts w:asciiTheme="majorBidi" w:hAnsiTheme="majorBidi" w:cstheme="majorBidi"/>
          <w:sz w:val="24"/>
          <w:szCs w:val="24"/>
        </w:rPr>
        <w:t xml:space="preserve"> raisons, un critère suffisant pour juger le risque encourus. Les distorsions peuvent fausser le résultat lorsque les taux de primes n’ont pas été tarifés à hauteur des risques.</w:t>
      </w:r>
    </w:p>
    <w:p w:rsidR="00E14D65" w:rsidRDefault="00C94C42"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ab/>
        <w:t>Des prix trop bas se traduisent par un volume de prime plus faible d’ou une augmentation du ratio de solvabilité alors que l’exposition est inchangée. Il est indispensable de connaître la composition du portefeuille. A volume de prime égal, les besoins en capitaux propres d’une compagnie qui souscrit, principalement des affaires dommages, sont en général plus faibles que ceux d’une compagnie opérant surtout dans les branches de responsabilité</w:t>
      </w:r>
      <w:r w:rsidR="00D944B1">
        <w:rPr>
          <w:rFonts w:asciiTheme="majorBidi" w:hAnsiTheme="majorBidi" w:cstheme="majorBidi"/>
          <w:sz w:val="24"/>
          <w:szCs w:val="24"/>
        </w:rPr>
        <w:t>.</w:t>
      </w:r>
    </w:p>
    <w:p w:rsidR="00E14D65" w:rsidRDefault="00E14D65" w:rsidP="00E14D65">
      <w:pPr>
        <w:autoSpaceDE w:val="0"/>
        <w:autoSpaceDN w:val="0"/>
        <w:adjustRightInd w:val="0"/>
        <w:spacing w:after="0" w:line="360" w:lineRule="auto"/>
        <w:jc w:val="both"/>
        <w:rPr>
          <w:rFonts w:asciiTheme="majorBidi" w:hAnsiTheme="majorBidi" w:cstheme="majorBidi"/>
          <w:sz w:val="24"/>
          <w:szCs w:val="24"/>
        </w:rPr>
      </w:pPr>
    </w:p>
    <w:p w:rsidR="00E14D65" w:rsidRDefault="00E14D65" w:rsidP="00E14D65">
      <w:pPr>
        <w:autoSpaceDE w:val="0"/>
        <w:autoSpaceDN w:val="0"/>
        <w:adjustRightInd w:val="0"/>
        <w:spacing w:after="0" w:line="360" w:lineRule="auto"/>
        <w:jc w:val="both"/>
        <w:rPr>
          <w:rFonts w:asciiTheme="majorBidi" w:hAnsiTheme="majorBidi" w:cstheme="majorBidi"/>
          <w:sz w:val="24"/>
          <w:szCs w:val="24"/>
        </w:rPr>
      </w:pPr>
    </w:p>
    <w:p w:rsidR="00E14D65" w:rsidRDefault="00E14D65" w:rsidP="00E14D65">
      <w:pPr>
        <w:autoSpaceDE w:val="0"/>
        <w:autoSpaceDN w:val="0"/>
        <w:adjustRightInd w:val="0"/>
        <w:spacing w:after="0" w:line="360" w:lineRule="auto"/>
        <w:jc w:val="both"/>
        <w:rPr>
          <w:rFonts w:asciiTheme="majorBidi" w:hAnsiTheme="majorBidi" w:cstheme="majorBidi"/>
          <w:sz w:val="24"/>
          <w:szCs w:val="24"/>
        </w:rPr>
      </w:pPr>
    </w:p>
    <w:p w:rsidR="00B15AD8" w:rsidRPr="00D944B1" w:rsidRDefault="00503165"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b/>
          <w:bCs/>
          <w:sz w:val="24"/>
          <w:szCs w:val="24"/>
        </w:rPr>
        <w:tab/>
      </w:r>
    </w:p>
    <w:p w:rsidR="00EF790F" w:rsidRDefault="00470504" w:rsidP="00E14D65">
      <w:pPr>
        <w:pStyle w:val="Paragraphedeliste"/>
        <w:numPr>
          <w:ilvl w:val="1"/>
          <w:numId w:val="1"/>
        </w:numPr>
        <w:spacing w:after="0" w:line="360" w:lineRule="auto"/>
        <w:jc w:val="both"/>
        <w:rPr>
          <w:rFonts w:asciiTheme="majorBidi" w:hAnsiTheme="majorBidi" w:cstheme="majorBidi"/>
          <w:b/>
          <w:bCs/>
          <w:sz w:val="28"/>
          <w:szCs w:val="28"/>
        </w:rPr>
      </w:pPr>
      <w:r w:rsidRPr="00D944B1">
        <w:rPr>
          <w:rFonts w:asciiTheme="majorBidi" w:hAnsiTheme="majorBidi" w:cstheme="majorBidi"/>
          <w:b/>
          <w:bCs/>
          <w:sz w:val="28"/>
          <w:szCs w:val="28"/>
        </w:rPr>
        <w:lastRenderedPageBreak/>
        <w:t xml:space="preserve"> LA MARGE DE SOLVABILITE </w:t>
      </w:r>
    </w:p>
    <w:p w:rsidR="00E14D65" w:rsidRPr="00E14D65" w:rsidRDefault="00E14D65" w:rsidP="00E14D65">
      <w:pPr>
        <w:spacing w:after="0" w:line="240" w:lineRule="auto"/>
        <w:jc w:val="both"/>
        <w:rPr>
          <w:rFonts w:asciiTheme="majorBidi" w:hAnsiTheme="majorBidi" w:cstheme="majorBidi"/>
          <w:b/>
          <w:bCs/>
          <w:sz w:val="28"/>
          <w:szCs w:val="28"/>
        </w:rPr>
      </w:pPr>
    </w:p>
    <w:p w:rsidR="00A32DEE" w:rsidRPr="00D944B1" w:rsidRDefault="00A32DEE" w:rsidP="00E14D65">
      <w:pPr>
        <w:pStyle w:val="Paragraphedeliste"/>
        <w:autoSpaceDE w:val="0"/>
        <w:autoSpaceDN w:val="0"/>
        <w:adjustRightInd w:val="0"/>
        <w:spacing w:after="0" w:line="360" w:lineRule="auto"/>
        <w:ind w:left="0"/>
        <w:jc w:val="both"/>
        <w:rPr>
          <w:rFonts w:asciiTheme="majorBidi" w:hAnsiTheme="majorBidi" w:cstheme="majorBidi"/>
          <w:sz w:val="24"/>
          <w:szCs w:val="24"/>
        </w:rPr>
      </w:pPr>
      <w:r w:rsidRPr="00D944B1">
        <w:rPr>
          <w:rFonts w:asciiTheme="majorBidi" w:hAnsiTheme="majorBidi" w:cstheme="majorBidi"/>
          <w:sz w:val="20"/>
          <w:szCs w:val="20"/>
        </w:rPr>
        <w:tab/>
      </w:r>
      <w:r w:rsidRPr="00D944B1">
        <w:rPr>
          <w:rFonts w:asciiTheme="majorBidi" w:hAnsiTheme="majorBidi" w:cstheme="majorBidi"/>
          <w:sz w:val="24"/>
          <w:szCs w:val="24"/>
        </w:rPr>
        <w:t>La marge de solvabilité caractérise la dotation en fonds propres définie comme un excèdent des valeurs représentées à l’actif par rapport aux engagements ; soit l’ensemble des ressources constitué notamment par le capital social, les réserves libres, et les plus values ou moins values latentes destinées à pallier à une insuffisance des réserves techniques.</w:t>
      </w:r>
    </w:p>
    <w:p w:rsidR="00DC043A" w:rsidRPr="00D944B1" w:rsidRDefault="00A32DEE"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t>Le législateur, défe</w:t>
      </w:r>
      <w:r w:rsidR="008975ED" w:rsidRPr="00D944B1">
        <w:rPr>
          <w:rFonts w:asciiTheme="majorBidi" w:hAnsiTheme="majorBidi" w:cstheme="majorBidi"/>
          <w:sz w:val="24"/>
          <w:szCs w:val="24"/>
        </w:rPr>
        <w:t>nseur des intérêts des assurés a</w:t>
      </w:r>
      <w:r w:rsidRPr="00D944B1">
        <w:rPr>
          <w:rFonts w:asciiTheme="majorBidi" w:hAnsiTheme="majorBidi" w:cstheme="majorBidi"/>
          <w:sz w:val="24"/>
          <w:szCs w:val="24"/>
        </w:rPr>
        <w:t xml:space="preserve"> pour préoccupation majeure la capacité de l’assureur à honorer ses engagements. A cette fin, il a défini les règles de détermination des provisions techniques, il pose le principe de la couverture de ces provisions par des actifs équivalents. Mais que se passerait – il si cependant les provisions n’étaient pas suffisantes ? Face à ce risque, il a exigé de l’assureur qu’il justifie de ressources supplémentaires permettant de combler une insuffisance éventuelle.</w:t>
      </w:r>
    </w:p>
    <w:p w:rsidR="00DC043A" w:rsidRPr="00D944B1" w:rsidRDefault="00B15AD8" w:rsidP="00E14D65">
      <w:pPr>
        <w:pStyle w:val="Paragraphedeliste"/>
        <w:spacing w:after="0"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ab/>
      </w:r>
      <w:r w:rsidR="00F315F9" w:rsidRPr="00D944B1">
        <w:rPr>
          <w:rFonts w:asciiTheme="majorBidi" w:hAnsiTheme="majorBidi" w:cstheme="majorBidi"/>
          <w:sz w:val="24"/>
          <w:szCs w:val="24"/>
        </w:rPr>
        <w:t>Un assureur doit conserver un tau</w:t>
      </w:r>
      <w:r w:rsidR="001C3E54">
        <w:rPr>
          <w:rFonts w:asciiTheme="majorBidi" w:hAnsiTheme="majorBidi" w:cstheme="majorBidi"/>
          <w:sz w:val="24"/>
          <w:szCs w:val="24"/>
        </w:rPr>
        <w:t>x de marge de solvabilité de cent</w:t>
      </w:r>
      <w:r w:rsidR="00F315F9" w:rsidRPr="00D944B1">
        <w:rPr>
          <w:rFonts w:asciiTheme="majorBidi" w:hAnsiTheme="majorBidi" w:cstheme="majorBidi"/>
          <w:sz w:val="24"/>
          <w:szCs w:val="24"/>
        </w:rPr>
        <w:t xml:space="preserve"> pour cent ou plus, pour garantir le capital</w:t>
      </w:r>
      <w:r w:rsidR="00ED0345">
        <w:rPr>
          <w:rFonts w:asciiTheme="majorBidi" w:hAnsiTheme="majorBidi" w:cstheme="majorBidi"/>
          <w:sz w:val="24"/>
          <w:szCs w:val="24"/>
        </w:rPr>
        <w:t xml:space="preserve"> de</w:t>
      </w:r>
      <w:r w:rsidR="00F315F9" w:rsidRPr="00D944B1">
        <w:rPr>
          <w:rFonts w:asciiTheme="majorBidi" w:hAnsiTheme="majorBidi" w:cstheme="majorBidi"/>
          <w:sz w:val="24"/>
          <w:szCs w:val="24"/>
        </w:rPr>
        <w:t xml:space="preserve"> l’actif, et l’intégrité de la gestion. </w:t>
      </w:r>
      <w:r w:rsidRPr="00D944B1">
        <w:rPr>
          <w:rFonts w:asciiTheme="majorBidi" w:hAnsiTheme="majorBidi" w:cstheme="majorBidi"/>
          <w:sz w:val="24"/>
          <w:szCs w:val="24"/>
        </w:rPr>
        <w:t>Elle est utilisée pour déterminer</w:t>
      </w:r>
      <w:r w:rsidR="006536C0" w:rsidRPr="00D944B1">
        <w:rPr>
          <w:rFonts w:asciiTheme="majorBidi" w:hAnsiTheme="majorBidi" w:cstheme="majorBidi"/>
          <w:sz w:val="24"/>
          <w:szCs w:val="24"/>
        </w:rPr>
        <w:t xml:space="preserve"> la solidité financière des compagnies d’</w:t>
      </w:r>
      <w:r w:rsidRPr="00D944B1">
        <w:rPr>
          <w:rFonts w:asciiTheme="majorBidi" w:hAnsiTheme="majorBidi" w:cstheme="majorBidi"/>
          <w:sz w:val="24"/>
          <w:szCs w:val="24"/>
        </w:rPr>
        <w:t>assurance. On définit</w:t>
      </w:r>
      <w:r w:rsidR="006536C0" w:rsidRPr="00D944B1">
        <w:rPr>
          <w:rFonts w:asciiTheme="majorBidi" w:hAnsiTheme="majorBidi" w:cstheme="majorBidi"/>
          <w:sz w:val="24"/>
          <w:szCs w:val="24"/>
        </w:rPr>
        <w:t xml:space="preserve"> le ratio de la marge de solvabilité</w:t>
      </w:r>
      <w:r w:rsidR="00DC043A" w:rsidRPr="00D944B1">
        <w:rPr>
          <w:rFonts w:asciiTheme="majorBidi" w:hAnsiTheme="majorBidi" w:cstheme="majorBidi"/>
          <w:sz w:val="24"/>
          <w:szCs w:val="24"/>
        </w:rPr>
        <w:t xml:space="preserve"> ou </w:t>
      </w:r>
      <w:r w:rsidR="00162F59" w:rsidRPr="00D944B1">
        <w:rPr>
          <w:rFonts w:asciiTheme="majorBidi" w:hAnsiTheme="majorBidi" w:cstheme="majorBidi"/>
          <w:sz w:val="24"/>
          <w:szCs w:val="24"/>
        </w:rPr>
        <w:t xml:space="preserve">le </w:t>
      </w:r>
      <w:r w:rsidR="00DC043A" w:rsidRPr="00D944B1">
        <w:rPr>
          <w:rFonts w:asciiTheme="majorBidi" w:hAnsiTheme="majorBidi" w:cstheme="majorBidi"/>
          <w:sz w:val="24"/>
          <w:szCs w:val="24"/>
        </w:rPr>
        <w:t>ratio de couverture</w:t>
      </w:r>
      <w:r w:rsidR="006536C0" w:rsidRPr="00D944B1">
        <w:rPr>
          <w:rFonts w:asciiTheme="majorBidi" w:hAnsiTheme="majorBidi" w:cstheme="majorBidi"/>
          <w:sz w:val="24"/>
          <w:szCs w:val="24"/>
        </w:rPr>
        <w:t xml:space="preserve"> pour évaluer la santé financière de ces entreprise</w:t>
      </w:r>
      <w:r w:rsidR="00BD162B" w:rsidRPr="00D944B1">
        <w:rPr>
          <w:rFonts w:asciiTheme="majorBidi" w:hAnsiTheme="majorBidi" w:cstheme="majorBidi"/>
          <w:sz w:val="24"/>
          <w:szCs w:val="24"/>
        </w:rPr>
        <w:t>s,</w:t>
      </w:r>
      <w:r w:rsidR="006536C0" w:rsidRPr="00D944B1">
        <w:rPr>
          <w:rFonts w:asciiTheme="majorBidi" w:hAnsiTheme="majorBidi" w:cstheme="majorBidi"/>
          <w:sz w:val="24"/>
          <w:szCs w:val="24"/>
        </w:rPr>
        <w:t xml:space="preserve"> et</w:t>
      </w:r>
      <w:r w:rsidR="00162F59" w:rsidRPr="00D944B1">
        <w:rPr>
          <w:rFonts w:asciiTheme="majorBidi" w:hAnsiTheme="majorBidi" w:cstheme="majorBidi"/>
          <w:sz w:val="24"/>
          <w:szCs w:val="24"/>
        </w:rPr>
        <w:t xml:space="preserve"> on</w:t>
      </w:r>
      <w:r w:rsidR="006536C0" w:rsidRPr="00D944B1">
        <w:rPr>
          <w:rFonts w:asciiTheme="majorBidi" w:hAnsiTheme="majorBidi" w:cstheme="majorBidi"/>
          <w:sz w:val="24"/>
          <w:szCs w:val="24"/>
        </w:rPr>
        <w:t xml:space="preserve"> exige </w:t>
      </w:r>
      <w:r w:rsidR="00DC043A" w:rsidRPr="00D944B1">
        <w:rPr>
          <w:rFonts w:asciiTheme="majorBidi" w:hAnsiTheme="majorBidi" w:cstheme="majorBidi"/>
          <w:sz w:val="24"/>
          <w:szCs w:val="24"/>
        </w:rPr>
        <w:t>que celles-ci maintiennent un ratio de 100 pour cent ou plus. Ce ratio est obtenu en divisant la marge de solvabilité (MS) par la marge de solvabilité  minimal (requise) ou bien ce qu’on appel la marge de solvabilité réglementaire (MSR)</w:t>
      </w:r>
      <w:r w:rsidRPr="00D944B1">
        <w:rPr>
          <w:rFonts w:asciiTheme="majorBidi" w:hAnsiTheme="majorBidi" w:cstheme="majorBidi"/>
          <w:sz w:val="24"/>
          <w:szCs w:val="24"/>
        </w:rPr>
        <w:t>.</w:t>
      </w:r>
      <w:r w:rsidR="00DC043A" w:rsidRPr="00D944B1">
        <w:rPr>
          <w:rFonts w:asciiTheme="majorBidi" w:hAnsiTheme="majorBidi" w:cstheme="majorBidi"/>
          <w:sz w:val="24"/>
          <w:szCs w:val="24"/>
        </w:rPr>
        <w:t xml:space="preserve"> </w:t>
      </w:r>
    </w:p>
    <w:p w:rsidR="00B15AD8" w:rsidRPr="00D944B1" w:rsidRDefault="009747FD" w:rsidP="00E14D65">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noProof/>
          <w:sz w:val="24"/>
          <w:szCs w:val="24"/>
        </w:rPr>
        <w:pict>
          <v:rect id="_x0000_s1026" style="position:absolute;left:0;text-align:left;margin-left:17.8pt;margin-top:9.9pt;width:421.85pt;height:48.7pt;z-index:251658240" fillcolor="#b2a1c7 [1943]" strokecolor="#b2a1c7 [1943]" strokeweight="1pt">
            <v:fill color2="#e5dfec [663]" angle="-45" focus="-50%" type="gradient"/>
            <v:shadow on="t" type="perspective" color="#3f3151 [1607]" opacity=".5" offset="1pt" offset2="-3pt"/>
            <v:textbox style="mso-next-textbox:#_x0000_s1026">
              <w:txbxContent>
                <w:p w:rsidR="00CD7EEF" w:rsidRPr="00B15AD8" w:rsidRDefault="00CD7EEF" w:rsidP="00EF790F">
                  <w:pPr>
                    <w:jc w:val="center"/>
                    <w:rPr>
                      <w:b/>
                      <w:bCs/>
                      <w:sz w:val="24"/>
                      <w:szCs w:val="24"/>
                    </w:rPr>
                  </w:pPr>
                  <m:oMath>
                    <m:r>
                      <m:rPr>
                        <m:sty m:val="bi"/>
                      </m:rPr>
                      <w:rPr>
                        <w:rFonts w:ascii="Cambria Math" w:hAnsi="Cambria Math" w:cs="Cambria Math"/>
                        <w:sz w:val="28"/>
                        <w:szCs w:val="28"/>
                      </w:rPr>
                      <m:t>ratio de solvabilité</m:t>
                    </m:r>
                    <m:r>
                      <m:rPr>
                        <m:sty m:val="p"/>
                      </m:rPr>
                      <w:rPr>
                        <w:rFonts w:ascii="Cambria Math" w:hAnsi="Cambria Math" w:cs="Cambria Math"/>
                        <w:sz w:val="28"/>
                        <w:szCs w:val="28"/>
                      </w:rPr>
                      <m:t>=</m:t>
                    </m:r>
                    <m:f>
                      <m:fPr>
                        <m:ctrlPr>
                          <w:rPr>
                            <w:rFonts w:ascii="Cambria Math" w:hAnsi="Cambria Math"/>
                            <w:b/>
                            <w:bCs/>
                            <w:sz w:val="28"/>
                            <w:szCs w:val="28"/>
                          </w:rPr>
                        </m:ctrlPr>
                      </m:fPr>
                      <m:num>
                        <m:r>
                          <m:rPr>
                            <m:sty m:val="b"/>
                          </m:rPr>
                          <w:rPr>
                            <w:rFonts w:ascii="Cambria Math" w:hAnsi="Cambria Math" w:cs="Cambria Math"/>
                            <w:sz w:val="28"/>
                            <w:szCs w:val="28"/>
                          </w:rPr>
                          <m:t xml:space="preserve">marge de solvabilité </m:t>
                        </m:r>
                        <m:d>
                          <m:dPr>
                            <m:ctrlPr>
                              <w:rPr>
                                <w:rFonts w:ascii="Cambria Math" w:hAnsi="Cambria Math" w:cs="Cambria Math"/>
                                <w:b/>
                                <w:bCs/>
                                <w:sz w:val="28"/>
                                <w:szCs w:val="28"/>
                              </w:rPr>
                            </m:ctrlPr>
                          </m:dPr>
                          <m:e>
                            <m:r>
                              <m:rPr>
                                <m:sty m:val="b"/>
                              </m:rPr>
                              <w:rPr>
                                <w:rFonts w:ascii="Cambria Math" w:hAnsi="Cambria Math" w:cs="Cambria Math"/>
                                <w:sz w:val="28"/>
                                <w:szCs w:val="28"/>
                              </w:rPr>
                              <m:t>disponible</m:t>
                            </m:r>
                          </m:e>
                        </m:d>
                        <m:r>
                          <m:rPr>
                            <m:sty m:val="b"/>
                          </m:rPr>
                          <w:rPr>
                            <w:rFonts w:ascii="Cambria Math" w:hAnsi="Cambria Math" w:cs="Cambria Math"/>
                            <w:sz w:val="28"/>
                            <w:szCs w:val="28"/>
                          </w:rPr>
                          <m:t>(MS)</m:t>
                        </m:r>
                      </m:num>
                      <m:den>
                        <m:r>
                          <m:rPr>
                            <m:sty m:val="b"/>
                          </m:rPr>
                          <w:rPr>
                            <w:rFonts w:ascii="Cambria Math" w:hAnsi="Cambria Math" w:cs="Cambria Math"/>
                            <w:sz w:val="28"/>
                            <w:szCs w:val="28"/>
                          </w:rPr>
                          <m:t>marge de solvabilité réglémentaire(MSR)</m:t>
                        </m:r>
                      </m:den>
                    </m:f>
                  </m:oMath>
                  <w:r>
                    <w:rPr>
                      <w:rFonts w:cstheme="minorHAnsi"/>
                      <w:b/>
                      <w:bCs/>
                      <w:sz w:val="28"/>
                      <w:szCs w:val="28"/>
                    </w:rPr>
                    <w:t>≥</w:t>
                  </w:r>
                  <w:r>
                    <w:rPr>
                      <w:b/>
                      <w:bCs/>
                      <w:sz w:val="28"/>
                      <w:szCs w:val="28"/>
                    </w:rPr>
                    <w:t>100%</w:t>
                  </w:r>
                </w:p>
              </w:txbxContent>
            </v:textbox>
          </v:rect>
        </w:pict>
      </w:r>
    </w:p>
    <w:p w:rsidR="00DC043A" w:rsidRPr="00D944B1" w:rsidRDefault="00DC043A" w:rsidP="00E14D65">
      <w:pPr>
        <w:pStyle w:val="Paragraphedeliste"/>
        <w:spacing w:after="0" w:line="360" w:lineRule="auto"/>
        <w:ind w:left="0"/>
        <w:jc w:val="both"/>
        <w:rPr>
          <w:rFonts w:asciiTheme="majorBidi" w:hAnsiTheme="majorBidi" w:cstheme="majorBidi"/>
          <w:sz w:val="24"/>
          <w:szCs w:val="24"/>
        </w:rPr>
      </w:pPr>
    </w:p>
    <w:p w:rsidR="00B15AD8" w:rsidRPr="00D944B1" w:rsidRDefault="00B15AD8" w:rsidP="00E14D65">
      <w:pPr>
        <w:pStyle w:val="Paragraphedeliste"/>
        <w:spacing w:after="0" w:line="360" w:lineRule="auto"/>
        <w:ind w:left="0"/>
        <w:jc w:val="both"/>
        <w:rPr>
          <w:rFonts w:asciiTheme="majorBidi" w:hAnsiTheme="majorBidi" w:cstheme="majorBidi"/>
          <w:sz w:val="24"/>
          <w:szCs w:val="24"/>
        </w:rPr>
      </w:pPr>
    </w:p>
    <w:p w:rsidR="00D6061A" w:rsidRDefault="00D6061A" w:rsidP="00E14D65">
      <w:pPr>
        <w:pStyle w:val="Paragraphedeliste"/>
        <w:spacing w:after="0" w:line="360" w:lineRule="auto"/>
        <w:ind w:left="0"/>
        <w:jc w:val="both"/>
        <w:rPr>
          <w:rFonts w:asciiTheme="majorBidi" w:hAnsiTheme="majorBidi" w:cstheme="majorBidi"/>
          <w:sz w:val="24"/>
          <w:szCs w:val="24"/>
        </w:rPr>
      </w:pPr>
    </w:p>
    <w:p w:rsidR="00EF790F" w:rsidRPr="00D944B1" w:rsidRDefault="00EF790F" w:rsidP="00E14D65">
      <w:pPr>
        <w:pStyle w:val="Paragraphedeliste"/>
        <w:spacing w:after="0" w:line="240" w:lineRule="auto"/>
        <w:ind w:left="0"/>
        <w:jc w:val="both"/>
        <w:rPr>
          <w:rFonts w:asciiTheme="majorBidi" w:hAnsiTheme="majorBidi" w:cstheme="majorBidi"/>
          <w:sz w:val="24"/>
          <w:szCs w:val="24"/>
        </w:rPr>
      </w:pPr>
    </w:p>
    <w:p w:rsidR="00EF790F" w:rsidRDefault="00B15AD8" w:rsidP="00E14D65">
      <w:pPr>
        <w:pStyle w:val="Paragraphedeliste"/>
        <w:numPr>
          <w:ilvl w:val="2"/>
          <w:numId w:val="1"/>
        </w:numPr>
        <w:spacing w:after="0" w:line="360" w:lineRule="auto"/>
        <w:jc w:val="both"/>
        <w:rPr>
          <w:rFonts w:asciiTheme="majorBidi" w:hAnsiTheme="majorBidi" w:cstheme="majorBidi"/>
          <w:b/>
          <w:bCs/>
          <w:sz w:val="28"/>
          <w:szCs w:val="28"/>
        </w:rPr>
      </w:pPr>
      <w:r w:rsidRPr="00536949">
        <w:rPr>
          <w:rFonts w:asciiTheme="majorBidi" w:hAnsiTheme="majorBidi" w:cstheme="majorBidi"/>
          <w:b/>
          <w:bCs/>
          <w:sz w:val="28"/>
          <w:szCs w:val="28"/>
        </w:rPr>
        <w:t>La marge de solvabilité</w:t>
      </w:r>
      <w:r w:rsidR="00BD162B" w:rsidRPr="00536949">
        <w:rPr>
          <w:rFonts w:asciiTheme="majorBidi" w:hAnsiTheme="majorBidi" w:cstheme="majorBidi"/>
          <w:b/>
          <w:bCs/>
          <w:sz w:val="28"/>
          <w:szCs w:val="28"/>
        </w:rPr>
        <w:t xml:space="preserve"> </w:t>
      </w:r>
      <w:r w:rsidRPr="00536949">
        <w:rPr>
          <w:rFonts w:asciiTheme="majorBidi" w:hAnsiTheme="majorBidi" w:cstheme="majorBidi"/>
          <w:b/>
          <w:bCs/>
          <w:sz w:val="28"/>
          <w:szCs w:val="28"/>
        </w:rPr>
        <w:t xml:space="preserve"> (MS)</w:t>
      </w:r>
      <w:r w:rsidR="00CD5454" w:rsidRPr="00536949">
        <w:rPr>
          <w:rFonts w:asciiTheme="majorBidi" w:hAnsiTheme="majorBidi" w:cstheme="majorBidi"/>
          <w:b/>
          <w:bCs/>
          <w:sz w:val="28"/>
          <w:szCs w:val="28"/>
        </w:rPr>
        <w:t xml:space="preserve"> (disponible</w:t>
      </w:r>
      <w:r w:rsidR="00BD162B" w:rsidRPr="00536949">
        <w:rPr>
          <w:rFonts w:asciiTheme="majorBidi" w:hAnsiTheme="majorBidi" w:cstheme="majorBidi"/>
          <w:b/>
          <w:bCs/>
          <w:sz w:val="28"/>
          <w:szCs w:val="28"/>
        </w:rPr>
        <w:t>)</w:t>
      </w:r>
    </w:p>
    <w:p w:rsidR="00BD162B" w:rsidRPr="00EF790F" w:rsidRDefault="00B15AD8" w:rsidP="00E14D65">
      <w:pPr>
        <w:spacing w:after="0" w:line="240" w:lineRule="auto"/>
        <w:jc w:val="both"/>
        <w:rPr>
          <w:rFonts w:asciiTheme="majorBidi" w:hAnsiTheme="majorBidi" w:cstheme="majorBidi"/>
          <w:b/>
          <w:bCs/>
          <w:sz w:val="28"/>
          <w:szCs w:val="28"/>
        </w:rPr>
      </w:pPr>
      <w:r w:rsidRPr="00EF790F">
        <w:rPr>
          <w:rFonts w:asciiTheme="majorBidi" w:hAnsiTheme="majorBidi" w:cstheme="majorBidi"/>
          <w:b/>
          <w:bCs/>
          <w:sz w:val="28"/>
          <w:szCs w:val="28"/>
        </w:rPr>
        <w:t xml:space="preserve"> </w:t>
      </w:r>
    </w:p>
    <w:p w:rsidR="004C12E5" w:rsidRDefault="00BD162B" w:rsidP="00E14D65">
      <w:pPr>
        <w:pStyle w:val="Paragraphedeliste"/>
        <w:spacing w:line="360" w:lineRule="auto"/>
        <w:ind w:left="0"/>
        <w:jc w:val="both"/>
        <w:rPr>
          <w:rFonts w:asciiTheme="majorBidi" w:hAnsiTheme="majorBidi" w:cstheme="majorBidi"/>
          <w:sz w:val="24"/>
          <w:szCs w:val="24"/>
        </w:rPr>
      </w:pPr>
      <w:r w:rsidRPr="00D944B1">
        <w:rPr>
          <w:rFonts w:asciiTheme="majorBidi" w:hAnsiTheme="majorBidi" w:cstheme="majorBidi"/>
          <w:b/>
          <w:bCs/>
          <w:sz w:val="24"/>
          <w:szCs w:val="24"/>
        </w:rPr>
        <w:tab/>
      </w:r>
      <w:r w:rsidR="00636458" w:rsidRPr="00D944B1">
        <w:rPr>
          <w:rFonts w:asciiTheme="majorBidi" w:hAnsiTheme="majorBidi" w:cstheme="majorBidi"/>
          <w:sz w:val="24"/>
          <w:szCs w:val="24"/>
        </w:rPr>
        <w:t>Cette marge désigne le montant</w:t>
      </w:r>
      <w:r w:rsidR="009913C0" w:rsidRPr="00D944B1">
        <w:rPr>
          <w:rFonts w:asciiTheme="majorBidi" w:hAnsiTheme="majorBidi" w:cstheme="majorBidi"/>
          <w:sz w:val="24"/>
          <w:szCs w:val="24"/>
        </w:rPr>
        <w:t xml:space="preserve"> </w:t>
      </w:r>
      <w:r w:rsidR="00636458" w:rsidRPr="00D944B1">
        <w:rPr>
          <w:rFonts w:asciiTheme="majorBidi" w:hAnsiTheme="majorBidi" w:cstheme="majorBidi"/>
          <w:sz w:val="24"/>
          <w:szCs w:val="24"/>
        </w:rPr>
        <w:t xml:space="preserve"> </w:t>
      </w:r>
      <w:r w:rsidR="009913C0" w:rsidRPr="00D944B1">
        <w:rPr>
          <w:rFonts w:asciiTheme="majorBidi" w:hAnsiTheme="majorBidi" w:cstheme="majorBidi"/>
          <w:sz w:val="24"/>
          <w:szCs w:val="24"/>
        </w:rPr>
        <w:t>qu’un assureur</w:t>
      </w:r>
      <w:r w:rsidR="00CD5454" w:rsidRPr="00D944B1">
        <w:rPr>
          <w:rFonts w:asciiTheme="majorBidi" w:hAnsiTheme="majorBidi" w:cstheme="majorBidi"/>
          <w:sz w:val="24"/>
          <w:szCs w:val="24"/>
        </w:rPr>
        <w:t xml:space="preserve"> conserve en plus de son passif, par exemple, les provisions techniques, c'est-à-dire une capacité de paiement excédentaire.</w:t>
      </w:r>
      <w:r w:rsidR="006937FB" w:rsidRPr="00D944B1">
        <w:rPr>
          <w:rFonts w:asciiTheme="majorBidi" w:hAnsiTheme="majorBidi" w:cstheme="majorBidi"/>
          <w:sz w:val="24"/>
          <w:szCs w:val="24"/>
        </w:rPr>
        <w:t xml:space="preserve"> </w:t>
      </w:r>
    </w:p>
    <w:p w:rsidR="004C12E5" w:rsidRPr="00D944B1" w:rsidRDefault="004C12E5" w:rsidP="00E14D65">
      <w:pPr>
        <w:pStyle w:val="Paragraphedeliste"/>
        <w:spacing w:before="240" w:line="240" w:lineRule="auto"/>
        <w:ind w:left="0"/>
        <w:jc w:val="both"/>
        <w:rPr>
          <w:rFonts w:asciiTheme="majorBidi" w:hAnsiTheme="majorBidi" w:cstheme="majorBidi"/>
          <w:sz w:val="24"/>
          <w:szCs w:val="24"/>
        </w:rPr>
      </w:pPr>
    </w:p>
    <w:p w:rsidR="004C12E5" w:rsidRPr="00D944B1" w:rsidRDefault="00F83DA3" w:rsidP="0076679D">
      <w:pPr>
        <w:pStyle w:val="Paragraphedeliste"/>
        <w:spacing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ab/>
      </w:r>
      <w:r w:rsidR="00D92284" w:rsidRPr="00D944B1">
        <w:rPr>
          <w:rFonts w:asciiTheme="majorBidi" w:hAnsiTheme="majorBidi" w:cstheme="majorBidi"/>
          <w:b/>
          <w:bCs/>
          <w:sz w:val="24"/>
          <w:szCs w:val="24"/>
        </w:rPr>
        <w:t>En Algérie c</w:t>
      </w:r>
      <w:r w:rsidR="002E3FBE" w:rsidRPr="00D944B1">
        <w:rPr>
          <w:rFonts w:asciiTheme="majorBidi" w:hAnsiTheme="majorBidi" w:cstheme="majorBidi"/>
          <w:b/>
          <w:bCs/>
          <w:sz w:val="24"/>
          <w:szCs w:val="24"/>
        </w:rPr>
        <w:t>ette solvabilité est définie</w:t>
      </w:r>
      <w:r w:rsidR="002E3FBE" w:rsidRPr="00D944B1">
        <w:rPr>
          <w:rFonts w:asciiTheme="majorBidi" w:hAnsiTheme="majorBidi" w:cstheme="majorBidi"/>
          <w:sz w:val="24"/>
          <w:szCs w:val="24"/>
        </w:rPr>
        <w:t xml:space="preserve"> </w:t>
      </w:r>
      <w:r w:rsidR="002E3FBE" w:rsidRPr="00D944B1">
        <w:rPr>
          <w:rFonts w:asciiTheme="majorBidi" w:hAnsiTheme="majorBidi" w:cstheme="majorBidi"/>
          <w:b/>
          <w:bCs/>
          <w:sz w:val="24"/>
          <w:szCs w:val="24"/>
        </w:rPr>
        <w:t>par:</w:t>
      </w:r>
      <w:r w:rsidR="002E3FBE" w:rsidRPr="00D944B1">
        <w:rPr>
          <w:rFonts w:asciiTheme="majorBidi" w:hAnsiTheme="majorBidi" w:cstheme="majorBidi"/>
          <w:sz w:val="24"/>
          <w:szCs w:val="24"/>
        </w:rPr>
        <w:t xml:space="preserve"> </w:t>
      </w:r>
      <w:r w:rsidR="006937FB" w:rsidRPr="00D944B1">
        <w:rPr>
          <w:rFonts w:asciiTheme="majorBidi" w:hAnsiTheme="majorBidi" w:cstheme="majorBidi"/>
          <w:sz w:val="24"/>
          <w:szCs w:val="24"/>
        </w:rPr>
        <w:t>« </w:t>
      </w:r>
      <w:r w:rsidR="00CD5454" w:rsidRPr="00D944B1">
        <w:rPr>
          <w:rFonts w:asciiTheme="majorBidi" w:hAnsiTheme="majorBidi" w:cstheme="majorBidi"/>
          <w:sz w:val="24"/>
          <w:szCs w:val="24"/>
        </w:rPr>
        <w:t xml:space="preserve"> </w:t>
      </w:r>
      <w:r w:rsidR="006937FB" w:rsidRPr="00D944B1">
        <w:rPr>
          <w:rFonts w:asciiTheme="majorBidi" w:hAnsiTheme="majorBidi" w:cstheme="majorBidi"/>
          <w:sz w:val="24"/>
          <w:szCs w:val="24"/>
        </w:rPr>
        <w:t xml:space="preserve">La solvabilité des sociétés d'assurance et/ou de réassurance, doit être matérialisée par la justification de l'existence d'un supplément </w:t>
      </w:r>
      <w:r w:rsidR="006937FB" w:rsidRPr="00D944B1">
        <w:rPr>
          <w:rFonts w:asciiTheme="majorBidi" w:hAnsiTheme="majorBidi" w:cstheme="majorBidi"/>
          <w:sz w:val="24"/>
          <w:szCs w:val="24"/>
        </w:rPr>
        <w:lastRenderedPageBreak/>
        <w:t>aux dettes techniques</w:t>
      </w:r>
      <w:r w:rsidR="0076679D" w:rsidRPr="0076679D">
        <w:rPr>
          <w:rStyle w:val="Appelnotedebasdep"/>
        </w:rPr>
        <w:footnoteReference w:customMarkFollows="1" w:id="4"/>
        <w:sym w:font="Symbol" w:char="F02A"/>
      </w:r>
      <w:r w:rsidR="006937FB" w:rsidRPr="00D944B1">
        <w:rPr>
          <w:rFonts w:asciiTheme="majorBidi" w:hAnsiTheme="majorBidi" w:cstheme="majorBidi"/>
          <w:sz w:val="24"/>
          <w:szCs w:val="24"/>
        </w:rPr>
        <w:t xml:space="preserve"> ou marge de solvabilité. Ce supplément ou marge de</w:t>
      </w:r>
      <w:r w:rsidR="00D92284" w:rsidRPr="00D944B1">
        <w:rPr>
          <w:rFonts w:asciiTheme="majorBidi" w:hAnsiTheme="majorBidi" w:cstheme="majorBidi"/>
          <w:sz w:val="24"/>
          <w:szCs w:val="24"/>
        </w:rPr>
        <w:t xml:space="preserve"> solvabilité est constituée par</w:t>
      </w:r>
      <w:r w:rsidR="006937FB" w:rsidRPr="00D944B1">
        <w:rPr>
          <w:rFonts w:asciiTheme="majorBidi" w:hAnsiTheme="majorBidi" w:cstheme="majorBidi"/>
          <w:sz w:val="24"/>
          <w:szCs w:val="24"/>
        </w:rPr>
        <w:t>:</w:t>
      </w:r>
    </w:p>
    <w:p w:rsidR="005A39BB" w:rsidRPr="00D944B1" w:rsidRDefault="005A39BB" w:rsidP="00E14D65">
      <w:pPr>
        <w:pStyle w:val="Paragraphedeliste"/>
        <w:numPr>
          <w:ilvl w:val="0"/>
          <w:numId w:val="2"/>
        </w:numPr>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xml:space="preserve"> L</w:t>
      </w:r>
      <w:r w:rsidR="006937FB" w:rsidRPr="00D944B1">
        <w:rPr>
          <w:rFonts w:asciiTheme="majorBidi" w:hAnsiTheme="majorBidi" w:cstheme="majorBidi"/>
          <w:sz w:val="24"/>
          <w:szCs w:val="24"/>
        </w:rPr>
        <w:t>a portion de capital social ou de fonds d'établissement libéré ;</w:t>
      </w:r>
    </w:p>
    <w:p w:rsidR="005A39BB" w:rsidRPr="00D944B1" w:rsidRDefault="005A39BB" w:rsidP="00E14D65">
      <w:pPr>
        <w:pStyle w:val="Paragraphedeliste"/>
        <w:numPr>
          <w:ilvl w:val="0"/>
          <w:numId w:val="2"/>
        </w:numPr>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xml:space="preserve"> L</w:t>
      </w:r>
      <w:r w:rsidR="006937FB" w:rsidRPr="00D944B1">
        <w:rPr>
          <w:rFonts w:asciiTheme="majorBidi" w:hAnsiTheme="majorBidi" w:cstheme="majorBidi"/>
          <w:sz w:val="24"/>
          <w:szCs w:val="24"/>
        </w:rPr>
        <w:t xml:space="preserve">es réserves réglementées ou non, constituées par l'organisme d'assurance, même si elles ne correspondent pas à des engagements envers les assurés ou les tiers ; </w:t>
      </w:r>
    </w:p>
    <w:p w:rsidR="005A39BB" w:rsidRPr="00D944B1" w:rsidRDefault="005A39BB" w:rsidP="00E14D65">
      <w:pPr>
        <w:pStyle w:val="Paragraphedeliste"/>
        <w:numPr>
          <w:ilvl w:val="0"/>
          <w:numId w:val="2"/>
        </w:numPr>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xml:space="preserve"> L</w:t>
      </w:r>
      <w:r w:rsidR="006937FB" w:rsidRPr="00D944B1">
        <w:rPr>
          <w:rFonts w:asciiTheme="majorBidi" w:hAnsiTheme="majorBidi" w:cstheme="majorBidi"/>
          <w:sz w:val="24"/>
          <w:szCs w:val="24"/>
        </w:rPr>
        <w:t>a provision de garantie ;</w:t>
      </w:r>
    </w:p>
    <w:p w:rsidR="005A39BB" w:rsidRPr="00D944B1" w:rsidRDefault="005A39BB" w:rsidP="00E14D65">
      <w:pPr>
        <w:pStyle w:val="Paragraphedeliste"/>
        <w:numPr>
          <w:ilvl w:val="0"/>
          <w:numId w:val="2"/>
        </w:numPr>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xml:space="preserve"> L</w:t>
      </w:r>
      <w:r w:rsidR="006937FB" w:rsidRPr="00D944B1">
        <w:rPr>
          <w:rFonts w:asciiTheme="majorBidi" w:hAnsiTheme="majorBidi" w:cstheme="majorBidi"/>
          <w:sz w:val="24"/>
          <w:szCs w:val="24"/>
        </w:rPr>
        <w:t>a provision pour complément obligatoire aux dettes techniques ;</w:t>
      </w:r>
    </w:p>
    <w:p w:rsidR="0018678A" w:rsidRDefault="005A39BB" w:rsidP="00823D02">
      <w:pPr>
        <w:pStyle w:val="Paragraphedeliste"/>
        <w:numPr>
          <w:ilvl w:val="0"/>
          <w:numId w:val="2"/>
        </w:numPr>
        <w:spacing w:line="360" w:lineRule="auto"/>
        <w:jc w:val="both"/>
        <w:rPr>
          <w:rFonts w:asciiTheme="majorBidi" w:hAnsiTheme="majorBidi" w:cstheme="majorBidi"/>
          <w:sz w:val="24"/>
          <w:szCs w:val="24"/>
        </w:rPr>
      </w:pPr>
      <w:r w:rsidRPr="00D944B1">
        <w:rPr>
          <w:rFonts w:asciiTheme="majorBidi" w:hAnsiTheme="majorBidi" w:cstheme="majorBidi"/>
          <w:sz w:val="24"/>
          <w:szCs w:val="24"/>
        </w:rPr>
        <w:t>L</w:t>
      </w:r>
      <w:r w:rsidR="006937FB" w:rsidRPr="00D944B1">
        <w:rPr>
          <w:rFonts w:asciiTheme="majorBidi" w:hAnsiTheme="majorBidi" w:cstheme="majorBidi"/>
          <w:sz w:val="24"/>
          <w:szCs w:val="24"/>
        </w:rPr>
        <w:t>es autres provisions réglementées ou non, qui ne correspondent pas à des engagements envers les assurés ou des tiers, à l'exclusion néanmoins, des provisions pour engagement prévisible ou pour dépréciation d'éléments d'actifs.</w:t>
      </w:r>
      <w:r w:rsidR="006937FB" w:rsidRPr="00D944B1">
        <w:rPr>
          <w:rFonts w:asciiTheme="majorBidi" w:hAnsiTheme="majorBidi" w:cstheme="majorBidi"/>
          <w:sz w:val="21"/>
          <w:szCs w:val="21"/>
        </w:rPr>
        <w:t xml:space="preserve"> »</w:t>
      </w:r>
      <w:r w:rsidR="00CD5454" w:rsidRPr="00D944B1">
        <w:rPr>
          <w:rFonts w:asciiTheme="majorBidi" w:hAnsiTheme="majorBidi" w:cstheme="majorBidi"/>
          <w:sz w:val="24"/>
          <w:szCs w:val="24"/>
        </w:rPr>
        <w:t xml:space="preserve"> </w:t>
      </w:r>
    </w:p>
    <w:p w:rsidR="0018678A" w:rsidRPr="0018678A" w:rsidRDefault="0018678A" w:rsidP="00E14D65">
      <w:pPr>
        <w:pStyle w:val="Paragraphedeliste"/>
        <w:spacing w:after="0" w:line="240" w:lineRule="auto"/>
        <w:ind w:left="420"/>
        <w:jc w:val="both"/>
        <w:rPr>
          <w:rFonts w:asciiTheme="majorBidi" w:hAnsiTheme="majorBidi" w:cstheme="majorBidi"/>
          <w:sz w:val="24"/>
          <w:szCs w:val="24"/>
        </w:rPr>
      </w:pPr>
    </w:p>
    <w:p w:rsidR="00D92284" w:rsidRPr="00D944B1" w:rsidRDefault="00725F06" w:rsidP="00E14D65">
      <w:pPr>
        <w:pStyle w:val="Paragraphedeliste"/>
        <w:spacing w:line="360" w:lineRule="auto"/>
        <w:ind w:left="0"/>
        <w:jc w:val="both"/>
        <w:rPr>
          <w:rFonts w:asciiTheme="majorBidi" w:hAnsiTheme="majorBidi" w:cstheme="majorBidi"/>
          <w:sz w:val="24"/>
          <w:szCs w:val="24"/>
        </w:rPr>
      </w:pPr>
      <w:r w:rsidRPr="00D944B1">
        <w:rPr>
          <w:rFonts w:asciiTheme="majorBidi" w:hAnsiTheme="majorBidi" w:cstheme="majorBidi"/>
          <w:b/>
          <w:bCs/>
          <w:sz w:val="24"/>
          <w:szCs w:val="24"/>
        </w:rPr>
        <w:tab/>
      </w:r>
      <w:r w:rsidR="00D92284" w:rsidRPr="00D944B1">
        <w:rPr>
          <w:rFonts w:asciiTheme="majorBidi" w:hAnsiTheme="majorBidi" w:cstheme="majorBidi"/>
          <w:b/>
          <w:bCs/>
          <w:sz w:val="24"/>
          <w:szCs w:val="24"/>
        </w:rPr>
        <w:t>En Tunisie elle est définie par: « </w:t>
      </w:r>
      <w:r w:rsidR="00D92284" w:rsidRPr="00D944B1">
        <w:rPr>
          <w:rFonts w:asciiTheme="majorBidi" w:hAnsiTheme="majorBidi" w:cstheme="majorBidi"/>
          <w:sz w:val="24"/>
          <w:szCs w:val="24"/>
        </w:rPr>
        <w:t>Les entreprises d'assurances doivent constituer une marge de solvabilité suffisante pour toutes leurs opérations. La marge de solvabilité est constituée, après déduction des pertes et des actifs incorporels, par les éléments suivants :</w:t>
      </w:r>
    </w:p>
    <w:p w:rsidR="00D92284" w:rsidRPr="00D944B1" w:rsidRDefault="00725F06" w:rsidP="00E14D65">
      <w:pPr>
        <w:pStyle w:val="Paragraphedeliste"/>
        <w:numPr>
          <w:ilvl w:val="0"/>
          <w:numId w:val="3"/>
        </w:numPr>
        <w:tabs>
          <w:tab w:val="left" w:pos="426"/>
        </w:tabs>
        <w:spacing w:line="360" w:lineRule="auto"/>
        <w:ind w:left="0" w:firstLine="0"/>
        <w:jc w:val="both"/>
        <w:rPr>
          <w:rFonts w:asciiTheme="majorBidi" w:hAnsiTheme="majorBidi" w:cstheme="majorBidi"/>
          <w:sz w:val="24"/>
          <w:szCs w:val="24"/>
        </w:rPr>
      </w:pPr>
      <w:r w:rsidRPr="00D944B1">
        <w:rPr>
          <w:rFonts w:asciiTheme="majorBidi" w:hAnsiTheme="majorBidi" w:cstheme="majorBidi"/>
          <w:sz w:val="24"/>
          <w:szCs w:val="24"/>
        </w:rPr>
        <w:t>Le</w:t>
      </w:r>
      <w:r w:rsidR="00D92284" w:rsidRPr="00D944B1">
        <w:rPr>
          <w:rFonts w:asciiTheme="majorBidi" w:hAnsiTheme="majorBidi" w:cstheme="majorBidi"/>
          <w:sz w:val="24"/>
          <w:szCs w:val="24"/>
        </w:rPr>
        <w:t xml:space="preserve"> capital social entièrement libéré ou fonds d'établissement constitué et la moitié (50%) de la fraction non libérée du capital social,</w:t>
      </w:r>
    </w:p>
    <w:p w:rsidR="00D92284" w:rsidRPr="00D944B1" w:rsidRDefault="00725F06" w:rsidP="00E14D65">
      <w:pPr>
        <w:pStyle w:val="Paragraphedeliste"/>
        <w:numPr>
          <w:ilvl w:val="0"/>
          <w:numId w:val="3"/>
        </w:numPr>
        <w:tabs>
          <w:tab w:val="left" w:pos="426"/>
        </w:tabs>
        <w:spacing w:line="360" w:lineRule="auto"/>
        <w:ind w:left="0" w:firstLine="0"/>
        <w:jc w:val="both"/>
        <w:rPr>
          <w:rFonts w:asciiTheme="majorBidi" w:hAnsiTheme="majorBidi" w:cstheme="majorBidi"/>
          <w:sz w:val="24"/>
          <w:szCs w:val="24"/>
        </w:rPr>
      </w:pPr>
      <w:r w:rsidRPr="00D944B1">
        <w:rPr>
          <w:rFonts w:asciiTheme="majorBidi" w:hAnsiTheme="majorBidi" w:cstheme="majorBidi"/>
          <w:sz w:val="24"/>
          <w:szCs w:val="24"/>
        </w:rPr>
        <w:t xml:space="preserve"> L</w:t>
      </w:r>
      <w:r w:rsidR="00D92284" w:rsidRPr="00D944B1">
        <w:rPr>
          <w:rFonts w:asciiTheme="majorBidi" w:hAnsiTheme="majorBidi" w:cstheme="majorBidi"/>
          <w:sz w:val="24"/>
          <w:szCs w:val="24"/>
        </w:rPr>
        <w:t>es réserves légales, les réserves statutaires et les réserves facultatives,</w:t>
      </w:r>
    </w:p>
    <w:p w:rsidR="00D92284" w:rsidRPr="00D944B1" w:rsidRDefault="00725F06" w:rsidP="00E14D65">
      <w:pPr>
        <w:pStyle w:val="Paragraphedeliste"/>
        <w:numPr>
          <w:ilvl w:val="0"/>
          <w:numId w:val="3"/>
        </w:numPr>
        <w:tabs>
          <w:tab w:val="left" w:pos="426"/>
        </w:tabs>
        <w:spacing w:line="360" w:lineRule="auto"/>
        <w:ind w:left="0" w:firstLine="0"/>
        <w:jc w:val="both"/>
        <w:rPr>
          <w:rFonts w:asciiTheme="majorBidi" w:hAnsiTheme="majorBidi" w:cstheme="majorBidi"/>
          <w:sz w:val="24"/>
          <w:szCs w:val="24"/>
        </w:rPr>
      </w:pPr>
      <w:r w:rsidRPr="00D944B1">
        <w:rPr>
          <w:rFonts w:asciiTheme="majorBidi" w:hAnsiTheme="majorBidi" w:cstheme="majorBidi"/>
          <w:sz w:val="24"/>
          <w:szCs w:val="24"/>
        </w:rPr>
        <w:t>L</w:t>
      </w:r>
      <w:r w:rsidR="00D92284" w:rsidRPr="00D944B1">
        <w:rPr>
          <w:rFonts w:asciiTheme="majorBidi" w:hAnsiTheme="majorBidi" w:cstheme="majorBidi"/>
          <w:sz w:val="24"/>
          <w:szCs w:val="24"/>
        </w:rPr>
        <w:t>es bénéfices reportés,</w:t>
      </w:r>
    </w:p>
    <w:p w:rsidR="00D92284" w:rsidRPr="00D944B1" w:rsidRDefault="00725F06" w:rsidP="00E14D65">
      <w:pPr>
        <w:pStyle w:val="Paragraphedeliste"/>
        <w:numPr>
          <w:ilvl w:val="0"/>
          <w:numId w:val="3"/>
        </w:numPr>
        <w:tabs>
          <w:tab w:val="left" w:pos="426"/>
        </w:tabs>
        <w:spacing w:line="360" w:lineRule="auto"/>
        <w:ind w:left="0" w:firstLine="0"/>
        <w:jc w:val="both"/>
        <w:rPr>
          <w:rFonts w:asciiTheme="majorBidi" w:hAnsiTheme="majorBidi" w:cstheme="majorBidi"/>
          <w:sz w:val="24"/>
          <w:szCs w:val="24"/>
        </w:rPr>
      </w:pPr>
      <w:r w:rsidRPr="00D944B1">
        <w:rPr>
          <w:rFonts w:asciiTheme="majorBidi" w:hAnsiTheme="majorBidi" w:cstheme="majorBidi"/>
          <w:sz w:val="24"/>
          <w:szCs w:val="24"/>
        </w:rPr>
        <w:t>L</w:t>
      </w:r>
      <w:r w:rsidR="00D92284" w:rsidRPr="00D944B1">
        <w:rPr>
          <w:rFonts w:asciiTheme="majorBidi" w:hAnsiTheme="majorBidi" w:cstheme="majorBidi"/>
          <w:sz w:val="24"/>
          <w:szCs w:val="24"/>
        </w:rPr>
        <w:t>es plus-values résultant de la réévaluation d'éléments d'actif de l'entreprise après la couverture totale des engagements techniques et accord du « comité général des assurances»</w:t>
      </w:r>
    </w:p>
    <w:p w:rsidR="004C12E5" w:rsidRDefault="00725F06" w:rsidP="00E14D65">
      <w:pPr>
        <w:pStyle w:val="Paragraphedeliste"/>
        <w:numPr>
          <w:ilvl w:val="0"/>
          <w:numId w:val="3"/>
        </w:numPr>
        <w:tabs>
          <w:tab w:val="left" w:pos="426"/>
        </w:tabs>
        <w:spacing w:after="0" w:line="360" w:lineRule="auto"/>
        <w:ind w:left="0" w:firstLine="0"/>
        <w:jc w:val="both"/>
        <w:rPr>
          <w:rFonts w:asciiTheme="majorBidi" w:hAnsiTheme="majorBidi" w:cstheme="majorBidi"/>
          <w:sz w:val="24"/>
          <w:szCs w:val="24"/>
        </w:rPr>
      </w:pPr>
      <w:r w:rsidRPr="00D944B1">
        <w:rPr>
          <w:rFonts w:asciiTheme="majorBidi" w:hAnsiTheme="majorBidi" w:cstheme="majorBidi"/>
          <w:sz w:val="24"/>
          <w:szCs w:val="24"/>
        </w:rPr>
        <w:t xml:space="preserve"> Autres éléments corporels pouvant être compris dans la marge de solvabilité après accord du « comité général des assurances»</w:t>
      </w:r>
      <w:r w:rsidRPr="00D944B1">
        <w:rPr>
          <w:rStyle w:val="Appelnotedebasdep"/>
        </w:rPr>
        <w:footnoteReference w:id="5"/>
      </w:r>
      <w:r w:rsidR="004C12E5">
        <w:rPr>
          <w:rFonts w:asciiTheme="majorBidi" w:hAnsiTheme="majorBidi" w:cstheme="majorBidi"/>
          <w:sz w:val="24"/>
          <w:szCs w:val="24"/>
        </w:rPr>
        <w:t>.</w:t>
      </w:r>
    </w:p>
    <w:p w:rsidR="00E14D65" w:rsidRPr="00E14D65" w:rsidRDefault="00E14D65" w:rsidP="00E14D65">
      <w:pPr>
        <w:tabs>
          <w:tab w:val="left" w:pos="426"/>
        </w:tabs>
        <w:spacing w:after="0" w:line="240" w:lineRule="auto"/>
        <w:jc w:val="both"/>
        <w:rPr>
          <w:rFonts w:asciiTheme="majorBidi" w:hAnsiTheme="majorBidi" w:cstheme="majorBidi"/>
          <w:sz w:val="24"/>
          <w:szCs w:val="24"/>
        </w:rPr>
      </w:pPr>
    </w:p>
    <w:p w:rsidR="00725F06" w:rsidRDefault="00D92284" w:rsidP="00E14D65">
      <w:pPr>
        <w:pStyle w:val="Paragraphedeliste"/>
        <w:numPr>
          <w:ilvl w:val="2"/>
          <w:numId w:val="1"/>
        </w:numPr>
        <w:spacing w:after="0" w:line="360" w:lineRule="auto"/>
        <w:jc w:val="both"/>
        <w:rPr>
          <w:rFonts w:asciiTheme="majorBidi" w:hAnsiTheme="majorBidi" w:cstheme="majorBidi"/>
          <w:b/>
          <w:bCs/>
          <w:sz w:val="28"/>
          <w:szCs w:val="28"/>
        </w:rPr>
      </w:pPr>
      <w:r w:rsidRPr="00536949">
        <w:rPr>
          <w:rFonts w:asciiTheme="majorBidi" w:hAnsiTheme="majorBidi" w:cstheme="majorBidi"/>
          <w:b/>
          <w:bCs/>
          <w:sz w:val="28"/>
          <w:szCs w:val="28"/>
        </w:rPr>
        <w:t>La marge de solvabilité réglementaire</w:t>
      </w:r>
      <w:r w:rsidR="00D616D8">
        <w:rPr>
          <w:rFonts w:asciiTheme="majorBidi" w:hAnsiTheme="majorBidi" w:cstheme="majorBidi"/>
          <w:b/>
          <w:bCs/>
          <w:sz w:val="28"/>
          <w:szCs w:val="28"/>
        </w:rPr>
        <w:t xml:space="preserve"> (MSR)</w:t>
      </w:r>
      <w:r w:rsidRPr="00536949">
        <w:rPr>
          <w:rFonts w:asciiTheme="majorBidi" w:hAnsiTheme="majorBidi" w:cstheme="majorBidi"/>
          <w:b/>
          <w:bCs/>
          <w:sz w:val="28"/>
          <w:szCs w:val="28"/>
        </w:rPr>
        <w:t xml:space="preserve"> </w:t>
      </w:r>
    </w:p>
    <w:p w:rsidR="00EF790F" w:rsidRPr="00EF790F" w:rsidRDefault="00EF790F" w:rsidP="00E14D65">
      <w:pPr>
        <w:spacing w:after="0" w:line="240" w:lineRule="auto"/>
        <w:jc w:val="both"/>
        <w:rPr>
          <w:rFonts w:asciiTheme="majorBidi" w:hAnsiTheme="majorBidi" w:cstheme="majorBidi"/>
          <w:b/>
          <w:bCs/>
          <w:sz w:val="28"/>
          <w:szCs w:val="28"/>
        </w:rPr>
      </w:pPr>
    </w:p>
    <w:p w:rsidR="00F97218" w:rsidRDefault="00BF40D7" w:rsidP="00E14D65">
      <w:pPr>
        <w:pStyle w:val="Paragraphedeliste"/>
        <w:spacing w:after="0"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ab/>
        <w:t xml:space="preserve">Cette marge désigne le montant minimum (exigé par les autorités de contrôle) qu’un assureur doit conserver pour satisfaire à ses engagements, les assureurs appliquent en assurance vie et en assurance non-vie une marge différente selon les paramètres suivant:  </w:t>
      </w:r>
    </w:p>
    <w:p w:rsidR="004C12E5" w:rsidRPr="00D944B1" w:rsidRDefault="004C12E5" w:rsidP="00E14D65">
      <w:pPr>
        <w:pStyle w:val="Paragraphedeliste"/>
        <w:spacing w:after="0" w:line="240" w:lineRule="auto"/>
        <w:ind w:left="0"/>
        <w:jc w:val="both"/>
        <w:rPr>
          <w:rFonts w:asciiTheme="majorBidi" w:hAnsiTheme="majorBidi" w:cstheme="majorBidi"/>
          <w:sz w:val="24"/>
          <w:szCs w:val="24"/>
        </w:rPr>
      </w:pPr>
    </w:p>
    <w:p w:rsidR="00884334" w:rsidRPr="00D944B1" w:rsidRDefault="00F97218" w:rsidP="00E14D65">
      <w:pPr>
        <w:pStyle w:val="Paragraphedeliste"/>
        <w:spacing w:line="360" w:lineRule="auto"/>
        <w:ind w:left="0"/>
        <w:jc w:val="both"/>
        <w:rPr>
          <w:rFonts w:asciiTheme="majorBidi" w:hAnsiTheme="majorBidi" w:cstheme="majorBidi"/>
          <w:sz w:val="24"/>
          <w:szCs w:val="24"/>
        </w:rPr>
      </w:pPr>
      <w:r w:rsidRPr="00D944B1">
        <w:rPr>
          <w:rFonts w:asciiTheme="majorBidi" w:hAnsiTheme="majorBidi" w:cstheme="majorBidi"/>
          <w:b/>
          <w:bCs/>
          <w:sz w:val="24"/>
          <w:szCs w:val="24"/>
        </w:rPr>
        <w:t>En Tunisie</w:t>
      </w:r>
      <w:r w:rsidRPr="00D944B1">
        <w:rPr>
          <w:rFonts w:asciiTheme="majorBidi" w:hAnsiTheme="majorBidi" w:cstheme="majorBidi"/>
          <w:sz w:val="24"/>
          <w:szCs w:val="24"/>
        </w:rPr>
        <w:t>:</w:t>
      </w:r>
      <w:r w:rsidR="00BF40D7" w:rsidRPr="00D944B1">
        <w:rPr>
          <w:rFonts w:asciiTheme="majorBidi" w:hAnsiTheme="majorBidi" w:cstheme="majorBidi"/>
          <w:b/>
          <w:bCs/>
          <w:sz w:val="24"/>
          <w:szCs w:val="24"/>
        </w:rPr>
        <w:t xml:space="preserve"> </w:t>
      </w:r>
      <w:r w:rsidRPr="00D944B1">
        <w:rPr>
          <w:rFonts w:asciiTheme="majorBidi" w:hAnsiTheme="majorBidi" w:cstheme="majorBidi"/>
          <w:sz w:val="24"/>
          <w:szCs w:val="24"/>
        </w:rPr>
        <w:t>Le montant minimum réglementaire de la marge de solvabilité est déterminé comme suit :</w:t>
      </w:r>
      <w:r w:rsidRPr="00D944B1">
        <w:rPr>
          <w:rStyle w:val="Appelnotedebasdep"/>
        </w:rPr>
        <w:footnoteReference w:id="6"/>
      </w:r>
    </w:p>
    <w:p w:rsidR="0054581A" w:rsidRPr="00D944B1" w:rsidRDefault="008D7BF5" w:rsidP="00E14D65">
      <w:pPr>
        <w:pStyle w:val="Paragraphedeliste"/>
        <w:numPr>
          <w:ilvl w:val="0"/>
          <w:numId w:val="4"/>
        </w:numPr>
        <w:tabs>
          <w:tab w:val="left" w:pos="426"/>
        </w:tabs>
        <w:spacing w:line="360" w:lineRule="auto"/>
        <w:ind w:left="0" w:firstLine="0"/>
        <w:jc w:val="both"/>
        <w:rPr>
          <w:rFonts w:asciiTheme="majorBidi" w:hAnsiTheme="majorBidi" w:cstheme="majorBidi"/>
          <w:b/>
          <w:bCs/>
          <w:sz w:val="24"/>
          <w:szCs w:val="24"/>
        </w:rPr>
      </w:pPr>
      <w:r w:rsidRPr="00D944B1">
        <w:rPr>
          <w:rFonts w:asciiTheme="majorBidi" w:hAnsiTheme="majorBidi" w:cstheme="majorBidi"/>
          <w:b/>
          <w:bCs/>
          <w:sz w:val="24"/>
          <w:szCs w:val="24"/>
        </w:rPr>
        <w:lastRenderedPageBreak/>
        <w:t>P</w:t>
      </w:r>
      <w:r w:rsidR="00F97218" w:rsidRPr="00D944B1">
        <w:rPr>
          <w:rFonts w:asciiTheme="majorBidi" w:hAnsiTheme="majorBidi" w:cstheme="majorBidi"/>
          <w:b/>
          <w:bCs/>
          <w:sz w:val="24"/>
          <w:szCs w:val="24"/>
        </w:rPr>
        <w:t xml:space="preserve">our les entreprises d’assurances pratiquant les catégories </w:t>
      </w:r>
      <w:r w:rsidR="009E1CA2">
        <w:rPr>
          <w:rFonts w:asciiTheme="majorBidi" w:hAnsiTheme="majorBidi" w:cstheme="majorBidi"/>
          <w:b/>
          <w:bCs/>
          <w:sz w:val="24"/>
          <w:szCs w:val="24"/>
        </w:rPr>
        <w:t>d’assurance autre que la vie </w:t>
      </w:r>
    </w:p>
    <w:p w:rsidR="00F97218" w:rsidRPr="00D944B1" w:rsidRDefault="0054581A" w:rsidP="00E14D65">
      <w:pPr>
        <w:pStyle w:val="Paragraphedeliste"/>
        <w:spacing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ab/>
      </w:r>
      <w:r w:rsidR="00F97218" w:rsidRPr="00D944B1">
        <w:rPr>
          <w:rFonts w:asciiTheme="majorBidi" w:hAnsiTheme="majorBidi" w:cstheme="majorBidi"/>
          <w:sz w:val="24"/>
          <w:szCs w:val="24"/>
        </w:rPr>
        <w:t>La marge de solvabilité est obtenue par application des deux méthodes suivantes, seul le montant le plus élevé sera retenu :</w:t>
      </w:r>
    </w:p>
    <w:p w:rsidR="00F97218" w:rsidRPr="00D944B1" w:rsidRDefault="00F97218" w:rsidP="00E14D65">
      <w:pPr>
        <w:pStyle w:val="Paragraphedeliste"/>
        <w:spacing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- 20% du total des primes émises et acceptées nettes d’impôts et d’annulations, multipliée par le rapport existant entre les primes retenues et les primes émises et acceptées nettes d’impôts et d’annulations sans que ce rapport puisse être inférieur à 50%.</w:t>
      </w:r>
    </w:p>
    <w:p w:rsidR="00F97218" w:rsidRPr="00D944B1" w:rsidRDefault="00F97218" w:rsidP="00E14D65">
      <w:pPr>
        <w:pStyle w:val="Paragraphedeliste"/>
        <w:spacing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- 25% de la charge moyenne annuelle des sinistres des trois derniers exercices tant pour les affaires directes que pour les acceptations en réassurance, multipliée par le rapport existant, entre le montant des sinistres demeurant à la charge de l’entreprise après cession et rétrocession et le montant des sinistres brut des réassurances sans que ce rapport puisse être inférieur à 50%.</w:t>
      </w:r>
    </w:p>
    <w:p w:rsidR="00F97218" w:rsidRPr="00D944B1" w:rsidRDefault="00F97218" w:rsidP="00E14D65">
      <w:pPr>
        <w:pStyle w:val="Paragraphedeliste"/>
        <w:spacing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 xml:space="preserve"> Le montant de la charge de sinistres des trois derniers exercices est égal au total des règlements au cours de cette période s’y ajoute les provisions pour sinistres à payer</w:t>
      </w:r>
      <w:r w:rsidR="00BF40D7" w:rsidRPr="00D944B1">
        <w:rPr>
          <w:rFonts w:asciiTheme="majorBidi" w:hAnsiTheme="majorBidi" w:cstheme="majorBidi"/>
          <w:sz w:val="24"/>
          <w:szCs w:val="24"/>
        </w:rPr>
        <w:t xml:space="preserve"> </w:t>
      </w:r>
      <w:r w:rsidRPr="00D944B1">
        <w:rPr>
          <w:rFonts w:asciiTheme="majorBidi" w:hAnsiTheme="majorBidi" w:cstheme="majorBidi"/>
          <w:sz w:val="24"/>
          <w:szCs w:val="24"/>
        </w:rPr>
        <w:t xml:space="preserve"> constituées à la fin du dernier exercice après déduction des provisions pour sinistres à payer constituées au début du premier exercice de cette période et les recours encaissés.</w:t>
      </w:r>
    </w:p>
    <w:p w:rsidR="00BF40D7" w:rsidRPr="00D944B1" w:rsidRDefault="00F97218" w:rsidP="00E14D65">
      <w:pPr>
        <w:pStyle w:val="Paragraphedeliste"/>
        <w:spacing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Pour les entreprises qui pratiquent d’une façon principale l’assurance crédit, il est tenu compte pour le calcul de la charge moyenne annuelle des sinistres, de la période des sept derniers exercices sociaux au lieu des trois derniers.</w:t>
      </w:r>
    </w:p>
    <w:p w:rsidR="00F97218" w:rsidRPr="00D944B1" w:rsidRDefault="00F97218" w:rsidP="00E14D65">
      <w:pPr>
        <w:pStyle w:val="Paragraphedeliste"/>
        <w:spacing w:line="240" w:lineRule="auto"/>
        <w:ind w:left="0"/>
        <w:jc w:val="both"/>
        <w:rPr>
          <w:rFonts w:asciiTheme="majorBidi" w:hAnsiTheme="majorBidi" w:cstheme="majorBidi"/>
          <w:sz w:val="24"/>
          <w:szCs w:val="24"/>
        </w:rPr>
      </w:pPr>
    </w:p>
    <w:p w:rsidR="00884334" w:rsidRDefault="008D7BF5" w:rsidP="00E14D65">
      <w:pPr>
        <w:pStyle w:val="Paragraphedeliste"/>
        <w:numPr>
          <w:ilvl w:val="0"/>
          <w:numId w:val="4"/>
        </w:numPr>
        <w:tabs>
          <w:tab w:val="left" w:pos="426"/>
        </w:tabs>
        <w:spacing w:after="0" w:line="360" w:lineRule="auto"/>
        <w:ind w:left="0" w:firstLine="0"/>
        <w:jc w:val="both"/>
        <w:rPr>
          <w:rFonts w:asciiTheme="majorBidi" w:hAnsiTheme="majorBidi" w:cstheme="majorBidi"/>
          <w:b/>
          <w:bCs/>
          <w:sz w:val="24"/>
          <w:szCs w:val="24"/>
        </w:rPr>
      </w:pPr>
      <w:r w:rsidRPr="00D944B1">
        <w:rPr>
          <w:rFonts w:asciiTheme="majorBidi" w:hAnsiTheme="majorBidi" w:cstheme="majorBidi"/>
          <w:b/>
          <w:bCs/>
          <w:sz w:val="24"/>
          <w:szCs w:val="24"/>
        </w:rPr>
        <w:t>P</w:t>
      </w:r>
      <w:r w:rsidR="00F97218" w:rsidRPr="00D944B1">
        <w:rPr>
          <w:rFonts w:asciiTheme="majorBidi" w:hAnsiTheme="majorBidi" w:cstheme="majorBidi"/>
          <w:b/>
          <w:bCs/>
          <w:sz w:val="24"/>
          <w:szCs w:val="24"/>
        </w:rPr>
        <w:t>our les entreprises d’assurances sur la vie et capitalisation</w:t>
      </w:r>
    </w:p>
    <w:p w:rsidR="00884334" w:rsidRPr="00884334" w:rsidRDefault="00884334" w:rsidP="00E14D65">
      <w:pPr>
        <w:tabs>
          <w:tab w:val="left" w:pos="426"/>
        </w:tabs>
        <w:spacing w:after="0" w:line="240" w:lineRule="auto"/>
        <w:jc w:val="both"/>
        <w:rPr>
          <w:rFonts w:asciiTheme="majorBidi" w:hAnsiTheme="majorBidi" w:cstheme="majorBidi"/>
          <w:b/>
          <w:bCs/>
          <w:sz w:val="24"/>
          <w:szCs w:val="24"/>
        </w:rPr>
      </w:pPr>
    </w:p>
    <w:p w:rsidR="008D7BF5" w:rsidRPr="00D944B1" w:rsidRDefault="0054581A" w:rsidP="00E14D65">
      <w:pPr>
        <w:pStyle w:val="Paragraphedeliste"/>
        <w:autoSpaceDE w:val="0"/>
        <w:autoSpaceDN w:val="0"/>
        <w:adjustRightInd w:val="0"/>
        <w:spacing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ab/>
      </w:r>
      <w:r w:rsidR="008D7BF5" w:rsidRPr="00D944B1">
        <w:rPr>
          <w:rFonts w:asciiTheme="majorBidi" w:hAnsiTheme="majorBidi" w:cstheme="majorBidi"/>
          <w:sz w:val="24"/>
          <w:szCs w:val="24"/>
        </w:rPr>
        <w:t>Le montant minimum réglementaire de la marge de solvabilité est égal à la somme des montants obtenus en application des deux méthodes suivantes :</w:t>
      </w:r>
    </w:p>
    <w:p w:rsidR="008D7BF5" w:rsidRPr="00D944B1" w:rsidRDefault="008D7BF5"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- 4 % des provisions mathématiques multipliées par le rapport existant entre le montant des provisions mathématiques net de cession en réassurances et le montant des provisions mathématiques brut de réassurance sans que ce rapport puisse être inférieur à 85 %.</w:t>
      </w:r>
    </w:p>
    <w:p w:rsidR="008D7BF5" w:rsidRDefault="008D7BF5"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- 3 ‰ des capitaux sous risque multiplié par le rapport existant entre le montant des capitaux sous risques net de cession et rétrocession en réassurance et le montant des capitaux sous risque brut de réassurances sans que ce rapport puisse être inférieur à 50 %. Les capitaux sous risques sont égaux aux capitaux assurés déduction faite de la provision mathématique.</w:t>
      </w:r>
    </w:p>
    <w:p w:rsidR="00E14D65" w:rsidRPr="00D944B1" w:rsidRDefault="00E14D65" w:rsidP="00E14D65">
      <w:pPr>
        <w:autoSpaceDE w:val="0"/>
        <w:autoSpaceDN w:val="0"/>
        <w:adjustRightInd w:val="0"/>
        <w:spacing w:after="0" w:line="360" w:lineRule="auto"/>
        <w:jc w:val="both"/>
        <w:rPr>
          <w:rFonts w:asciiTheme="majorBidi" w:hAnsiTheme="majorBidi" w:cstheme="majorBidi"/>
          <w:sz w:val="24"/>
          <w:szCs w:val="24"/>
        </w:rPr>
      </w:pPr>
    </w:p>
    <w:p w:rsidR="008D7BF5" w:rsidRPr="00D944B1" w:rsidRDefault="008D7BF5" w:rsidP="00E14D65">
      <w:pPr>
        <w:autoSpaceDE w:val="0"/>
        <w:autoSpaceDN w:val="0"/>
        <w:adjustRightInd w:val="0"/>
        <w:spacing w:after="0" w:line="240" w:lineRule="auto"/>
        <w:jc w:val="both"/>
        <w:rPr>
          <w:rFonts w:asciiTheme="majorBidi" w:hAnsiTheme="majorBidi" w:cstheme="majorBidi"/>
          <w:sz w:val="24"/>
          <w:szCs w:val="24"/>
        </w:rPr>
      </w:pPr>
    </w:p>
    <w:p w:rsidR="008D7BF5" w:rsidRDefault="008D7BF5" w:rsidP="00E14D65">
      <w:pPr>
        <w:pStyle w:val="Paragraphedeliste"/>
        <w:numPr>
          <w:ilvl w:val="0"/>
          <w:numId w:val="4"/>
        </w:numPr>
        <w:tabs>
          <w:tab w:val="left" w:pos="426"/>
        </w:tabs>
        <w:autoSpaceDE w:val="0"/>
        <w:autoSpaceDN w:val="0"/>
        <w:adjustRightInd w:val="0"/>
        <w:spacing w:after="0" w:line="360" w:lineRule="auto"/>
        <w:ind w:left="0" w:firstLine="0"/>
        <w:jc w:val="both"/>
        <w:rPr>
          <w:rFonts w:asciiTheme="majorBidi" w:hAnsiTheme="majorBidi" w:cstheme="majorBidi"/>
          <w:b/>
          <w:bCs/>
          <w:sz w:val="24"/>
          <w:szCs w:val="24"/>
        </w:rPr>
      </w:pPr>
      <w:r w:rsidRPr="00D944B1">
        <w:rPr>
          <w:rFonts w:asciiTheme="majorBidi" w:hAnsiTheme="majorBidi" w:cstheme="majorBidi"/>
          <w:sz w:val="33"/>
          <w:szCs w:val="33"/>
        </w:rPr>
        <w:lastRenderedPageBreak/>
        <w:t xml:space="preserve"> </w:t>
      </w:r>
      <w:r w:rsidRPr="00D944B1">
        <w:rPr>
          <w:rFonts w:asciiTheme="majorBidi" w:hAnsiTheme="majorBidi" w:cstheme="majorBidi"/>
          <w:b/>
          <w:bCs/>
          <w:sz w:val="24"/>
          <w:szCs w:val="24"/>
        </w:rPr>
        <w:t>Pour les entreprises qui pratiquent l’assurance non vie et l’as</w:t>
      </w:r>
      <w:r w:rsidR="009E1CA2">
        <w:rPr>
          <w:rFonts w:asciiTheme="majorBidi" w:hAnsiTheme="majorBidi" w:cstheme="majorBidi"/>
          <w:b/>
          <w:bCs/>
          <w:sz w:val="24"/>
          <w:szCs w:val="24"/>
        </w:rPr>
        <w:t>surance - vie et capitalisation</w:t>
      </w:r>
    </w:p>
    <w:p w:rsidR="009E1CA2" w:rsidRPr="009E1CA2" w:rsidRDefault="009E1CA2" w:rsidP="00E14D65">
      <w:pPr>
        <w:tabs>
          <w:tab w:val="left" w:pos="426"/>
        </w:tabs>
        <w:autoSpaceDE w:val="0"/>
        <w:autoSpaceDN w:val="0"/>
        <w:adjustRightInd w:val="0"/>
        <w:spacing w:after="0" w:line="240" w:lineRule="auto"/>
        <w:jc w:val="both"/>
        <w:rPr>
          <w:rFonts w:asciiTheme="majorBidi" w:hAnsiTheme="majorBidi" w:cstheme="majorBidi"/>
          <w:b/>
          <w:bCs/>
          <w:sz w:val="24"/>
          <w:szCs w:val="24"/>
        </w:rPr>
      </w:pPr>
    </w:p>
    <w:p w:rsidR="00885F2A" w:rsidRPr="00D944B1" w:rsidRDefault="00885F2A" w:rsidP="00E14D65">
      <w:pPr>
        <w:pStyle w:val="Paragraphedeliste"/>
        <w:autoSpaceDE w:val="0"/>
        <w:autoSpaceDN w:val="0"/>
        <w:adjustRightInd w:val="0"/>
        <w:spacing w:after="0"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ab/>
      </w:r>
      <w:r w:rsidR="008D7BF5" w:rsidRPr="00D944B1">
        <w:rPr>
          <w:rFonts w:asciiTheme="majorBidi" w:hAnsiTheme="majorBidi" w:cstheme="majorBidi"/>
          <w:sz w:val="24"/>
          <w:szCs w:val="24"/>
        </w:rPr>
        <w:t>Le montant minimum réglementaire de la marge de solvabilité pour ces entreprises est égal à la somme des deux montants obtenus par l’application des méthodes prévues</w:t>
      </w:r>
      <w:r w:rsidRPr="00D944B1">
        <w:rPr>
          <w:rFonts w:asciiTheme="majorBidi" w:hAnsiTheme="majorBidi" w:cstheme="majorBidi"/>
          <w:sz w:val="24"/>
          <w:szCs w:val="24"/>
        </w:rPr>
        <w:t>.</w:t>
      </w:r>
    </w:p>
    <w:p w:rsidR="00885F2A" w:rsidRPr="00D944B1" w:rsidRDefault="00885F2A" w:rsidP="00E14D65">
      <w:pPr>
        <w:pStyle w:val="Paragraphedeliste"/>
        <w:autoSpaceDE w:val="0"/>
        <w:autoSpaceDN w:val="0"/>
        <w:adjustRightInd w:val="0"/>
        <w:spacing w:after="0" w:line="240" w:lineRule="auto"/>
        <w:ind w:left="0"/>
        <w:jc w:val="both"/>
        <w:rPr>
          <w:rFonts w:asciiTheme="majorBidi" w:hAnsiTheme="majorBidi" w:cstheme="majorBidi"/>
          <w:sz w:val="24"/>
          <w:szCs w:val="24"/>
        </w:rPr>
      </w:pPr>
    </w:p>
    <w:p w:rsidR="00CB2447" w:rsidRPr="004C12E5" w:rsidRDefault="00885F2A" w:rsidP="00E14D65">
      <w:pPr>
        <w:pStyle w:val="Paragraphedeliste"/>
        <w:autoSpaceDE w:val="0"/>
        <w:autoSpaceDN w:val="0"/>
        <w:adjustRightInd w:val="0"/>
        <w:spacing w:after="0" w:line="360" w:lineRule="auto"/>
        <w:ind w:left="0"/>
        <w:jc w:val="both"/>
        <w:rPr>
          <w:rFonts w:asciiTheme="majorBidi" w:hAnsiTheme="majorBidi" w:cstheme="majorBidi"/>
          <w:sz w:val="21"/>
          <w:szCs w:val="21"/>
        </w:rPr>
      </w:pPr>
      <w:r w:rsidRPr="00D944B1">
        <w:rPr>
          <w:rFonts w:asciiTheme="majorBidi" w:hAnsiTheme="majorBidi" w:cstheme="majorBidi"/>
          <w:b/>
          <w:bCs/>
          <w:sz w:val="24"/>
          <w:szCs w:val="24"/>
        </w:rPr>
        <w:t xml:space="preserve">En Algérie : </w:t>
      </w:r>
      <w:r w:rsidRPr="00D944B1">
        <w:rPr>
          <w:rFonts w:asciiTheme="majorBidi" w:hAnsiTheme="majorBidi" w:cstheme="majorBidi"/>
          <w:sz w:val="24"/>
          <w:szCs w:val="24"/>
        </w:rPr>
        <w:t xml:space="preserve">La marge de solvabilité des sociétés d'assurance et/ou de réassurance doit être égale au moins à 15 % des dettes techniques telles que déterminées au passif du bilan. A tout moment de l'année, la marge de solvabilité des sociétés d'assurance et/ou de </w:t>
      </w:r>
      <w:r w:rsidR="00D15538" w:rsidRPr="00D944B1">
        <w:rPr>
          <w:rFonts w:asciiTheme="majorBidi" w:hAnsiTheme="majorBidi" w:cstheme="majorBidi"/>
          <w:sz w:val="24"/>
          <w:szCs w:val="24"/>
        </w:rPr>
        <w:t>réassurance,</w:t>
      </w:r>
      <w:r w:rsidRPr="00D944B1">
        <w:rPr>
          <w:rFonts w:asciiTheme="majorBidi" w:hAnsiTheme="majorBidi" w:cstheme="majorBidi"/>
          <w:sz w:val="24"/>
          <w:szCs w:val="24"/>
        </w:rPr>
        <w:t xml:space="preserve"> ne doit pas être inférieure à 20% du chiffre d'affaires, toutes taxes comprises, nettes d'annulation et de réassurance.</w:t>
      </w:r>
      <w:r w:rsidRPr="00D944B1">
        <w:rPr>
          <w:rFonts w:asciiTheme="majorBidi" w:hAnsiTheme="majorBidi" w:cstheme="majorBidi"/>
          <w:sz w:val="21"/>
          <w:szCs w:val="21"/>
        </w:rPr>
        <w:t xml:space="preserve"> </w:t>
      </w:r>
      <w:r w:rsidR="002D70C2" w:rsidRPr="00D944B1">
        <w:rPr>
          <w:rStyle w:val="Appelnotedebasdep"/>
          <w:sz w:val="21"/>
          <w:szCs w:val="21"/>
        </w:rPr>
        <w:footnoteReference w:id="7"/>
      </w:r>
    </w:p>
    <w:p w:rsidR="00BD162B" w:rsidRPr="00D944B1" w:rsidRDefault="00FB27F0"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t>Parallèlement au calcul de la marge de solvabilité, tout organisme d’assurance doit fournir annuellement à la commission de contrôle des assurances, un dossier comprenant des documents comptables de synthèse</w:t>
      </w:r>
      <w:r w:rsidRPr="00D944B1">
        <w:rPr>
          <w:rFonts w:asciiTheme="majorBidi" w:hAnsiTheme="majorBidi" w:cstheme="majorBidi"/>
          <w:sz w:val="16"/>
          <w:szCs w:val="16"/>
        </w:rPr>
        <w:t xml:space="preserve">  </w:t>
      </w:r>
      <w:r w:rsidRPr="00D944B1">
        <w:rPr>
          <w:rFonts w:asciiTheme="majorBidi" w:hAnsiTheme="majorBidi" w:cstheme="majorBidi"/>
          <w:sz w:val="24"/>
          <w:szCs w:val="24"/>
        </w:rPr>
        <w:t>et des états d’analyse règlementaires.</w:t>
      </w:r>
      <w:r w:rsidR="009747FD">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412.1pt;margin-top:1.05pt;width:0;height:0;z-index:251659264;mso-position-horizontal-relative:text;mso-position-vertical-relative:text" o:connectortype="straight"/>
        </w:pict>
      </w:r>
    </w:p>
    <w:p w:rsidR="009E1CA2" w:rsidRDefault="008A304E" w:rsidP="00E14D65">
      <w:pPr>
        <w:pStyle w:val="Paragraphedeliste"/>
        <w:numPr>
          <w:ilvl w:val="1"/>
          <w:numId w:val="1"/>
        </w:numPr>
        <w:autoSpaceDE w:val="0"/>
        <w:autoSpaceDN w:val="0"/>
        <w:adjustRightInd w:val="0"/>
        <w:spacing w:after="0" w:line="360" w:lineRule="auto"/>
        <w:jc w:val="both"/>
        <w:rPr>
          <w:rFonts w:asciiTheme="majorBidi" w:hAnsiTheme="majorBidi" w:cstheme="majorBidi"/>
          <w:b/>
          <w:bCs/>
          <w:sz w:val="28"/>
          <w:szCs w:val="28"/>
        </w:rPr>
      </w:pPr>
      <w:r w:rsidRPr="00D944B1">
        <w:rPr>
          <w:rFonts w:asciiTheme="majorBidi" w:hAnsiTheme="majorBidi" w:cstheme="majorBidi"/>
          <w:b/>
          <w:bCs/>
          <w:sz w:val="28"/>
          <w:szCs w:val="28"/>
        </w:rPr>
        <w:t xml:space="preserve">BILAN COMPTABLE ET SOLVABILITE </w:t>
      </w:r>
    </w:p>
    <w:p w:rsidR="00F067EC" w:rsidRPr="009E1CA2" w:rsidRDefault="008A304E" w:rsidP="00E14D65">
      <w:pPr>
        <w:autoSpaceDE w:val="0"/>
        <w:autoSpaceDN w:val="0"/>
        <w:adjustRightInd w:val="0"/>
        <w:spacing w:after="0" w:line="240" w:lineRule="auto"/>
        <w:jc w:val="both"/>
        <w:rPr>
          <w:rFonts w:asciiTheme="majorBidi" w:hAnsiTheme="majorBidi" w:cstheme="majorBidi"/>
          <w:b/>
          <w:bCs/>
          <w:sz w:val="28"/>
          <w:szCs w:val="28"/>
        </w:rPr>
      </w:pPr>
      <w:r w:rsidRPr="009E1CA2">
        <w:rPr>
          <w:rFonts w:asciiTheme="majorBidi" w:hAnsiTheme="majorBidi" w:cstheme="majorBidi"/>
          <w:b/>
          <w:bCs/>
          <w:sz w:val="28"/>
          <w:szCs w:val="28"/>
        </w:rPr>
        <w:t xml:space="preserve"> </w:t>
      </w:r>
    </w:p>
    <w:p w:rsidR="004C12E5" w:rsidRPr="00D944B1" w:rsidRDefault="00F067EC"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r>
      <w:r w:rsidR="008A304E" w:rsidRPr="00D944B1">
        <w:rPr>
          <w:rFonts w:asciiTheme="majorBidi" w:hAnsiTheme="majorBidi" w:cstheme="majorBidi"/>
          <w:sz w:val="24"/>
          <w:szCs w:val="24"/>
        </w:rPr>
        <w:t>Le Bilan d’une compagnie</w:t>
      </w:r>
      <w:r w:rsidRPr="00D944B1">
        <w:rPr>
          <w:rFonts w:asciiTheme="majorBidi" w:hAnsiTheme="majorBidi" w:cstheme="majorBidi"/>
          <w:sz w:val="24"/>
          <w:szCs w:val="24"/>
        </w:rPr>
        <w:t xml:space="preserve"> d’assurance décrit la situation de l’entreprise à la date d’inventaire ou clôture des comptes. Il compare l’actif (placements financiers…) et le passif (provisions, fonds propres…), et indique si la société est solvable ou non à cette date.</w:t>
      </w:r>
    </w:p>
    <w:p w:rsidR="008A304E" w:rsidRPr="00D944B1" w:rsidRDefault="008A304E"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ab/>
        <w:t>Le Bilan d’un organisme assureur est constitué de 3 principaux éléments :</w:t>
      </w:r>
    </w:p>
    <w:p w:rsidR="008A304E" w:rsidRPr="00D944B1" w:rsidRDefault="008A304E"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au passif, des dettes et engagements, essentiellement les provisions techniques considérées comme une dette de l’organisme assureur envers ses assurés ;</w:t>
      </w:r>
    </w:p>
    <w:p w:rsidR="008A304E" w:rsidRPr="00D944B1" w:rsidRDefault="008A304E"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à l’actif, les biens et créances, essentiellement des placements financiers ;</w:t>
      </w:r>
    </w:p>
    <w:p w:rsidR="008A304E" w:rsidRPr="00D944B1" w:rsidRDefault="008A304E"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la différence de ces deux éléments constitue les capitaux propres (ou situation nette comptable). Ils se trouvent également au passif.</w:t>
      </w:r>
    </w:p>
    <w:p w:rsidR="00637612" w:rsidRPr="008C4EF6" w:rsidRDefault="008A304E"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ab/>
        <w:t>Les capitaux propres et réserves au 31/12/N ont pour but de garantir la solvabilité future de l’entreprise même si celle-ci subit une perte en N+1.</w:t>
      </w:r>
    </w:p>
    <w:p w:rsidR="008C4EF6" w:rsidRPr="00AE64D2" w:rsidRDefault="00637612" w:rsidP="00E14D65">
      <w:pPr>
        <w:autoSpaceDE w:val="0"/>
        <w:autoSpaceDN w:val="0"/>
        <w:adjustRightInd w:val="0"/>
        <w:spacing w:after="0" w:line="360" w:lineRule="auto"/>
        <w:jc w:val="both"/>
        <w:rPr>
          <w:rFonts w:asciiTheme="majorBidi" w:hAnsiTheme="majorBidi" w:cstheme="majorBidi"/>
          <w:b/>
          <w:bCs/>
          <w:sz w:val="24"/>
          <w:szCs w:val="24"/>
        </w:rPr>
      </w:pPr>
      <w:r w:rsidRPr="00D944B1">
        <w:rPr>
          <w:rFonts w:asciiTheme="majorBidi" w:hAnsiTheme="majorBidi" w:cstheme="majorBidi"/>
          <w:noProof/>
          <w:sz w:val="24"/>
          <w:szCs w:val="24"/>
        </w:rPr>
        <w:lastRenderedPageBreak/>
        <w:drawing>
          <wp:inline distT="0" distB="0" distL="0" distR="0">
            <wp:extent cx="5760647" cy="3355676"/>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3355718"/>
                    </a:xfrm>
                    <a:prstGeom prst="rect">
                      <a:avLst/>
                    </a:prstGeom>
                    <a:noFill/>
                    <a:ln w="9525">
                      <a:noFill/>
                      <a:miter lim="800000"/>
                      <a:headEnd/>
                      <a:tailEnd/>
                    </a:ln>
                  </pic:spPr>
                </pic:pic>
              </a:graphicData>
            </a:graphic>
          </wp:inline>
        </w:drawing>
      </w:r>
      <w:r w:rsidR="008A304E" w:rsidRPr="00D944B1">
        <w:rPr>
          <w:rFonts w:asciiTheme="majorBidi" w:hAnsiTheme="majorBidi" w:cstheme="majorBidi"/>
          <w:b/>
          <w:bCs/>
          <w:sz w:val="24"/>
          <w:szCs w:val="24"/>
        </w:rPr>
        <w:t xml:space="preserve">Bilan simplifié d’une compagnie d’assurance </w:t>
      </w:r>
    </w:p>
    <w:p w:rsidR="00AA160B" w:rsidRPr="00D944B1" w:rsidRDefault="00E72160"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La MS est donc la somme</w:t>
      </w:r>
      <w:r w:rsidR="00AA160B" w:rsidRPr="00D944B1">
        <w:rPr>
          <w:rFonts w:asciiTheme="majorBidi" w:hAnsiTheme="majorBidi" w:cstheme="majorBidi"/>
          <w:sz w:val="24"/>
          <w:szCs w:val="24"/>
        </w:rPr>
        <w:t>:</w:t>
      </w:r>
    </w:p>
    <w:p w:rsidR="00AA160B" w:rsidRPr="00D944B1" w:rsidRDefault="00AA160B"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de la</w:t>
      </w:r>
      <w:r w:rsidR="00BA0976">
        <w:rPr>
          <w:rFonts w:asciiTheme="majorBidi" w:hAnsiTheme="majorBidi" w:cstheme="majorBidi"/>
          <w:sz w:val="24"/>
          <w:szCs w:val="24"/>
        </w:rPr>
        <w:t xml:space="preserve"> situation nette comptable </w:t>
      </w:r>
      <w:r w:rsidRPr="00D944B1">
        <w:rPr>
          <w:rFonts w:asciiTheme="majorBidi" w:hAnsiTheme="majorBidi" w:cstheme="majorBidi"/>
          <w:sz w:val="24"/>
          <w:szCs w:val="24"/>
        </w:rPr>
        <w:t xml:space="preserve"> ou capitaux propres ;</w:t>
      </w:r>
    </w:p>
    <w:p w:rsidR="00AA160B" w:rsidRPr="00D944B1" w:rsidRDefault="00AA160B"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 de la plus-value latente des placements (excédent de la valeur de réalisation sur la valeur comptable) ;</w:t>
      </w:r>
    </w:p>
    <w:p w:rsidR="00AA160B" w:rsidRPr="00D944B1" w:rsidRDefault="00AA160B"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ab/>
        <w:t>Face à ce calcul de marge, les sources de pertes possibles d’un organisme assureur sont globalement :</w:t>
      </w:r>
    </w:p>
    <w:p w:rsidR="00AA160B" w:rsidRPr="00D944B1" w:rsidRDefault="00AA160B"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une dépréciation de l’actif ;</w:t>
      </w:r>
    </w:p>
    <w:p w:rsidR="00AA160B" w:rsidRPr="00D944B1" w:rsidRDefault="00AA160B"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une insuffisance de provisions : une sinistralité ou une inflation imprévue, une évolution de la jurisprudence…</w:t>
      </w:r>
    </w:p>
    <w:p w:rsidR="00637612" w:rsidRPr="00D944B1" w:rsidRDefault="00AA160B"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 un déséquilibre d’exploitation en N+1 qui peut avoir 2 causes : d’une part, un tarif insuffisant dû à une sous-estimation du montant probable des sinistres ou frais de gestion, d’autre part à un aléa ou un écart entre le montant réel des sinistres et leur montant probable.</w:t>
      </w:r>
      <w:r w:rsidR="00E41DDD" w:rsidRPr="00D944B1">
        <w:rPr>
          <w:rFonts w:asciiTheme="majorBidi" w:hAnsiTheme="majorBidi" w:cstheme="majorBidi"/>
          <w:sz w:val="24"/>
          <w:szCs w:val="24"/>
        </w:rPr>
        <w:tab/>
      </w:r>
    </w:p>
    <w:p w:rsidR="003631C2" w:rsidRPr="00536949" w:rsidRDefault="009743D8" w:rsidP="00E14D65">
      <w:pPr>
        <w:pStyle w:val="Paragraphedeliste"/>
        <w:numPr>
          <w:ilvl w:val="1"/>
          <w:numId w:val="1"/>
        </w:numPr>
        <w:spacing w:line="360" w:lineRule="auto"/>
        <w:jc w:val="both"/>
        <w:rPr>
          <w:rFonts w:asciiTheme="majorBidi" w:hAnsiTheme="majorBidi" w:cstheme="majorBidi"/>
          <w:sz w:val="28"/>
          <w:szCs w:val="28"/>
        </w:rPr>
      </w:pPr>
      <w:r w:rsidRPr="00536949">
        <w:rPr>
          <w:rFonts w:asciiTheme="majorBidi" w:hAnsiTheme="majorBidi" w:cstheme="majorBidi"/>
          <w:b/>
          <w:bCs/>
          <w:sz w:val="28"/>
          <w:szCs w:val="28"/>
        </w:rPr>
        <w:t>LA NECESSITE D’UN CONTROLE PRUDENTIEL SPECIFIQUE</w:t>
      </w:r>
    </w:p>
    <w:p w:rsidR="008C4EF6" w:rsidRPr="004C12E5" w:rsidRDefault="003631C2"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0"/>
          <w:szCs w:val="20"/>
        </w:rPr>
        <w:tab/>
      </w:r>
      <w:r w:rsidRPr="00D944B1">
        <w:rPr>
          <w:rFonts w:asciiTheme="majorBidi" w:hAnsiTheme="majorBidi" w:cstheme="majorBidi"/>
          <w:sz w:val="24"/>
          <w:szCs w:val="24"/>
        </w:rPr>
        <w:t xml:space="preserve">L’objectif principal du contrôle de la solvabilité pratiqué par les autorités est de protéger le preneur d’assurance contre les conséquences d’une cessation de paiement. Le contrôle de solvabilité est avant tout un contrôle financier. Les règles de solvabilité doivent </w:t>
      </w:r>
      <w:r w:rsidRPr="00D944B1">
        <w:rPr>
          <w:rFonts w:asciiTheme="majorBidi" w:hAnsiTheme="majorBidi" w:cstheme="majorBidi"/>
          <w:sz w:val="24"/>
          <w:szCs w:val="24"/>
        </w:rPr>
        <w:lastRenderedPageBreak/>
        <w:t>permettre aux autorités de contrôle d’intervenir à un moment ou les actifs disponibles suffisent encore à couvrir les engagements. Ces règles constituent donc un système d’alerte.</w:t>
      </w:r>
    </w:p>
    <w:p w:rsidR="008C4EF6" w:rsidRDefault="009743D8" w:rsidP="00E14D65">
      <w:pPr>
        <w:pStyle w:val="Paragraphedeliste"/>
        <w:numPr>
          <w:ilvl w:val="2"/>
          <w:numId w:val="1"/>
        </w:numPr>
        <w:spacing w:after="0" w:line="360" w:lineRule="auto"/>
        <w:jc w:val="both"/>
        <w:rPr>
          <w:rFonts w:asciiTheme="majorBidi" w:hAnsiTheme="majorBidi" w:cstheme="majorBidi"/>
          <w:b/>
          <w:bCs/>
          <w:sz w:val="28"/>
          <w:szCs w:val="28"/>
        </w:rPr>
      </w:pPr>
      <w:r w:rsidRPr="00D944B1">
        <w:rPr>
          <w:rFonts w:asciiTheme="majorBidi" w:hAnsiTheme="majorBidi" w:cstheme="majorBidi"/>
          <w:b/>
          <w:bCs/>
          <w:sz w:val="28"/>
          <w:szCs w:val="28"/>
        </w:rPr>
        <w:t>Inversion du cycle de production</w:t>
      </w:r>
    </w:p>
    <w:p w:rsidR="008C4EF6" w:rsidRPr="008C4EF6" w:rsidRDefault="008C4EF6" w:rsidP="00E14D65">
      <w:pPr>
        <w:pStyle w:val="Paragraphedeliste"/>
        <w:spacing w:after="0" w:line="240" w:lineRule="auto"/>
        <w:ind w:left="450"/>
        <w:jc w:val="both"/>
        <w:rPr>
          <w:rFonts w:asciiTheme="majorBidi" w:hAnsiTheme="majorBidi" w:cstheme="majorBidi"/>
          <w:b/>
          <w:bCs/>
          <w:sz w:val="28"/>
          <w:szCs w:val="28"/>
        </w:rPr>
      </w:pPr>
    </w:p>
    <w:p w:rsidR="00546D02" w:rsidRDefault="009743D8" w:rsidP="00E14D65">
      <w:pPr>
        <w:pStyle w:val="Paragraphedeliste"/>
        <w:spacing w:before="240"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ab/>
        <w:t xml:space="preserve">Lorsqu’une entreprise souhaite commercialiser un nouveau produit ou service, elle fixe son prix de vente en regard à son prix de revient. La seule inconnue reste alors le chiffre d’affaires, à savoir le nombre de biens ou services qui vont être vendus. L’assurance est le seul secteur économique dans lequel ce processus est inversé. La société d’assurance fixe </w:t>
      </w:r>
      <w:r w:rsidRPr="00D944B1">
        <w:rPr>
          <w:rFonts w:asciiTheme="majorBidi" w:hAnsiTheme="majorBidi" w:cstheme="majorBidi"/>
          <w:i/>
          <w:iCs/>
          <w:sz w:val="24"/>
          <w:szCs w:val="24"/>
        </w:rPr>
        <w:t xml:space="preserve">a priori </w:t>
      </w:r>
      <w:r w:rsidRPr="00D944B1">
        <w:rPr>
          <w:rFonts w:asciiTheme="majorBidi" w:hAnsiTheme="majorBidi" w:cstheme="majorBidi"/>
          <w:sz w:val="24"/>
          <w:szCs w:val="24"/>
        </w:rPr>
        <w:t xml:space="preserve">sa prime (prix de vente) et vend ses contrats. Elle connaît donc son chiffre d’affaire avant de constater </w:t>
      </w:r>
      <w:r w:rsidRPr="00D944B1">
        <w:rPr>
          <w:rFonts w:asciiTheme="majorBidi" w:hAnsiTheme="majorBidi" w:cstheme="majorBidi"/>
          <w:i/>
          <w:iCs/>
          <w:sz w:val="24"/>
          <w:szCs w:val="24"/>
        </w:rPr>
        <w:t xml:space="preserve">a posteriori </w:t>
      </w:r>
      <w:r w:rsidRPr="00D944B1">
        <w:rPr>
          <w:rFonts w:asciiTheme="majorBidi" w:hAnsiTheme="majorBidi" w:cstheme="majorBidi"/>
          <w:sz w:val="24"/>
          <w:szCs w:val="24"/>
        </w:rPr>
        <w:t>les montants de sinistres et frais afférents (prix de revient).</w:t>
      </w:r>
    </w:p>
    <w:p w:rsidR="00546D02" w:rsidRPr="00D944B1" w:rsidRDefault="00546D02" w:rsidP="00E14D65">
      <w:pPr>
        <w:pStyle w:val="Paragraphedeliste"/>
        <w:spacing w:before="240" w:line="240" w:lineRule="auto"/>
        <w:ind w:left="0"/>
        <w:jc w:val="both"/>
        <w:rPr>
          <w:rFonts w:asciiTheme="majorBidi" w:hAnsiTheme="majorBidi" w:cstheme="majorBidi"/>
          <w:sz w:val="24"/>
          <w:szCs w:val="24"/>
        </w:rPr>
      </w:pPr>
    </w:p>
    <w:p w:rsidR="004C12E5" w:rsidRDefault="009743D8" w:rsidP="00E14D65">
      <w:pPr>
        <w:pStyle w:val="Paragraphedeliste"/>
        <w:spacing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ab/>
        <w:t>Pour investir les sommes  ainsi collectées, les compagnies d’assurances prennent alors des risques de placement : risque de dépréciation, risque de liquidité, risque de taux, risque d’appariement (en cas de non adossement de l’actif et du passif), risque de crédit...etc. à ces risques communs à toutes les institutions financières s’ajoutent des risques spécifiques à l’assurance : risque de sous tarification, risque d’évaluation des provisions techniques, risque de la modification de la fréquence des sinistres, risque de sinistre catastrophique…etc. Enfin comme toute entreprise la compagnie d’assurance est exposée à des risques généraux tel que le risque de gestion inadéquate, ou frauduleuse ou encore une croissance mal maitrisée.</w:t>
      </w:r>
      <w:r w:rsidRPr="00D944B1">
        <w:rPr>
          <w:rStyle w:val="Appelnotedebasdep"/>
        </w:rPr>
        <w:footnoteReference w:id="8"/>
      </w:r>
    </w:p>
    <w:p w:rsidR="00546D02" w:rsidRPr="00D944B1" w:rsidRDefault="00546D02" w:rsidP="00E14D65">
      <w:pPr>
        <w:pStyle w:val="Paragraphedeliste"/>
        <w:spacing w:line="240" w:lineRule="auto"/>
        <w:ind w:left="0"/>
        <w:jc w:val="both"/>
        <w:rPr>
          <w:rFonts w:asciiTheme="majorBidi" w:hAnsiTheme="majorBidi" w:cstheme="majorBidi"/>
          <w:sz w:val="24"/>
          <w:szCs w:val="24"/>
        </w:rPr>
      </w:pPr>
    </w:p>
    <w:p w:rsidR="004C12E5" w:rsidRDefault="009743D8" w:rsidP="00E14D65">
      <w:pPr>
        <w:pStyle w:val="Paragraphedeliste"/>
        <w:spacing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ab/>
        <w:t>La vocation première de l’assurance est de gérer ces risques afin d’être à chaque instant en mesure d’engager ses engagements envers les assurés et les bénéficiaires des contrats c’est cette capacité de l’assureur que l’on nomme solvabilité.</w:t>
      </w:r>
    </w:p>
    <w:p w:rsidR="00546D02" w:rsidRPr="00D944B1" w:rsidRDefault="00546D02" w:rsidP="00E14D65">
      <w:pPr>
        <w:pStyle w:val="Paragraphedeliste"/>
        <w:spacing w:line="240" w:lineRule="auto"/>
        <w:ind w:left="0"/>
        <w:jc w:val="both"/>
        <w:rPr>
          <w:rFonts w:asciiTheme="majorBidi" w:hAnsiTheme="majorBidi" w:cstheme="majorBidi"/>
          <w:sz w:val="24"/>
          <w:szCs w:val="24"/>
        </w:rPr>
      </w:pPr>
    </w:p>
    <w:p w:rsidR="009743D8" w:rsidRPr="00D944B1" w:rsidRDefault="009743D8" w:rsidP="00E14D65">
      <w:pPr>
        <w:pStyle w:val="Paragraphedeliste"/>
        <w:spacing w:line="360" w:lineRule="auto"/>
        <w:ind w:left="0"/>
        <w:jc w:val="both"/>
        <w:rPr>
          <w:rFonts w:asciiTheme="majorBidi" w:hAnsiTheme="majorBidi" w:cstheme="majorBidi"/>
          <w:sz w:val="24"/>
          <w:szCs w:val="24"/>
        </w:rPr>
      </w:pPr>
      <w:r w:rsidRPr="00D944B1">
        <w:rPr>
          <w:rFonts w:asciiTheme="majorBidi" w:hAnsiTheme="majorBidi" w:cstheme="majorBidi"/>
          <w:sz w:val="24"/>
          <w:szCs w:val="24"/>
        </w:rPr>
        <w:tab/>
        <w:t xml:space="preserve">Cependant la structure, la taille et la complexité de l’industrie de l’assurance sont telles qu’il est assez difficile aux assureurs et aux bénéficiaires des contrats de contrôler eux-mêmes la solvabilité de l’assureur au quel ils s’adressent. C’est donc avec pour premier objectif de protéger les consommateurs que les pays ont mis en place des systèmes de contrôle de la solvabilité des compagnies d’assurance. Ce contrôle permet également de garantir la solidité financière de l’industrie  d’assurance et ainsi d’améliorer la confiance du public élément essentiel de son développement.       </w:t>
      </w:r>
    </w:p>
    <w:p w:rsidR="009743D8" w:rsidRDefault="009743D8" w:rsidP="00E14D65">
      <w:pPr>
        <w:pStyle w:val="Paragraphedeliste"/>
        <w:spacing w:line="240" w:lineRule="auto"/>
        <w:ind w:left="0"/>
        <w:jc w:val="both"/>
        <w:rPr>
          <w:rFonts w:asciiTheme="majorBidi" w:hAnsiTheme="majorBidi" w:cstheme="majorBidi"/>
          <w:sz w:val="24"/>
          <w:szCs w:val="24"/>
        </w:rPr>
      </w:pPr>
      <w:r w:rsidRPr="00D944B1">
        <w:rPr>
          <w:rFonts w:asciiTheme="majorBidi" w:hAnsiTheme="majorBidi" w:cstheme="majorBidi"/>
          <w:sz w:val="24"/>
          <w:szCs w:val="24"/>
        </w:rPr>
        <w:tab/>
        <w:t xml:space="preserve">      </w:t>
      </w:r>
    </w:p>
    <w:p w:rsidR="00E14D65" w:rsidRDefault="00E14D65" w:rsidP="00E14D65">
      <w:pPr>
        <w:pStyle w:val="Paragraphedeliste"/>
        <w:spacing w:line="240" w:lineRule="auto"/>
        <w:ind w:left="0"/>
        <w:jc w:val="both"/>
        <w:rPr>
          <w:rFonts w:asciiTheme="majorBidi" w:hAnsiTheme="majorBidi" w:cstheme="majorBidi"/>
          <w:sz w:val="24"/>
          <w:szCs w:val="24"/>
        </w:rPr>
      </w:pPr>
    </w:p>
    <w:p w:rsidR="00E14D65" w:rsidRPr="00D944B1" w:rsidRDefault="00E14D65" w:rsidP="00E14D65">
      <w:pPr>
        <w:pStyle w:val="Paragraphedeliste"/>
        <w:spacing w:line="240" w:lineRule="auto"/>
        <w:ind w:left="0"/>
        <w:jc w:val="both"/>
        <w:rPr>
          <w:rFonts w:asciiTheme="majorBidi" w:hAnsiTheme="majorBidi" w:cstheme="majorBidi"/>
          <w:sz w:val="24"/>
          <w:szCs w:val="24"/>
        </w:rPr>
      </w:pPr>
    </w:p>
    <w:p w:rsidR="001E435C" w:rsidRPr="001E435C" w:rsidRDefault="009743D8" w:rsidP="001E435C">
      <w:pPr>
        <w:pStyle w:val="Paragraphedeliste"/>
        <w:numPr>
          <w:ilvl w:val="2"/>
          <w:numId w:val="1"/>
        </w:numPr>
        <w:spacing w:line="360" w:lineRule="auto"/>
        <w:jc w:val="both"/>
        <w:rPr>
          <w:rFonts w:asciiTheme="majorBidi" w:hAnsiTheme="majorBidi" w:cstheme="majorBidi"/>
          <w:b/>
          <w:bCs/>
          <w:sz w:val="28"/>
          <w:szCs w:val="28"/>
        </w:rPr>
      </w:pPr>
      <w:r w:rsidRPr="00D944B1">
        <w:rPr>
          <w:rFonts w:asciiTheme="majorBidi" w:hAnsiTheme="majorBidi" w:cstheme="majorBidi"/>
          <w:b/>
          <w:bCs/>
          <w:sz w:val="28"/>
          <w:szCs w:val="28"/>
        </w:rPr>
        <w:lastRenderedPageBreak/>
        <w:t xml:space="preserve">Rôle crucial de l’assurance dans l’économie </w:t>
      </w:r>
    </w:p>
    <w:p w:rsidR="009743D8" w:rsidRPr="00D944B1" w:rsidRDefault="009743D8" w:rsidP="00E14D65">
      <w:pPr>
        <w:pStyle w:val="Paragraphedeliste"/>
        <w:spacing w:line="360" w:lineRule="auto"/>
        <w:ind w:left="0"/>
        <w:jc w:val="both"/>
        <w:rPr>
          <w:rFonts w:asciiTheme="majorBidi" w:hAnsiTheme="majorBidi" w:cstheme="majorBidi"/>
          <w:sz w:val="24"/>
          <w:szCs w:val="24"/>
        </w:rPr>
      </w:pPr>
      <w:r w:rsidRPr="00D944B1">
        <w:rPr>
          <w:rFonts w:asciiTheme="majorBidi" w:hAnsiTheme="majorBidi" w:cstheme="majorBidi"/>
          <w:b/>
          <w:bCs/>
          <w:sz w:val="28"/>
          <w:szCs w:val="28"/>
        </w:rPr>
        <w:tab/>
      </w:r>
      <w:r w:rsidRPr="00D944B1">
        <w:rPr>
          <w:rFonts w:asciiTheme="majorBidi" w:hAnsiTheme="majorBidi" w:cstheme="majorBidi"/>
          <w:sz w:val="24"/>
          <w:szCs w:val="24"/>
        </w:rPr>
        <w:t>L’assurance permet  à l’économie de se développer en permettant le transfert d’un risque qui ne serait pas supportable par un unique individu ou société vers une société plus à même de les supporter du fait de la mutualisation des risques. Le mécanisme d’assurance facilite les initiatives économiques. Son efficience est garantie par le contrôle prudentiel des sociétés d’assurance.</w:t>
      </w:r>
    </w:p>
    <w:p w:rsidR="009743D8" w:rsidRPr="00D944B1" w:rsidRDefault="009743D8"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ab/>
        <w:t>Dans les économies de marché, les compagnies d’assurance jouent de plus un rôle d’investisseur institutionnel. Du fait de l’inversion du cycle de production, l’assureur a la possibilité (le temps) de placer sur les marchés financiers les primes perçues avant de payer les sinistres. Les sommes en jeu sont considérables et permettent aux entreprises cotées ou faisant appel public à l’épargne de se développer grâce à cet apport massif de capitaux. La pérennité des sociétés d’assurance profite au développement économique.</w:t>
      </w:r>
      <w:r w:rsidRPr="00D944B1">
        <w:rPr>
          <w:rStyle w:val="Appelnotedebasdep"/>
        </w:rPr>
        <w:footnoteReference w:id="9"/>
      </w:r>
    </w:p>
    <w:p w:rsidR="0054581A" w:rsidRPr="00D944B1" w:rsidRDefault="0054581A" w:rsidP="00E14D65">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br w:type="page"/>
      </w:r>
    </w:p>
    <w:p w:rsidR="001E435C" w:rsidRPr="00C1263A" w:rsidRDefault="00DB446A" w:rsidP="009B70FC">
      <w:pPr>
        <w:autoSpaceDE w:val="0"/>
        <w:autoSpaceDN w:val="0"/>
        <w:adjustRightInd w:val="0"/>
        <w:spacing w:after="0" w:line="360" w:lineRule="auto"/>
        <w:jc w:val="both"/>
        <w:rPr>
          <w:rFonts w:asciiTheme="majorBidi" w:hAnsiTheme="majorBidi" w:cstheme="majorBidi"/>
          <w:b/>
          <w:bCs/>
          <w:sz w:val="30"/>
          <w:szCs w:val="30"/>
        </w:rPr>
      </w:pPr>
      <w:r w:rsidRPr="00C1263A">
        <w:rPr>
          <w:rFonts w:asciiTheme="majorBidi" w:hAnsiTheme="majorBidi" w:cstheme="majorBidi"/>
          <w:b/>
          <w:bCs/>
          <w:sz w:val="30"/>
          <w:szCs w:val="30"/>
        </w:rPr>
        <w:lastRenderedPageBreak/>
        <w:t>SECTION 2:</w:t>
      </w:r>
      <w:r w:rsidR="009B70FC" w:rsidRPr="00C1263A">
        <w:rPr>
          <w:rFonts w:asciiTheme="majorBidi" w:hAnsiTheme="majorBidi" w:cstheme="majorBidi"/>
          <w:b/>
          <w:bCs/>
          <w:sz w:val="30"/>
          <w:szCs w:val="30"/>
        </w:rPr>
        <w:t xml:space="preserve"> METHODE DE CALCUL DE LA MARGE DE SOLVABILITE ET CRITIQUES A </w:t>
      </w:r>
      <w:r w:rsidR="00C1263A" w:rsidRPr="00C1263A">
        <w:rPr>
          <w:rFonts w:asciiTheme="majorBidi" w:hAnsiTheme="majorBidi" w:cstheme="majorBidi"/>
          <w:b/>
          <w:bCs/>
          <w:sz w:val="30"/>
          <w:szCs w:val="30"/>
        </w:rPr>
        <w:t>L’ ENCONTRE de Solvency I</w:t>
      </w:r>
      <w:r w:rsidR="009B70FC" w:rsidRPr="00C1263A">
        <w:rPr>
          <w:rFonts w:asciiTheme="majorBidi" w:hAnsiTheme="majorBidi" w:cstheme="majorBidi"/>
          <w:b/>
          <w:bCs/>
          <w:sz w:val="30"/>
          <w:szCs w:val="30"/>
        </w:rPr>
        <w:t xml:space="preserve"> </w:t>
      </w:r>
    </w:p>
    <w:p w:rsidR="00D15538" w:rsidRPr="004C12E5" w:rsidRDefault="006511C7" w:rsidP="003D7FEC">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r>
      <w:r w:rsidR="00D15538" w:rsidRPr="00D944B1">
        <w:rPr>
          <w:rFonts w:asciiTheme="majorBidi" w:hAnsiTheme="majorBidi" w:cstheme="majorBidi"/>
          <w:sz w:val="24"/>
          <w:szCs w:val="24"/>
        </w:rPr>
        <w:t>Avant de présente</w:t>
      </w:r>
      <w:r w:rsidR="00C1263A">
        <w:rPr>
          <w:rFonts w:asciiTheme="majorBidi" w:hAnsiTheme="majorBidi" w:cstheme="majorBidi"/>
          <w:sz w:val="24"/>
          <w:szCs w:val="24"/>
        </w:rPr>
        <w:t>r les différentes critiques de S</w:t>
      </w:r>
      <w:r w:rsidR="00D15538" w:rsidRPr="00D944B1">
        <w:rPr>
          <w:rFonts w:asciiTheme="majorBidi" w:hAnsiTheme="majorBidi" w:cstheme="majorBidi"/>
          <w:sz w:val="24"/>
          <w:szCs w:val="24"/>
        </w:rPr>
        <w:t xml:space="preserve">olvency </w:t>
      </w:r>
      <w:r w:rsidR="00DB446A">
        <w:rPr>
          <w:rFonts w:asciiTheme="majorBidi" w:hAnsiTheme="majorBidi" w:cstheme="majorBidi"/>
          <w:sz w:val="24"/>
          <w:szCs w:val="24"/>
        </w:rPr>
        <w:t xml:space="preserve">I, nous avons jugé bon d’exposer </w:t>
      </w:r>
      <w:r w:rsidR="003D7FEC">
        <w:rPr>
          <w:rFonts w:asciiTheme="majorBidi" w:hAnsiTheme="majorBidi" w:cstheme="majorBidi"/>
          <w:sz w:val="24"/>
          <w:szCs w:val="24"/>
        </w:rPr>
        <w:t>la méthode</w:t>
      </w:r>
      <w:r w:rsidR="008F6FE3">
        <w:rPr>
          <w:rFonts w:asciiTheme="majorBidi" w:hAnsiTheme="majorBidi" w:cstheme="majorBidi"/>
          <w:sz w:val="24"/>
          <w:szCs w:val="24"/>
        </w:rPr>
        <w:t xml:space="preserve"> </w:t>
      </w:r>
      <w:r w:rsidR="00D15538" w:rsidRPr="00D944B1">
        <w:rPr>
          <w:rFonts w:asciiTheme="majorBidi" w:hAnsiTheme="majorBidi" w:cstheme="majorBidi"/>
          <w:sz w:val="24"/>
          <w:szCs w:val="24"/>
        </w:rPr>
        <w:t>de calcul de la marge de solvabilité afin de tirer</w:t>
      </w:r>
      <w:r w:rsidR="004C12E5">
        <w:rPr>
          <w:rFonts w:asciiTheme="majorBidi" w:hAnsiTheme="majorBidi" w:cstheme="majorBidi"/>
          <w:sz w:val="24"/>
          <w:szCs w:val="24"/>
        </w:rPr>
        <w:t xml:space="preserve"> les différentes limites du </w:t>
      </w:r>
      <w:r w:rsidR="007446A9">
        <w:rPr>
          <w:rFonts w:asciiTheme="majorBidi" w:hAnsiTheme="majorBidi" w:cstheme="majorBidi"/>
          <w:sz w:val="24"/>
          <w:szCs w:val="24"/>
        </w:rPr>
        <w:t>système actuel de solvabilité (S</w:t>
      </w:r>
      <w:r w:rsidR="004C12E5">
        <w:rPr>
          <w:rFonts w:asciiTheme="majorBidi" w:hAnsiTheme="majorBidi" w:cstheme="majorBidi"/>
          <w:sz w:val="24"/>
          <w:szCs w:val="24"/>
        </w:rPr>
        <w:t>olvency I)</w:t>
      </w:r>
      <w:r w:rsidR="004C12E5">
        <w:rPr>
          <w:rFonts w:asciiTheme="majorBidi" w:hAnsiTheme="majorBidi" w:cstheme="majorBidi"/>
          <w:b/>
          <w:bCs/>
          <w:sz w:val="24"/>
          <w:szCs w:val="24"/>
        </w:rPr>
        <w:t>.</w:t>
      </w:r>
    </w:p>
    <w:p w:rsidR="006F498F" w:rsidRDefault="00C1263A" w:rsidP="00E14D65">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2.1. </w:t>
      </w:r>
      <w:r w:rsidR="007446A9">
        <w:rPr>
          <w:rFonts w:asciiTheme="majorBidi" w:hAnsiTheme="majorBidi" w:cstheme="majorBidi"/>
          <w:b/>
          <w:bCs/>
          <w:sz w:val="28"/>
          <w:szCs w:val="28"/>
        </w:rPr>
        <w:t xml:space="preserve">Méthode de calcul de la marge de solvabilité selon Solvency I </w:t>
      </w:r>
    </w:p>
    <w:p w:rsidR="00AF743A" w:rsidRDefault="009F00F6" w:rsidP="00E14D65">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4"/>
          <w:szCs w:val="24"/>
        </w:rPr>
        <w:tab/>
      </w:r>
      <w:r w:rsidR="00C1263A">
        <w:rPr>
          <w:rFonts w:asciiTheme="majorBidi" w:hAnsiTheme="majorBidi" w:cstheme="majorBidi"/>
          <w:sz w:val="24"/>
          <w:szCs w:val="24"/>
        </w:rPr>
        <w:t>Nous avons jugé opportun</w:t>
      </w:r>
      <w:r w:rsidR="00AF743A" w:rsidRPr="00BF416A">
        <w:rPr>
          <w:rFonts w:asciiTheme="majorBidi" w:hAnsiTheme="majorBidi" w:cstheme="majorBidi"/>
          <w:sz w:val="24"/>
          <w:szCs w:val="24"/>
        </w:rPr>
        <w:t xml:space="preserve"> de prendre l’exemple d’une compagnie d’assurance tuni</w:t>
      </w:r>
      <w:r w:rsidR="00BF416A" w:rsidRPr="00BF416A">
        <w:rPr>
          <w:rFonts w:asciiTheme="majorBidi" w:hAnsiTheme="majorBidi" w:cstheme="majorBidi"/>
          <w:sz w:val="24"/>
          <w:szCs w:val="24"/>
        </w:rPr>
        <w:t>sienne</w:t>
      </w:r>
      <w:r w:rsidR="00BF416A">
        <w:rPr>
          <w:rFonts w:asciiTheme="majorBidi" w:hAnsiTheme="majorBidi" w:cstheme="majorBidi"/>
          <w:b/>
          <w:bCs/>
          <w:sz w:val="28"/>
          <w:szCs w:val="28"/>
        </w:rPr>
        <w:t xml:space="preserve"> </w:t>
      </w:r>
      <w:r w:rsidR="00BF416A" w:rsidRPr="009F00F6">
        <w:rPr>
          <w:rFonts w:asciiTheme="majorBidi" w:hAnsiTheme="majorBidi" w:cstheme="majorBidi"/>
          <w:sz w:val="24"/>
          <w:szCs w:val="24"/>
        </w:rPr>
        <w:t xml:space="preserve">puisque </w:t>
      </w:r>
      <w:r w:rsidR="00220619" w:rsidRPr="009F00F6">
        <w:rPr>
          <w:rFonts w:asciiTheme="majorBidi" w:hAnsiTheme="majorBidi" w:cstheme="majorBidi"/>
          <w:sz w:val="24"/>
          <w:szCs w:val="24"/>
        </w:rPr>
        <w:t xml:space="preserve">elle a presque les mêmes caractéristiques qu’une compagnie algérienne et distribue les mêmes produits et surtout </w:t>
      </w:r>
      <w:r w:rsidR="001B3AB7" w:rsidRPr="009F00F6">
        <w:rPr>
          <w:rFonts w:asciiTheme="majorBidi" w:hAnsiTheme="majorBidi" w:cstheme="majorBidi"/>
          <w:sz w:val="24"/>
          <w:szCs w:val="24"/>
        </w:rPr>
        <w:t xml:space="preserve">que le régulateur algérien </w:t>
      </w:r>
      <w:r w:rsidR="00CD7EEF" w:rsidRPr="009F00F6">
        <w:rPr>
          <w:rFonts w:asciiTheme="majorBidi" w:hAnsiTheme="majorBidi" w:cstheme="majorBidi"/>
          <w:sz w:val="24"/>
          <w:szCs w:val="24"/>
        </w:rPr>
        <w:t xml:space="preserve">prépare un projet pour la réforme </w:t>
      </w:r>
      <w:r w:rsidR="002E2DD8" w:rsidRPr="009F00F6">
        <w:rPr>
          <w:rFonts w:asciiTheme="majorBidi" w:hAnsiTheme="majorBidi" w:cstheme="majorBidi"/>
          <w:sz w:val="24"/>
          <w:szCs w:val="24"/>
        </w:rPr>
        <w:t xml:space="preserve">des lois régissant la solvabilité des assureurs qui tend  vers la </w:t>
      </w:r>
      <w:r w:rsidRPr="009F00F6">
        <w:rPr>
          <w:rFonts w:asciiTheme="majorBidi" w:hAnsiTheme="majorBidi" w:cstheme="majorBidi"/>
          <w:sz w:val="24"/>
          <w:szCs w:val="24"/>
        </w:rPr>
        <w:t>réglementation</w:t>
      </w:r>
      <w:r w:rsidR="002E2DD8" w:rsidRPr="009F00F6">
        <w:rPr>
          <w:rFonts w:asciiTheme="majorBidi" w:hAnsiTheme="majorBidi" w:cstheme="majorBidi"/>
          <w:sz w:val="24"/>
          <w:szCs w:val="24"/>
        </w:rPr>
        <w:t xml:space="preserve"> tunisienne</w:t>
      </w:r>
      <w:r w:rsidR="00071494">
        <w:rPr>
          <w:rFonts w:asciiTheme="majorBidi" w:hAnsiTheme="majorBidi" w:cstheme="majorBidi"/>
          <w:sz w:val="24"/>
          <w:szCs w:val="24"/>
        </w:rPr>
        <w:t xml:space="preserve"> fortement inspirée de  </w:t>
      </w:r>
      <w:r w:rsidR="009B70FC">
        <w:rPr>
          <w:rFonts w:asciiTheme="majorBidi" w:hAnsiTheme="majorBidi" w:cstheme="majorBidi"/>
          <w:sz w:val="24"/>
          <w:szCs w:val="24"/>
        </w:rPr>
        <w:t>la réglementation française.</w:t>
      </w:r>
      <w:r w:rsidR="00220619" w:rsidRPr="009F00F6">
        <w:rPr>
          <w:rFonts w:asciiTheme="majorBidi" w:hAnsiTheme="majorBidi" w:cstheme="majorBidi"/>
          <w:sz w:val="24"/>
          <w:szCs w:val="24"/>
        </w:rPr>
        <w:t xml:space="preserve">  </w:t>
      </w:r>
      <w:r w:rsidR="00BF416A" w:rsidRPr="009F00F6">
        <w:rPr>
          <w:rFonts w:asciiTheme="majorBidi" w:hAnsiTheme="majorBidi" w:cstheme="majorBidi"/>
          <w:sz w:val="28"/>
          <w:szCs w:val="28"/>
        </w:rPr>
        <w:t xml:space="preserve"> </w:t>
      </w:r>
    </w:p>
    <w:p w:rsidR="009F00F6" w:rsidRPr="00BF416A" w:rsidRDefault="009F00F6" w:rsidP="009F00F6">
      <w:pPr>
        <w:autoSpaceDE w:val="0"/>
        <w:autoSpaceDN w:val="0"/>
        <w:adjustRightInd w:val="0"/>
        <w:spacing w:after="0" w:line="240" w:lineRule="auto"/>
        <w:jc w:val="both"/>
        <w:rPr>
          <w:rFonts w:asciiTheme="majorBidi" w:hAnsiTheme="majorBidi" w:cstheme="majorBidi"/>
          <w:b/>
          <w:bCs/>
          <w:sz w:val="28"/>
          <w:szCs w:val="28"/>
        </w:rPr>
      </w:pPr>
    </w:p>
    <w:p w:rsidR="00817BB4" w:rsidRPr="004C12E5" w:rsidRDefault="006F498F" w:rsidP="00E14D65">
      <w:pPr>
        <w:autoSpaceDE w:val="0"/>
        <w:autoSpaceDN w:val="0"/>
        <w:adjustRightInd w:val="0"/>
        <w:spacing w:line="360" w:lineRule="auto"/>
        <w:jc w:val="both"/>
        <w:rPr>
          <w:rFonts w:asciiTheme="majorBidi" w:hAnsiTheme="majorBidi" w:cstheme="majorBidi"/>
          <w:b/>
          <w:bCs/>
          <w:sz w:val="28"/>
          <w:szCs w:val="28"/>
        </w:rPr>
      </w:pPr>
      <w:r w:rsidRPr="00D944B1">
        <w:rPr>
          <w:rFonts w:asciiTheme="majorBidi" w:hAnsiTheme="majorBidi" w:cstheme="majorBidi"/>
          <w:b/>
          <w:bCs/>
          <w:sz w:val="28"/>
          <w:szCs w:val="28"/>
        </w:rPr>
        <w:t xml:space="preserve">2.1.1. La marge de solvabilité disponible </w:t>
      </w:r>
    </w:p>
    <w:p w:rsidR="006511C7" w:rsidRPr="00881F51" w:rsidRDefault="006F498F" w:rsidP="00E14D65">
      <w:pPr>
        <w:autoSpaceDE w:val="0"/>
        <w:autoSpaceDN w:val="0"/>
        <w:adjustRightInd w:val="0"/>
        <w:spacing w:after="0" w:line="360" w:lineRule="auto"/>
        <w:jc w:val="both"/>
        <w:rPr>
          <w:rFonts w:asciiTheme="majorBidi" w:hAnsiTheme="majorBidi" w:cstheme="majorBidi"/>
          <w:sz w:val="16"/>
          <w:szCs w:val="16"/>
        </w:rPr>
      </w:pPr>
      <w:r w:rsidRPr="00D944B1">
        <w:rPr>
          <w:rFonts w:asciiTheme="majorBidi" w:hAnsiTheme="majorBidi" w:cstheme="majorBidi"/>
          <w:sz w:val="24"/>
          <w:szCs w:val="24"/>
        </w:rPr>
        <w:t xml:space="preserve"> </w:t>
      </w:r>
      <w:r w:rsidR="006511C7" w:rsidRPr="00D944B1">
        <w:rPr>
          <w:rFonts w:asciiTheme="majorBidi" w:hAnsiTheme="majorBidi" w:cstheme="majorBidi"/>
          <w:sz w:val="24"/>
          <w:szCs w:val="24"/>
        </w:rPr>
        <w:tab/>
      </w:r>
      <w:r w:rsidR="002D70C2" w:rsidRPr="00D944B1">
        <w:rPr>
          <w:rFonts w:asciiTheme="majorBidi" w:hAnsiTheme="majorBidi" w:cstheme="majorBidi"/>
          <w:snapToGrid w:val="0"/>
          <w:sz w:val="24"/>
          <w:szCs w:val="24"/>
        </w:rPr>
        <w:t xml:space="preserve"> Conformément à l’article 58 de la loi n° 2002-37 du 1</w:t>
      </w:r>
      <w:r w:rsidR="002D70C2" w:rsidRPr="00D944B1">
        <w:rPr>
          <w:rFonts w:asciiTheme="majorBidi" w:hAnsiTheme="majorBidi" w:cstheme="majorBidi"/>
          <w:snapToGrid w:val="0"/>
          <w:sz w:val="24"/>
          <w:szCs w:val="24"/>
          <w:vertAlign w:val="superscript"/>
        </w:rPr>
        <w:t>er</w:t>
      </w:r>
      <w:r w:rsidR="002D70C2" w:rsidRPr="00D944B1">
        <w:rPr>
          <w:rFonts w:asciiTheme="majorBidi" w:hAnsiTheme="majorBidi" w:cstheme="majorBidi"/>
          <w:snapToGrid w:val="0"/>
          <w:sz w:val="24"/>
          <w:szCs w:val="24"/>
        </w:rPr>
        <w:t xml:space="preserve"> avril 2002 modifiant et complétant le code des assurances  la marge de solvabilité</w:t>
      </w:r>
      <w:r w:rsidRPr="00D944B1">
        <w:rPr>
          <w:rFonts w:asciiTheme="majorBidi" w:hAnsiTheme="majorBidi" w:cstheme="majorBidi"/>
          <w:sz w:val="24"/>
          <w:szCs w:val="24"/>
        </w:rPr>
        <w:t xml:space="preserve"> disponible de la  Compagnie d’Assurances et de Réassurances Tuniso – Européenne   « CARTE » Au 31 Décembre 2010</w:t>
      </w:r>
      <w:r w:rsidR="00881F51">
        <w:rPr>
          <w:rFonts w:asciiTheme="majorBidi" w:hAnsiTheme="majorBidi" w:cstheme="majorBidi"/>
          <w:sz w:val="24"/>
          <w:szCs w:val="24"/>
        </w:rPr>
        <w:t xml:space="preserve"> se présente comme suit:</w:t>
      </w:r>
    </w:p>
    <w:p w:rsidR="006F498F" w:rsidRPr="00881F51" w:rsidRDefault="006F498F" w:rsidP="00E14D65">
      <w:pPr>
        <w:spacing w:after="0" w:line="360" w:lineRule="auto"/>
        <w:jc w:val="both"/>
        <w:rPr>
          <w:rFonts w:asciiTheme="majorBidi" w:hAnsiTheme="majorBidi" w:cstheme="majorBidi"/>
          <w:b/>
          <w:sz w:val="16"/>
          <w:szCs w:val="16"/>
        </w:rPr>
      </w:pPr>
      <w:r w:rsidRPr="00881F51">
        <w:rPr>
          <w:rFonts w:asciiTheme="majorBidi" w:hAnsiTheme="majorBidi" w:cstheme="majorBidi"/>
          <w:b/>
          <w:sz w:val="16"/>
          <w:szCs w:val="16"/>
        </w:rPr>
        <w:t xml:space="preserve">                                                                                                </w:t>
      </w:r>
      <w:r w:rsidR="001A1E31" w:rsidRPr="00881F51">
        <w:rPr>
          <w:rFonts w:asciiTheme="majorBidi" w:hAnsiTheme="majorBidi" w:cstheme="majorBidi"/>
          <w:b/>
          <w:sz w:val="16"/>
          <w:szCs w:val="16"/>
        </w:rPr>
        <w:t xml:space="preserve">            </w:t>
      </w:r>
      <w:r w:rsidR="00881F51">
        <w:rPr>
          <w:rFonts w:asciiTheme="majorBidi" w:hAnsiTheme="majorBidi" w:cstheme="majorBidi"/>
          <w:b/>
          <w:sz w:val="16"/>
          <w:szCs w:val="16"/>
        </w:rPr>
        <w:t xml:space="preserve">                                              </w:t>
      </w:r>
      <w:r w:rsidR="001A1E31" w:rsidRPr="00881F51">
        <w:rPr>
          <w:rFonts w:asciiTheme="majorBidi" w:hAnsiTheme="majorBidi" w:cstheme="majorBidi"/>
          <w:b/>
          <w:sz w:val="16"/>
          <w:szCs w:val="16"/>
        </w:rPr>
        <w:t xml:space="preserve">    </w:t>
      </w:r>
      <w:r w:rsidRPr="00881F51">
        <w:rPr>
          <w:rFonts w:asciiTheme="majorBidi" w:hAnsiTheme="majorBidi" w:cstheme="majorBidi"/>
          <w:b/>
          <w:sz w:val="16"/>
          <w:szCs w:val="16"/>
        </w:rPr>
        <w:t xml:space="preserve">    (Montant exprimé en Dinar Tunisien)</w:t>
      </w:r>
    </w:p>
    <w:tbl>
      <w:tblPr>
        <w:tblStyle w:val="Grillemoyenne3-Accent4"/>
        <w:tblW w:w="5000" w:type="pct"/>
        <w:tblLook w:val="04A0"/>
      </w:tblPr>
      <w:tblGrid>
        <w:gridCol w:w="7722"/>
        <w:gridCol w:w="1566"/>
      </w:tblGrid>
      <w:tr w:rsidR="006F498F" w:rsidRPr="00D944B1" w:rsidTr="002D70C2">
        <w:trPr>
          <w:cnfStyle w:val="100000000000"/>
          <w:trHeight w:val="270"/>
        </w:trPr>
        <w:tc>
          <w:tcPr>
            <w:cnfStyle w:val="001000000000"/>
            <w:tcW w:w="4157" w:type="pct"/>
            <w:noWrap/>
            <w:hideMark/>
          </w:tcPr>
          <w:p w:rsidR="006F498F" w:rsidRPr="00D944B1" w:rsidRDefault="006F498F" w:rsidP="00E14D65">
            <w:pPr>
              <w:spacing w:line="360" w:lineRule="auto"/>
              <w:jc w:val="both"/>
              <w:rPr>
                <w:rFonts w:asciiTheme="majorBidi" w:hAnsiTheme="majorBidi" w:cstheme="majorBidi"/>
                <w:sz w:val="24"/>
                <w:szCs w:val="24"/>
                <w:u w:val="single"/>
              </w:rPr>
            </w:pPr>
            <w:r w:rsidRPr="00D944B1">
              <w:rPr>
                <w:rFonts w:asciiTheme="majorBidi" w:hAnsiTheme="majorBidi" w:cstheme="majorBidi"/>
                <w:sz w:val="24"/>
                <w:szCs w:val="24"/>
                <w:u w:val="single"/>
              </w:rPr>
              <w:t xml:space="preserve">Paramètres </w:t>
            </w:r>
          </w:p>
        </w:tc>
        <w:tc>
          <w:tcPr>
            <w:tcW w:w="843" w:type="pct"/>
            <w:noWrap/>
            <w:hideMark/>
          </w:tcPr>
          <w:p w:rsidR="006F498F" w:rsidRPr="00D944B1" w:rsidRDefault="006F498F" w:rsidP="00E14D65">
            <w:pPr>
              <w:spacing w:line="360" w:lineRule="auto"/>
              <w:jc w:val="both"/>
              <w:cnfStyle w:val="100000000000"/>
              <w:rPr>
                <w:rFonts w:asciiTheme="majorBidi" w:hAnsiTheme="majorBidi" w:cstheme="majorBidi"/>
                <w:sz w:val="24"/>
                <w:szCs w:val="24"/>
              </w:rPr>
            </w:pPr>
            <w:r w:rsidRPr="00D944B1">
              <w:rPr>
                <w:rFonts w:asciiTheme="majorBidi" w:hAnsiTheme="majorBidi" w:cstheme="majorBidi"/>
                <w:sz w:val="24"/>
                <w:szCs w:val="24"/>
              </w:rPr>
              <w:t>Montant</w:t>
            </w:r>
          </w:p>
        </w:tc>
      </w:tr>
      <w:tr w:rsidR="006F498F" w:rsidRPr="00D944B1" w:rsidTr="002D70C2">
        <w:trPr>
          <w:cnfStyle w:val="000000100000"/>
          <w:trHeight w:val="255"/>
        </w:trPr>
        <w:tc>
          <w:tcPr>
            <w:cnfStyle w:val="001000000000"/>
            <w:tcW w:w="4157" w:type="pct"/>
            <w:noWrap/>
            <w:hideMark/>
          </w:tcPr>
          <w:p w:rsidR="006F498F" w:rsidRPr="00D944B1" w:rsidRDefault="006F498F" w:rsidP="00E14D65">
            <w:pPr>
              <w:spacing w:line="360" w:lineRule="auto"/>
              <w:jc w:val="both"/>
              <w:rPr>
                <w:rFonts w:asciiTheme="majorBidi" w:hAnsiTheme="majorBidi" w:cstheme="majorBidi"/>
                <w:color w:val="000000" w:themeColor="text1"/>
                <w:sz w:val="24"/>
                <w:szCs w:val="24"/>
              </w:rPr>
            </w:pPr>
            <w:r w:rsidRPr="00D944B1">
              <w:rPr>
                <w:rFonts w:asciiTheme="majorBidi" w:hAnsiTheme="majorBidi" w:cstheme="majorBidi"/>
                <w:color w:val="000000" w:themeColor="text1"/>
                <w:sz w:val="24"/>
                <w:szCs w:val="24"/>
              </w:rPr>
              <w:t>Capital social libéré</w:t>
            </w:r>
          </w:p>
        </w:tc>
        <w:tc>
          <w:tcPr>
            <w:tcW w:w="843" w:type="pct"/>
            <w:noWrap/>
            <w:hideMark/>
          </w:tcPr>
          <w:p w:rsidR="006F498F" w:rsidRPr="00D944B1" w:rsidRDefault="006F498F" w:rsidP="00E14D65">
            <w:pPr>
              <w:spacing w:line="360" w:lineRule="auto"/>
              <w:ind w:right="211"/>
              <w:jc w:val="both"/>
              <w:cnfStyle w:val="000000100000"/>
              <w:rPr>
                <w:rFonts w:asciiTheme="majorBidi" w:hAnsiTheme="majorBidi" w:cstheme="majorBidi"/>
                <w:color w:val="000000" w:themeColor="text1"/>
                <w:sz w:val="24"/>
                <w:szCs w:val="24"/>
              </w:rPr>
            </w:pPr>
            <w:r w:rsidRPr="00D944B1">
              <w:rPr>
                <w:rFonts w:asciiTheme="majorBidi" w:hAnsiTheme="majorBidi" w:cstheme="majorBidi"/>
                <w:color w:val="000000" w:themeColor="text1"/>
                <w:sz w:val="24"/>
                <w:szCs w:val="24"/>
              </w:rPr>
              <w:t>20 000 000</w:t>
            </w:r>
          </w:p>
        </w:tc>
      </w:tr>
      <w:tr w:rsidR="006F498F" w:rsidRPr="00D944B1" w:rsidTr="002D70C2">
        <w:trPr>
          <w:trHeight w:val="255"/>
        </w:trPr>
        <w:tc>
          <w:tcPr>
            <w:cnfStyle w:val="001000000000"/>
            <w:tcW w:w="4157" w:type="pct"/>
            <w:noWrap/>
            <w:hideMark/>
          </w:tcPr>
          <w:p w:rsidR="006F498F" w:rsidRPr="00D944B1" w:rsidRDefault="006F498F" w:rsidP="00E14D65">
            <w:pPr>
              <w:spacing w:line="360" w:lineRule="auto"/>
              <w:jc w:val="both"/>
              <w:rPr>
                <w:rFonts w:asciiTheme="majorBidi" w:hAnsiTheme="majorBidi" w:cstheme="majorBidi"/>
                <w:color w:val="000000" w:themeColor="text1"/>
                <w:sz w:val="24"/>
                <w:szCs w:val="24"/>
              </w:rPr>
            </w:pPr>
            <w:r w:rsidRPr="00D944B1">
              <w:rPr>
                <w:rFonts w:asciiTheme="majorBidi" w:hAnsiTheme="majorBidi" w:cstheme="majorBidi"/>
                <w:color w:val="000000" w:themeColor="text1"/>
                <w:sz w:val="24"/>
                <w:szCs w:val="24"/>
              </w:rPr>
              <w:t>Réserves légales, statutaires et facultatives</w:t>
            </w:r>
          </w:p>
        </w:tc>
        <w:tc>
          <w:tcPr>
            <w:tcW w:w="843" w:type="pct"/>
            <w:noWrap/>
            <w:hideMark/>
          </w:tcPr>
          <w:p w:rsidR="006F498F" w:rsidRPr="00D944B1" w:rsidRDefault="006F498F" w:rsidP="00E14D65">
            <w:pPr>
              <w:spacing w:line="360" w:lineRule="auto"/>
              <w:ind w:right="211"/>
              <w:jc w:val="both"/>
              <w:cnfStyle w:val="000000000000"/>
              <w:rPr>
                <w:rFonts w:asciiTheme="majorBidi" w:hAnsiTheme="majorBidi" w:cstheme="majorBidi"/>
                <w:color w:val="000000" w:themeColor="text1"/>
                <w:sz w:val="24"/>
                <w:szCs w:val="24"/>
              </w:rPr>
            </w:pPr>
            <w:r w:rsidRPr="00D944B1">
              <w:rPr>
                <w:rFonts w:asciiTheme="majorBidi" w:hAnsiTheme="majorBidi" w:cstheme="majorBidi"/>
                <w:color w:val="000000" w:themeColor="text1"/>
                <w:sz w:val="24"/>
                <w:szCs w:val="24"/>
              </w:rPr>
              <w:t>37 342 165</w:t>
            </w:r>
          </w:p>
        </w:tc>
      </w:tr>
      <w:tr w:rsidR="006F498F" w:rsidRPr="00D944B1" w:rsidTr="002D70C2">
        <w:trPr>
          <w:cnfStyle w:val="000000100000"/>
          <w:trHeight w:val="255"/>
        </w:trPr>
        <w:tc>
          <w:tcPr>
            <w:cnfStyle w:val="001000000000"/>
            <w:tcW w:w="4157" w:type="pct"/>
            <w:noWrap/>
            <w:hideMark/>
          </w:tcPr>
          <w:p w:rsidR="006F498F" w:rsidRPr="00D944B1" w:rsidRDefault="006F498F" w:rsidP="00E14D65">
            <w:pPr>
              <w:spacing w:line="360" w:lineRule="auto"/>
              <w:jc w:val="both"/>
              <w:rPr>
                <w:rFonts w:asciiTheme="majorBidi" w:hAnsiTheme="majorBidi" w:cstheme="majorBidi"/>
                <w:color w:val="000000" w:themeColor="text1"/>
                <w:sz w:val="24"/>
                <w:szCs w:val="24"/>
              </w:rPr>
            </w:pPr>
            <w:r w:rsidRPr="00D944B1">
              <w:rPr>
                <w:rFonts w:asciiTheme="majorBidi" w:hAnsiTheme="majorBidi" w:cstheme="majorBidi"/>
                <w:color w:val="000000" w:themeColor="text1"/>
                <w:sz w:val="24"/>
                <w:szCs w:val="24"/>
              </w:rPr>
              <w:t>Bénéfices et  résultats reportés</w:t>
            </w:r>
          </w:p>
        </w:tc>
        <w:tc>
          <w:tcPr>
            <w:tcW w:w="843" w:type="pct"/>
            <w:noWrap/>
            <w:hideMark/>
          </w:tcPr>
          <w:p w:rsidR="006F498F" w:rsidRPr="00D944B1" w:rsidRDefault="006F498F" w:rsidP="00E14D65">
            <w:pPr>
              <w:spacing w:line="360" w:lineRule="auto"/>
              <w:ind w:right="211"/>
              <w:jc w:val="both"/>
              <w:cnfStyle w:val="000000100000"/>
              <w:rPr>
                <w:rFonts w:asciiTheme="majorBidi" w:hAnsiTheme="majorBidi" w:cstheme="majorBidi"/>
                <w:color w:val="000000" w:themeColor="text1"/>
                <w:sz w:val="24"/>
                <w:szCs w:val="24"/>
              </w:rPr>
            </w:pPr>
            <w:r w:rsidRPr="00D944B1">
              <w:rPr>
                <w:rFonts w:asciiTheme="majorBidi" w:hAnsiTheme="majorBidi" w:cstheme="majorBidi"/>
                <w:color w:val="000000" w:themeColor="text1"/>
                <w:sz w:val="24"/>
                <w:szCs w:val="24"/>
              </w:rPr>
              <w:t>11 887 579</w:t>
            </w:r>
          </w:p>
        </w:tc>
      </w:tr>
      <w:tr w:rsidR="006F498F" w:rsidRPr="00D944B1" w:rsidTr="002D70C2">
        <w:trPr>
          <w:trHeight w:val="270"/>
        </w:trPr>
        <w:tc>
          <w:tcPr>
            <w:cnfStyle w:val="001000000000"/>
            <w:tcW w:w="4157" w:type="pct"/>
            <w:noWrap/>
            <w:hideMark/>
          </w:tcPr>
          <w:p w:rsidR="006F498F" w:rsidRPr="00D944B1" w:rsidRDefault="006F498F" w:rsidP="00E14D65">
            <w:pPr>
              <w:spacing w:line="360" w:lineRule="auto"/>
              <w:jc w:val="both"/>
              <w:rPr>
                <w:rFonts w:asciiTheme="majorBidi" w:hAnsiTheme="majorBidi" w:cstheme="majorBidi"/>
                <w:sz w:val="24"/>
                <w:szCs w:val="24"/>
                <w:u w:val="single"/>
              </w:rPr>
            </w:pPr>
            <w:r w:rsidRPr="00D944B1">
              <w:rPr>
                <w:rFonts w:asciiTheme="majorBidi" w:hAnsiTheme="majorBidi" w:cstheme="majorBidi"/>
                <w:sz w:val="24"/>
                <w:szCs w:val="24"/>
                <w:u w:val="single"/>
              </w:rPr>
              <w:t>Total 1</w:t>
            </w:r>
          </w:p>
        </w:tc>
        <w:tc>
          <w:tcPr>
            <w:tcW w:w="843" w:type="pct"/>
            <w:noWrap/>
            <w:hideMark/>
          </w:tcPr>
          <w:p w:rsidR="006F498F" w:rsidRPr="00D944B1" w:rsidRDefault="006F498F" w:rsidP="00E14D65">
            <w:pPr>
              <w:spacing w:line="360" w:lineRule="auto"/>
              <w:ind w:right="211"/>
              <w:jc w:val="both"/>
              <w:cnfStyle w:val="000000000000"/>
              <w:rPr>
                <w:rFonts w:asciiTheme="majorBidi" w:hAnsiTheme="majorBidi" w:cstheme="majorBidi"/>
                <w:b/>
                <w:bCs/>
                <w:color w:val="000000" w:themeColor="text1"/>
                <w:sz w:val="24"/>
                <w:szCs w:val="24"/>
              </w:rPr>
            </w:pPr>
            <w:r w:rsidRPr="00D944B1">
              <w:rPr>
                <w:rFonts w:asciiTheme="majorBidi" w:hAnsiTheme="majorBidi" w:cstheme="majorBidi"/>
                <w:b/>
                <w:bCs/>
                <w:color w:val="000000" w:themeColor="text1"/>
                <w:sz w:val="24"/>
                <w:szCs w:val="24"/>
              </w:rPr>
              <w:t>69 229 744</w:t>
            </w:r>
          </w:p>
        </w:tc>
      </w:tr>
      <w:tr w:rsidR="006F498F" w:rsidRPr="00D944B1" w:rsidTr="002D70C2">
        <w:trPr>
          <w:cnfStyle w:val="000000100000"/>
          <w:trHeight w:val="199"/>
        </w:trPr>
        <w:tc>
          <w:tcPr>
            <w:cnfStyle w:val="001000000000"/>
            <w:tcW w:w="5000" w:type="pct"/>
            <w:gridSpan w:val="2"/>
            <w:noWrap/>
            <w:hideMark/>
          </w:tcPr>
          <w:p w:rsidR="006F498F" w:rsidRPr="00D944B1" w:rsidRDefault="006F498F" w:rsidP="00E14D65">
            <w:pPr>
              <w:spacing w:line="360" w:lineRule="auto"/>
              <w:ind w:right="211"/>
              <w:jc w:val="both"/>
              <w:rPr>
                <w:rFonts w:asciiTheme="majorBidi" w:hAnsiTheme="majorBidi" w:cstheme="majorBidi"/>
                <w:sz w:val="24"/>
                <w:szCs w:val="24"/>
              </w:rPr>
            </w:pPr>
            <w:r w:rsidRPr="00D944B1">
              <w:rPr>
                <w:rFonts w:asciiTheme="majorBidi" w:hAnsiTheme="majorBidi" w:cstheme="majorBidi"/>
                <w:sz w:val="24"/>
                <w:szCs w:val="24"/>
              </w:rPr>
              <w:t>Déductions</w:t>
            </w:r>
          </w:p>
        </w:tc>
      </w:tr>
      <w:tr w:rsidR="006F498F" w:rsidRPr="00D944B1" w:rsidTr="002D70C2">
        <w:trPr>
          <w:trHeight w:val="270"/>
        </w:trPr>
        <w:tc>
          <w:tcPr>
            <w:cnfStyle w:val="001000000000"/>
            <w:tcW w:w="4157" w:type="pct"/>
            <w:noWrap/>
            <w:hideMark/>
          </w:tcPr>
          <w:p w:rsidR="006F498F" w:rsidRPr="00D944B1" w:rsidRDefault="006F498F" w:rsidP="00E14D65">
            <w:pPr>
              <w:spacing w:line="360" w:lineRule="auto"/>
              <w:jc w:val="both"/>
              <w:rPr>
                <w:rFonts w:asciiTheme="majorBidi" w:hAnsiTheme="majorBidi" w:cstheme="majorBidi"/>
                <w:color w:val="000000" w:themeColor="text1"/>
                <w:sz w:val="24"/>
                <w:szCs w:val="24"/>
              </w:rPr>
            </w:pPr>
            <w:r w:rsidRPr="00D944B1">
              <w:rPr>
                <w:rFonts w:asciiTheme="majorBidi" w:hAnsiTheme="majorBidi" w:cstheme="majorBidi"/>
                <w:color w:val="000000" w:themeColor="text1"/>
                <w:sz w:val="24"/>
                <w:szCs w:val="24"/>
              </w:rPr>
              <w:t>Actifs incorporels</w:t>
            </w:r>
          </w:p>
        </w:tc>
        <w:tc>
          <w:tcPr>
            <w:tcW w:w="843" w:type="pct"/>
            <w:noWrap/>
            <w:hideMark/>
          </w:tcPr>
          <w:p w:rsidR="006F498F" w:rsidRPr="00D944B1" w:rsidRDefault="006F498F" w:rsidP="00E14D65">
            <w:pPr>
              <w:spacing w:line="360" w:lineRule="auto"/>
              <w:ind w:right="211"/>
              <w:jc w:val="both"/>
              <w:cnfStyle w:val="000000000000"/>
              <w:rPr>
                <w:rFonts w:asciiTheme="majorBidi" w:hAnsiTheme="majorBidi" w:cstheme="majorBidi"/>
                <w:color w:val="000000" w:themeColor="text1"/>
                <w:sz w:val="24"/>
                <w:szCs w:val="24"/>
              </w:rPr>
            </w:pPr>
            <w:r w:rsidRPr="00D944B1">
              <w:rPr>
                <w:rFonts w:asciiTheme="majorBidi" w:hAnsiTheme="majorBidi" w:cstheme="majorBidi"/>
                <w:color w:val="000000" w:themeColor="text1"/>
                <w:sz w:val="24"/>
                <w:szCs w:val="24"/>
              </w:rPr>
              <w:t>220 746</w:t>
            </w:r>
          </w:p>
        </w:tc>
      </w:tr>
      <w:tr w:rsidR="006F498F" w:rsidRPr="00D944B1" w:rsidTr="002D70C2">
        <w:trPr>
          <w:cnfStyle w:val="000000100000"/>
          <w:trHeight w:val="270"/>
        </w:trPr>
        <w:tc>
          <w:tcPr>
            <w:cnfStyle w:val="001000000000"/>
            <w:tcW w:w="4157" w:type="pct"/>
            <w:noWrap/>
            <w:hideMark/>
          </w:tcPr>
          <w:p w:rsidR="006F498F" w:rsidRPr="00D944B1" w:rsidRDefault="006F498F" w:rsidP="00E14D65">
            <w:pPr>
              <w:spacing w:line="360" w:lineRule="auto"/>
              <w:jc w:val="both"/>
              <w:rPr>
                <w:rFonts w:asciiTheme="majorBidi" w:hAnsiTheme="majorBidi" w:cstheme="majorBidi"/>
                <w:color w:val="000000" w:themeColor="text1"/>
                <w:sz w:val="24"/>
                <w:szCs w:val="24"/>
              </w:rPr>
            </w:pPr>
            <w:r w:rsidRPr="00D944B1">
              <w:rPr>
                <w:rFonts w:asciiTheme="majorBidi" w:hAnsiTheme="majorBidi" w:cstheme="majorBidi"/>
                <w:color w:val="000000" w:themeColor="text1"/>
                <w:sz w:val="24"/>
                <w:szCs w:val="24"/>
              </w:rPr>
              <w:t>Frais d'acquisitions reportés non admis en représentation de provisions</w:t>
            </w:r>
          </w:p>
        </w:tc>
        <w:tc>
          <w:tcPr>
            <w:tcW w:w="843" w:type="pct"/>
            <w:noWrap/>
            <w:hideMark/>
          </w:tcPr>
          <w:p w:rsidR="006F498F" w:rsidRPr="00D944B1" w:rsidRDefault="006F498F" w:rsidP="00E14D65">
            <w:pPr>
              <w:spacing w:line="360" w:lineRule="auto"/>
              <w:ind w:right="211"/>
              <w:jc w:val="both"/>
              <w:cnfStyle w:val="000000100000"/>
              <w:rPr>
                <w:rFonts w:asciiTheme="majorBidi" w:hAnsiTheme="majorBidi" w:cstheme="majorBidi"/>
                <w:color w:val="000000" w:themeColor="text1"/>
                <w:sz w:val="24"/>
                <w:szCs w:val="24"/>
              </w:rPr>
            </w:pPr>
            <w:r w:rsidRPr="00D944B1">
              <w:rPr>
                <w:rFonts w:asciiTheme="majorBidi" w:hAnsiTheme="majorBidi" w:cstheme="majorBidi"/>
                <w:color w:val="000000" w:themeColor="text1"/>
                <w:sz w:val="24"/>
                <w:szCs w:val="24"/>
              </w:rPr>
              <w:t>2 497 809</w:t>
            </w:r>
          </w:p>
        </w:tc>
      </w:tr>
      <w:tr w:rsidR="006F498F" w:rsidRPr="00D944B1" w:rsidTr="002D70C2">
        <w:trPr>
          <w:trHeight w:val="270"/>
        </w:trPr>
        <w:tc>
          <w:tcPr>
            <w:cnfStyle w:val="001000000000"/>
            <w:tcW w:w="4157" w:type="pct"/>
            <w:noWrap/>
            <w:hideMark/>
          </w:tcPr>
          <w:p w:rsidR="006F498F" w:rsidRPr="00D944B1" w:rsidRDefault="006F498F" w:rsidP="00E14D65">
            <w:pPr>
              <w:spacing w:line="360" w:lineRule="auto"/>
              <w:jc w:val="both"/>
              <w:rPr>
                <w:rFonts w:asciiTheme="majorBidi" w:hAnsiTheme="majorBidi" w:cstheme="majorBidi"/>
                <w:sz w:val="24"/>
                <w:szCs w:val="24"/>
                <w:u w:val="single"/>
              </w:rPr>
            </w:pPr>
            <w:r w:rsidRPr="00D944B1">
              <w:rPr>
                <w:rFonts w:asciiTheme="majorBidi" w:hAnsiTheme="majorBidi" w:cstheme="majorBidi"/>
                <w:sz w:val="24"/>
                <w:szCs w:val="24"/>
                <w:u w:val="single"/>
              </w:rPr>
              <w:t>Total 2</w:t>
            </w:r>
          </w:p>
        </w:tc>
        <w:tc>
          <w:tcPr>
            <w:tcW w:w="843" w:type="pct"/>
            <w:noWrap/>
            <w:hideMark/>
          </w:tcPr>
          <w:p w:rsidR="006F498F" w:rsidRPr="00D944B1" w:rsidRDefault="006F498F" w:rsidP="00E14D65">
            <w:pPr>
              <w:spacing w:line="360" w:lineRule="auto"/>
              <w:ind w:right="211"/>
              <w:jc w:val="both"/>
              <w:cnfStyle w:val="000000000000"/>
              <w:rPr>
                <w:rFonts w:asciiTheme="majorBidi" w:hAnsiTheme="majorBidi" w:cstheme="majorBidi"/>
                <w:b/>
                <w:bCs/>
                <w:color w:val="000000" w:themeColor="text1"/>
                <w:sz w:val="24"/>
                <w:szCs w:val="24"/>
              </w:rPr>
            </w:pPr>
            <w:r w:rsidRPr="00D944B1">
              <w:rPr>
                <w:rFonts w:asciiTheme="majorBidi" w:hAnsiTheme="majorBidi" w:cstheme="majorBidi"/>
                <w:b/>
                <w:bCs/>
                <w:color w:val="000000" w:themeColor="text1"/>
                <w:sz w:val="24"/>
                <w:szCs w:val="24"/>
              </w:rPr>
              <w:t>2 718 556</w:t>
            </w:r>
          </w:p>
        </w:tc>
      </w:tr>
      <w:tr w:rsidR="006F498F" w:rsidRPr="00D944B1" w:rsidTr="002D70C2">
        <w:trPr>
          <w:cnfStyle w:val="000000100000"/>
          <w:trHeight w:val="270"/>
        </w:trPr>
        <w:tc>
          <w:tcPr>
            <w:cnfStyle w:val="001000000000"/>
            <w:tcW w:w="4157" w:type="pct"/>
            <w:noWrap/>
            <w:hideMark/>
          </w:tcPr>
          <w:p w:rsidR="006F498F" w:rsidRPr="00D944B1" w:rsidRDefault="006F498F" w:rsidP="00E14D65">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Total</w:t>
            </w:r>
          </w:p>
        </w:tc>
        <w:tc>
          <w:tcPr>
            <w:tcW w:w="843" w:type="pct"/>
            <w:noWrap/>
            <w:hideMark/>
          </w:tcPr>
          <w:p w:rsidR="006F498F" w:rsidRPr="00D944B1" w:rsidRDefault="006F498F" w:rsidP="00E14D65">
            <w:pPr>
              <w:spacing w:line="360" w:lineRule="auto"/>
              <w:ind w:right="211"/>
              <w:jc w:val="both"/>
              <w:cnfStyle w:val="000000100000"/>
              <w:rPr>
                <w:rFonts w:asciiTheme="majorBidi" w:hAnsiTheme="majorBidi" w:cstheme="majorBidi"/>
                <w:b/>
                <w:bCs/>
                <w:color w:val="000000" w:themeColor="text1"/>
                <w:sz w:val="24"/>
                <w:szCs w:val="24"/>
              </w:rPr>
            </w:pPr>
            <w:r w:rsidRPr="00D944B1">
              <w:rPr>
                <w:rFonts w:asciiTheme="majorBidi" w:hAnsiTheme="majorBidi" w:cstheme="majorBidi"/>
                <w:b/>
                <w:bCs/>
                <w:color w:val="000000" w:themeColor="text1"/>
                <w:sz w:val="24"/>
                <w:szCs w:val="24"/>
              </w:rPr>
              <w:t>66 511 189</w:t>
            </w:r>
          </w:p>
        </w:tc>
      </w:tr>
    </w:tbl>
    <w:p w:rsidR="00884B71" w:rsidRDefault="00817BB4" w:rsidP="00E14D65">
      <w:pPr>
        <w:spacing w:line="360" w:lineRule="auto"/>
        <w:jc w:val="both"/>
        <w:rPr>
          <w:rFonts w:asciiTheme="majorBidi" w:eastAsia="Times New Roman" w:hAnsiTheme="majorBidi" w:cstheme="majorBidi"/>
          <w:b/>
          <w:bCs/>
        </w:rPr>
      </w:pPr>
      <w:r w:rsidRPr="00D944B1">
        <w:rPr>
          <w:rFonts w:asciiTheme="majorBidi" w:eastAsia="Times New Roman" w:hAnsiTheme="majorBidi" w:cstheme="majorBidi"/>
          <w:b/>
          <w:bCs/>
        </w:rPr>
        <w:t>Tableau N°1</w:t>
      </w:r>
      <w:r w:rsidR="00884B71" w:rsidRPr="00D944B1">
        <w:rPr>
          <w:rFonts w:asciiTheme="majorBidi" w:eastAsia="Times New Roman" w:hAnsiTheme="majorBidi" w:cstheme="majorBidi"/>
          <w:b/>
          <w:bCs/>
        </w:rPr>
        <w:t>:</w:t>
      </w:r>
      <w:r w:rsidR="009C1FA5" w:rsidRPr="00D944B1">
        <w:rPr>
          <w:rFonts w:asciiTheme="majorBidi" w:eastAsia="Times New Roman" w:hAnsiTheme="majorBidi" w:cstheme="majorBidi"/>
          <w:b/>
          <w:bCs/>
        </w:rPr>
        <w:t xml:space="preserve"> La marge de solvabilité disponible de la CARTE</w:t>
      </w:r>
    </w:p>
    <w:p w:rsidR="009F00F6" w:rsidRDefault="009F00F6" w:rsidP="00E14D65">
      <w:pPr>
        <w:spacing w:line="360" w:lineRule="auto"/>
        <w:jc w:val="both"/>
        <w:rPr>
          <w:rFonts w:asciiTheme="majorBidi" w:eastAsia="Times New Roman" w:hAnsiTheme="majorBidi" w:cstheme="majorBidi"/>
          <w:b/>
          <w:bCs/>
        </w:rPr>
      </w:pPr>
    </w:p>
    <w:p w:rsidR="00652FC2" w:rsidRPr="00D944B1" w:rsidRDefault="00652FC2" w:rsidP="00E14D65">
      <w:pPr>
        <w:spacing w:line="360" w:lineRule="auto"/>
        <w:jc w:val="both"/>
        <w:rPr>
          <w:rFonts w:asciiTheme="majorBidi" w:eastAsia="Times New Roman" w:hAnsiTheme="majorBidi" w:cstheme="majorBidi"/>
          <w:b/>
          <w:bCs/>
        </w:rPr>
      </w:pPr>
    </w:p>
    <w:p w:rsidR="001A1E31" w:rsidRDefault="00884B71" w:rsidP="00E14D65">
      <w:pPr>
        <w:spacing w:line="360" w:lineRule="auto"/>
        <w:jc w:val="both"/>
        <w:rPr>
          <w:rFonts w:asciiTheme="majorBidi" w:hAnsiTheme="majorBidi" w:cstheme="majorBidi"/>
          <w:b/>
          <w:bCs/>
          <w:snapToGrid w:val="0"/>
          <w:sz w:val="28"/>
          <w:szCs w:val="28"/>
        </w:rPr>
      </w:pPr>
      <w:r w:rsidRPr="00D944B1">
        <w:rPr>
          <w:rFonts w:asciiTheme="majorBidi" w:eastAsia="Times New Roman" w:hAnsiTheme="majorBidi" w:cstheme="majorBidi"/>
          <w:b/>
          <w:bCs/>
          <w:sz w:val="24"/>
          <w:szCs w:val="20"/>
        </w:rPr>
        <w:lastRenderedPageBreak/>
        <w:t xml:space="preserve">2.1.2. </w:t>
      </w:r>
      <w:r w:rsidRPr="00D944B1">
        <w:rPr>
          <w:rFonts w:asciiTheme="majorBidi" w:hAnsiTheme="majorBidi" w:cstheme="majorBidi"/>
          <w:b/>
          <w:bCs/>
          <w:snapToGrid w:val="0"/>
          <w:sz w:val="28"/>
          <w:szCs w:val="28"/>
        </w:rPr>
        <w:t>Le minimum réglementaire de la marge de solvabilité</w:t>
      </w:r>
    </w:p>
    <w:p w:rsidR="0018678A" w:rsidRPr="0018678A" w:rsidRDefault="00884B71" w:rsidP="00E14D65">
      <w:pPr>
        <w:spacing w:line="360" w:lineRule="auto"/>
        <w:jc w:val="both"/>
        <w:rPr>
          <w:rFonts w:asciiTheme="majorBidi" w:hAnsiTheme="majorBidi" w:cstheme="majorBidi"/>
          <w:b/>
          <w:bCs/>
          <w:snapToGrid w:val="0"/>
          <w:sz w:val="28"/>
          <w:szCs w:val="28"/>
        </w:rPr>
      </w:pPr>
      <w:r w:rsidRPr="00D944B1">
        <w:rPr>
          <w:rFonts w:asciiTheme="majorBidi" w:hAnsiTheme="majorBidi" w:cstheme="majorBidi"/>
          <w:snapToGrid w:val="0"/>
          <w:sz w:val="24"/>
          <w:szCs w:val="24"/>
        </w:rPr>
        <w:t>D’après l’article 58 bis de la loi n° 2002-37 du 1</w:t>
      </w:r>
      <w:r w:rsidRPr="00D944B1">
        <w:rPr>
          <w:rFonts w:asciiTheme="majorBidi" w:hAnsiTheme="majorBidi" w:cstheme="majorBidi"/>
          <w:snapToGrid w:val="0"/>
          <w:sz w:val="24"/>
          <w:szCs w:val="24"/>
          <w:vertAlign w:val="superscript"/>
        </w:rPr>
        <w:t>er</w:t>
      </w:r>
      <w:r w:rsidRPr="00D944B1">
        <w:rPr>
          <w:rFonts w:asciiTheme="majorBidi" w:hAnsiTheme="majorBidi" w:cstheme="majorBidi"/>
          <w:snapToGrid w:val="0"/>
          <w:sz w:val="24"/>
          <w:szCs w:val="24"/>
        </w:rPr>
        <w:t xml:space="preserve"> avril 2002  le montant minimum réglementaire de la marge de solvabilité est égal à la somme des marges minimales vie et non vie :</w:t>
      </w:r>
    </w:p>
    <w:p w:rsidR="001A1E31" w:rsidRPr="00AE64D2" w:rsidRDefault="00817BB4" w:rsidP="00E14D65">
      <w:pPr>
        <w:spacing w:line="360" w:lineRule="auto"/>
        <w:jc w:val="both"/>
        <w:rPr>
          <w:rFonts w:asciiTheme="majorBidi" w:hAnsiTheme="majorBidi" w:cstheme="majorBidi"/>
          <w:b/>
          <w:bCs/>
          <w:i/>
          <w:iCs/>
          <w:snapToGrid w:val="0"/>
          <w:sz w:val="24"/>
          <w:szCs w:val="24"/>
        </w:rPr>
      </w:pPr>
      <w:r w:rsidRPr="00AE64D2">
        <w:rPr>
          <w:rFonts w:asciiTheme="majorBidi" w:hAnsiTheme="majorBidi" w:cstheme="majorBidi"/>
          <w:b/>
          <w:bCs/>
          <w:i/>
          <w:iCs/>
          <w:snapToGrid w:val="0"/>
          <w:sz w:val="24"/>
          <w:szCs w:val="24"/>
        </w:rPr>
        <w:t>Pour l’activité non vie</w:t>
      </w:r>
    </w:p>
    <w:p w:rsidR="00AE64D2" w:rsidRPr="009F00F6" w:rsidRDefault="006F498F" w:rsidP="009F00F6">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Le montant minimum réglementaire de la marge de solvabilité</w:t>
      </w:r>
      <w:r w:rsidR="00817BB4" w:rsidRPr="00D944B1">
        <w:rPr>
          <w:rFonts w:asciiTheme="majorBidi" w:hAnsiTheme="majorBidi" w:cstheme="majorBidi"/>
          <w:sz w:val="24"/>
          <w:szCs w:val="24"/>
        </w:rPr>
        <w:t xml:space="preserve"> pour l’activité </w:t>
      </w:r>
      <w:r w:rsidRPr="00D944B1">
        <w:rPr>
          <w:rFonts w:asciiTheme="majorBidi" w:hAnsiTheme="majorBidi" w:cstheme="majorBidi"/>
          <w:sz w:val="24"/>
          <w:szCs w:val="24"/>
        </w:rPr>
        <w:t>non vie Au 31/12/2010</w:t>
      </w:r>
    </w:p>
    <w:p w:rsidR="006F498F" w:rsidRPr="00D944B1" w:rsidRDefault="006F498F" w:rsidP="00E14D65">
      <w:pPr>
        <w:numPr>
          <w:ilvl w:val="0"/>
          <w:numId w:val="6"/>
        </w:numPr>
        <w:spacing w:after="0" w:line="360" w:lineRule="auto"/>
        <w:jc w:val="both"/>
        <w:rPr>
          <w:rFonts w:asciiTheme="majorBidi" w:hAnsiTheme="majorBidi" w:cstheme="majorBidi"/>
          <w:b/>
          <w:bCs/>
          <w:sz w:val="24"/>
          <w:szCs w:val="24"/>
        </w:rPr>
      </w:pPr>
      <w:r w:rsidRPr="00D944B1">
        <w:rPr>
          <w:rFonts w:asciiTheme="majorBidi" w:hAnsiTheme="majorBidi" w:cstheme="majorBidi"/>
          <w:b/>
          <w:bCs/>
          <w:sz w:val="24"/>
          <w:szCs w:val="24"/>
        </w:rPr>
        <w:t>Première méthode</w:t>
      </w:r>
      <w:r w:rsidR="00817BB4" w:rsidRPr="00D944B1">
        <w:rPr>
          <w:rFonts w:asciiTheme="majorBidi" w:hAnsiTheme="majorBidi" w:cstheme="majorBidi"/>
          <w:b/>
          <w:bCs/>
          <w:sz w:val="24"/>
          <w:szCs w:val="24"/>
        </w:rPr>
        <w:t> </w:t>
      </w:r>
    </w:p>
    <w:p w:rsidR="006F498F" w:rsidRPr="00881F51" w:rsidRDefault="009C1FA5" w:rsidP="00E14D65">
      <w:pPr>
        <w:spacing w:after="0" w:line="360" w:lineRule="auto"/>
        <w:jc w:val="both"/>
        <w:rPr>
          <w:rFonts w:asciiTheme="majorBidi" w:hAnsiTheme="majorBidi" w:cstheme="majorBidi"/>
          <w:b/>
          <w:sz w:val="16"/>
          <w:szCs w:val="16"/>
        </w:rPr>
      </w:pPr>
      <w:r w:rsidRPr="00881F51">
        <w:rPr>
          <w:rFonts w:asciiTheme="majorBidi" w:hAnsiTheme="majorBidi" w:cstheme="majorBidi"/>
          <w:b/>
          <w:sz w:val="16"/>
          <w:szCs w:val="16"/>
        </w:rPr>
        <w:t xml:space="preserve">                                                                                                                                                                 </w:t>
      </w:r>
      <w:r w:rsidR="006F498F" w:rsidRPr="00881F51">
        <w:rPr>
          <w:rFonts w:asciiTheme="majorBidi" w:hAnsiTheme="majorBidi" w:cstheme="majorBidi"/>
          <w:b/>
          <w:sz w:val="16"/>
          <w:szCs w:val="16"/>
        </w:rPr>
        <w:t xml:space="preserve"> (Montant exprimé en Dinar Tunisien)</w:t>
      </w:r>
    </w:p>
    <w:tbl>
      <w:tblPr>
        <w:tblStyle w:val="Grillemoyenne3-Accent4"/>
        <w:tblW w:w="5000" w:type="pct"/>
        <w:tblLook w:val="04A0"/>
      </w:tblPr>
      <w:tblGrid>
        <w:gridCol w:w="7722"/>
        <w:gridCol w:w="1566"/>
      </w:tblGrid>
      <w:tr w:rsidR="006F498F" w:rsidRPr="00D944B1" w:rsidTr="00817BB4">
        <w:trPr>
          <w:cnfStyle w:val="100000000000"/>
          <w:trHeight w:hRule="exact" w:val="300"/>
        </w:trPr>
        <w:tc>
          <w:tcPr>
            <w:cnfStyle w:val="001000000000"/>
            <w:tcW w:w="4157" w:type="pct"/>
            <w:noWrap/>
            <w:hideMark/>
          </w:tcPr>
          <w:p w:rsidR="006F498F" w:rsidRPr="00D944B1" w:rsidRDefault="006F498F" w:rsidP="00E14D65">
            <w:pPr>
              <w:spacing w:line="360" w:lineRule="auto"/>
              <w:jc w:val="both"/>
              <w:rPr>
                <w:rFonts w:asciiTheme="majorBidi" w:hAnsiTheme="majorBidi" w:cstheme="majorBidi"/>
                <w:b w:val="0"/>
                <w:bCs w:val="0"/>
                <w:sz w:val="24"/>
                <w:szCs w:val="24"/>
              </w:rPr>
            </w:pPr>
            <w:r w:rsidRPr="00D944B1">
              <w:rPr>
                <w:rFonts w:asciiTheme="majorBidi" w:hAnsiTheme="majorBidi" w:cstheme="majorBidi"/>
                <w:sz w:val="24"/>
                <w:szCs w:val="24"/>
              </w:rPr>
              <w:t>Paramètres</w:t>
            </w:r>
          </w:p>
        </w:tc>
        <w:tc>
          <w:tcPr>
            <w:tcW w:w="843" w:type="pct"/>
            <w:noWrap/>
            <w:hideMark/>
          </w:tcPr>
          <w:p w:rsidR="006F498F" w:rsidRPr="00D944B1" w:rsidRDefault="006F498F" w:rsidP="00E14D65">
            <w:pPr>
              <w:spacing w:line="360" w:lineRule="auto"/>
              <w:jc w:val="both"/>
              <w:cnfStyle w:val="100000000000"/>
              <w:rPr>
                <w:rFonts w:asciiTheme="majorBidi" w:hAnsiTheme="majorBidi" w:cstheme="majorBidi"/>
                <w:b w:val="0"/>
                <w:bCs w:val="0"/>
                <w:sz w:val="24"/>
                <w:szCs w:val="24"/>
              </w:rPr>
            </w:pPr>
            <w:r w:rsidRPr="00D944B1">
              <w:rPr>
                <w:rFonts w:asciiTheme="majorBidi" w:hAnsiTheme="majorBidi" w:cstheme="majorBidi"/>
                <w:sz w:val="24"/>
                <w:szCs w:val="24"/>
              </w:rPr>
              <w:t>Montant</w:t>
            </w:r>
          </w:p>
        </w:tc>
      </w:tr>
      <w:tr w:rsidR="006F498F" w:rsidRPr="00D944B1" w:rsidTr="00817BB4">
        <w:trPr>
          <w:cnfStyle w:val="000000100000"/>
          <w:trHeight w:hRule="exact" w:val="511"/>
        </w:trPr>
        <w:tc>
          <w:tcPr>
            <w:cnfStyle w:val="001000000000"/>
            <w:tcW w:w="4157"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A = 20% des primes émises et acceptées nettes d'impôts et d'annulations</w:t>
            </w:r>
          </w:p>
        </w:tc>
        <w:tc>
          <w:tcPr>
            <w:tcW w:w="843" w:type="pct"/>
            <w:noWrap/>
            <w:hideMark/>
          </w:tcPr>
          <w:p w:rsidR="006F498F" w:rsidRPr="00D944B1" w:rsidRDefault="006F498F" w:rsidP="00E14D65">
            <w:pPr>
              <w:spacing w:line="360" w:lineRule="auto"/>
              <w:ind w:right="211"/>
              <w:jc w:val="both"/>
              <w:cnfStyle w:val="000000100000"/>
              <w:rPr>
                <w:rFonts w:asciiTheme="majorBidi" w:hAnsiTheme="majorBidi" w:cstheme="majorBidi"/>
                <w:sz w:val="24"/>
                <w:szCs w:val="24"/>
              </w:rPr>
            </w:pPr>
            <w:r w:rsidRPr="00D944B1">
              <w:rPr>
                <w:rFonts w:asciiTheme="majorBidi" w:hAnsiTheme="majorBidi" w:cstheme="majorBidi"/>
                <w:sz w:val="24"/>
                <w:szCs w:val="24"/>
              </w:rPr>
              <w:t>14 111 735</w:t>
            </w:r>
          </w:p>
        </w:tc>
      </w:tr>
      <w:tr w:rsidR="006F498F" w:rsidRPr="00D944B1" w:rsidTr="00817BB4">
        <w:trPr>
          <w:trHeight w:hRule="exact" w:val="661"/>
        </w:trPr>
        <w:tc>
          <w:tcPr>
            <w:cnfStyle w:val="001000000000"/>
            <w:tcW w:w="4157"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B= (Primes retenues /Primes émises et acceptées nettes d'impôts et d'annulations)</w:t>
            </w:r>
          </w:p>
        </w:tc>
        <w:tc>
          <w:tcPr>
            <w:tcW w:w="843" w:type="pct"/>
            <w:noWrap/>
            <w:hideMark/>
          </w:tcPr>
          <w:p w:rsidR="006F498F" w:rsidRPr="00D944B1" w:rsidRDefault="006F498F" w:rsidP="00E14D65">
            <w:pPr>
              <w:spacing w:line="360" w:lineRule="auto"/>
              <w:ind w:right="211"/>
              <w:jc w:val="both"/>
              <w:cnfStyle w:val="000000000000"/>
              <w:rPr>
                <w:rFonts w:asciiTheme="majorBidi" w:hAnsiTheme="majorBidi" w:cstheme="majorBidi"/>
                <w:sz w:val="24"/>
                <w:szCs w:val="24"/>
              </w:rPr>
            </w:pPr>
            <w:r w:rsidRPr="00D944B1">
              <w:rPr>
                <w:rFonts w:asciiTheme="majorBidi" w:hAnsiTheme="majorBidi" w:cstheme="majorBidi"/>
                <w:sz w:val="24"/>
                <w:szCs w:val="24"/>
              </w:rPr>
              <w:t>50,32%</w:t>
            </w:r>
          </w:p>
        </w:tc>
      </w:tr>
      <w:tr w:rsidR="006F498F" w:rsidRPr="00D944B1" w:rsidTr="00817BB4">
        <w:trPr>
          <w:cnfStyle w:val="000000100000"/>
          <w:trHeight w:hRule="exact" w:val="300"/>
        </w:trPr>
        <w:tc>
          <w:tcPr>
            <w:cnfStyle w:val="001000000000"/>
            <w:tcW w:w="4157" w:type="pct"/>
            <w:noWrap/>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Primes retenues</w:t>
            </w:r>
          </w:p>
        </w:tc>
        <w:tc>
          <w:tcPr>
            <w:tcW w:w="843" w:type="pct"/>
            <w:noWrap/>
            <w:hideMark/>
          </w:tcPr>
          <w:p w:rsidR="006F498F" w:rsidRPr="00D944B1" w:rsidRDefault="006F498F" w:rsidP="00E14D65">
            <w:pPr>
              <w:spacing w:line="360" w:lineRule="auto"/>
              <w:ind w:right="211"/>
              <w:jc w:val="both"/>
              <w:cnfStyle w:val="000000100000"/>
              <w:rPr>
                <w:rFonts w:asciiTheme="majorBidi" w:hAnsiTheme="majorBidi" w:cstheme="majorBidi"/>
                <w:sz w:val="24"/>
                <w:szCs w:val="24"/>
              </w:rPr>
            </w:pPr>
            <w:r w:rsidRPr="00D944B1">
              <w:rPr>
                <w:rFonts w:asciiTheme="majorBidi" w:hAnsiTheme="majorBidi" w:cstheme="majorBidi"/>
                <w:sz w:val="24"/>
                <w:szCs w:val="24"/>
              </w:rPr>
              <w:t>35 501 671</w:t>
            </w:r>
          </w:p>
        </w:tc>
      </w:tr>
      <w:tr w:rsidR="006F498F" w:rsidRPr="00D944B1" w:rsidTr="00817BB4">
        <w:trPr>
          <w:trHeight w:hRule="exact" w:val="392"/>
        </w:trPr>
        <w:tc>
          <w:tcPr>
            <w:cnfStyle w:val="001000000000"/>
            <w:tcW w:w="4157"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Primes émises et acceptées nettes d'impôts et d'annulations</w:t>
            </w:r>
          </w:p>
        </w:tc>
        <w:tc>
          <w:tcPr>
            <w:tcW w:w="843" w:type="pct"/>
            <w:noWrap/>
            <w:hideMark/>
          </w:tcPr>
          <w:p w:rsidR="006F498F" w:rsidRPr="00D944B1" w:rsidRDefault="006F498F" w:rsidP="00E14D65">
            <w:pPr>
              <w:spacing w:line="360" w:lineRule="auto"/>
              <w:ind w:right="211"/>
              <w:jc w:val="both"/>
              <w:cnfStyle w:val="000000000000"/>
              <w:rPr>
                <w:rFonts w:asciiTheme="majorBidi" w:hAnsiTheme="majorBidi" w:cstheme="majorBidi"/>
                <w:sz w:val="24"/>
                <w:szCs w:val="24"/>
              </w:rPr>
            </w:pPr>
            <w:r w:rsidRPr="00D944B1">
              <w:rPr>
                <w:rFonts w:asciiTheme="majorBidi" w:hAnsiTheme="majorBidi" w:cstheme="majorBidi"/>
                <w:sz w:val="24"/>
                <w:szCs w:val="24"/>
              </w:rPr>
              <w:t>70 558 677</w:t>
            </w:r>
          </w:p>
        </w:tc>
      </w:tr>
      <w:tr w:rsidR="006F498F" w:rsidRPr="00D944B1" w:rsidTr="00817BB4">
        <w:trPr>
          <w:cnfStyle w:val="000000100000"/>
          <w:trHeight w:hRule="exact" w:val="709"/>
        </w:trPr>
        <w:tc>
          <w:tcPr>
            <w:cnfStyle w:val="001000000000"/>
            <w:tcW w:w="4157" w:type="pct"/>
            <w:hideMark/>
          </w:tcPr>
          <w:p w:rsidR="006F498F" w:rsidRPr="00D944B1" w:rsidRDefault="006F498F" w:rsidP="00E14D65">
            <w:pPr>
              <w:spacing w:line="360" w:lineRule="auto"/>
              <w:jc w:val="both"/>
              <w:rPr>
                <w:rFonts w:asciiTheme="majorBidi" w:hAnsiTheme="majorBidi" w:cstheme="majorBidi"/>
                <w:b w:val="0"/>
                <w:bCs w:val="0"/>
                <w:sz w:val="24"/>
                <w:szCs w:val="24"/>
              </w:rPr>
            </w:pPr>
            <w:r w:rsidRPr="00D944B1">
              <w:rPr>
                <w:rFonts w:asciiTheme="majorBidi" w:hAnsiTheme="majorBidi" w:cstheme="majorBidi"/>
                <w:sz w:val="24"/>
                <w:szCs w:val="24"/>
              </w:rPr>
              <w:t>Le minimum de la marge de solvabilité selon la première méthode = (A*B)</w:t>
            </w:r>
          </w:p>
        </w:tc>
        <w:tc>
          <w:tcPr>
            <w:tcW w:w="843" w:type="pct"/>
            <w:noWrap/>
            <w:hideMark/>
          </w:tcPr>
          <w:p w:rsidR="006F498F" w:rsidRPr="00D944B1" w:rsidRDefault="006F498F" w:rsidP="00E14D65">
            <w:pPr>
              <w:spacing w:line="360" w:lineRule="auto"/>
              <w:ind w:right="211"/>
              <w:jc w:val="both"/>
              <w:cnfStyle w:val="000000100000"/>
              <w:rPr>
                <w:rFonts w:asciiTheme="majorBidi" w:hAnsiTheme="majorBidi" w:cstheme="majorBidi"/>
                <w:b/>
                <w:bCs/>
                <w:color w:val="FFFFFF" w:themeColor="background1"/>
                <w:sz w:val="24"/>
                <w:szCs w:val="24"/>
              </w:rPr>
            </w:pPr>
            <w:r w:rsidRPr="00D944B1">
              <w:rPr>
                <w:rFonts w:asciiTheme="majorBidi" w:hAnsiTheme="majorBidi" w:cstheme="majorBidi"/>
                <w:b/>
                <w:bCs/>
                <w:color w:val="FFFFFF" w:themeColor="background1"/>
                <w:sz w:val="24"/>
                <w:szCs w:val="24"/>
              </w:rPr>
              <w:t>7 100 334</w:t>
            </w:r>
          </w:p>
        </w:tc>
      </w:tr>
    </w:tbl>
    <w:p w:rsidR="006F498F" w:rsidRPr="00D944B1" w:rsidRDefault="009C1FA5" w:rsidP="00E14D65">
      <w:pPr>
        <w:pStyle w:val="Ccstandard"/>
        <w:spacing w:line="360" w:lineRule="auto"/>
        <w:ind w:left="0"/>
        <w:rPr>
          <w:rFonts w:asciiTheme="majorBidi" w:hAnsiTheme="majorBidi" w:cstheme="majorBidi"/>
          <w:sz w:val="22"/>
          <w:szCs w:val="22"/>
        </w:rPr>
      </w:pPr>
      <w:r w:rsidRPr="00D944B1">
        <w:rPr>
          <w:rFonts w:asciiTheme="majorBidi" w:hAnsiTheme="majorBidi" w:cstheme="majorBidi"/>
          <w:b/>
          <w:bCs/>
          <w:sz w:val="22"/>
          <w:szCs w:val="22"/>
        </w:rPr>
        <w:t>Tableau N°2:</w:t>
      </w:r>
      <w:r w:rsidRPr="00D944B1">
        <w:rPr>
          <w:rFonts w:asciiTheme="majorBidi" w:hAnsiTheme="majorBidi" w:cstheme="majorBidi"/>
          <w:sz w:val="22"/>
          <w:szCs w:val="22"/>
        </w:rPr>
        <w:t xml:space="preserve"> </w:t>
      </w:r>
      <w:r w:rsidRPr="00D944B1">
        <w:rPr>
          <w:rFonts w:asciiTheme="majorBidi" w:hAnsiTheme="majorBidi" w:cstheme="majorBidi"/>
          <w:b/>
          <w:bCs/>
          <w:sz w:val="22"/>
          <w:szCs w:val="22"/>
        </w:rPr>
        <w:t>La marge de</w:t>
      </w:r>
      <w:r w:rsidR="00E1729D">
        <w:rPr>
          <w:rFonts w:asciiTheme="majorBidi" w:hAnsiTheme="majorBidi" w:cstheme="majorBidi"/>
          <w:b/>
          <w:bCs/>
          <w:sz w:val="22"/>
          <w:szCs w:val="22"/>
        </w:rPr>
        <w:t xml:space="preserve"> solvabilité</w:t>
      </w:r>
      <w:r w:rsidRPr="00D944B1">
        <w:rPr>
          <w:rFonts w:asciiTheme="majorBidi" w:hAnsiTheme="majorBidi" w:cstheme="majorBidi"/>
          <w:b/>
          <w:bCs/>
          <w:sz w:val="22"/>
          <w:szCs w:val="22"/>
        </w:rPr>
        <w:t xml:space="preserve"> réglementaire pour l’activité non vie selon la 1</w:t>
      </w:r>
      <w:r w:rsidRPr="00D944B1">
        <w:rPr>
          <w:rFonts w:asciiTheme="majorBidi" w:hAnsiTheme="majorBidi" w:cstheme="majorBidi"/>
          <w:b/>
          <w:bCs/>
          <w:sz w:val="22"/>
          <w:szCs w:val="22"/>
          <w:vertAlign w:val="superscript"/>
        </w:rPr>
        <w:t xml:space="preserve">ére </w:t>
      </w:r>
      <w:r w:rsidRPr="00D944B1">
        <w:rPr>
          <w:rFonts w:asciiTheme="majorBidi" w:hAnsiTheme="majorBidi" w:cstheme="majorBidi"/>
          <w:b/>
          <w:bCs/>
          <w:sz w:val="22"/>
          <w:szCs w:val="22"/>
        </w:rPr>
        <w:t>méthode (CARTE)</w:t>
      </w:r>
      <w:r w:rsidRPr="00D944B1">
        <w:rPr>
          <w:rFonts w:asciiTheme="majorBidi" w:hAnsiTheme="majorBidi" w:cstheme="majorBidi"/>
          <w:sz w:val="22"/>
          <w:szCs w:val="22"/>
        </w:rPr>
        <w:t xml:space="preserve">  </w:t>
      </w:r>
    </w:p>
    <w:p w:rsidR="00333D32" w:rsidRPr="00D944B1" w:rsidRDefault="00333D32" w:rsidP="00E14D65">
      <w:pPr>
        <w:pStyle w:val="Ccstandard"/>
        <w:spacing w:line="360" w:lineRule="auto"/>
        <w:ind w:left="0"/>
        <w:rPr>
          <w:rFonts w:asciiTheme="majorBidi" w:hAnsiTheme="majorBidi" w:cstheme="majorBidi"/>
        </w:rPr>
      </w:pPr>
    </w:p>
    <w:p w:rsidR="006F498F" w:rsidRPr="00D944B1" w:rsidRDefault="006F498F" w:rsidP="00E14D65">
      <w:pPr>
        <w:pStyle w:val="Ccstandard"/>
        <w:numPr>
          <w:ilvl w:val="0"/>
          <w:numId w:val="6"/>
        </w:numPr>
        <w:spacing w:line="360" w:lineRule="auto"/>
        <w:rPr>
          <w:rFonts w:asciiTheme="majorBidi" w:hAnsiTheme="majorBidi" w:cstheme="majorBidi"/>
          <w:b/>
          <w:bCs/>
          <w:szCs w:val="24"/>
        </w:rPr>
      </w:pPr>
      <w:r w:rsidRPr="00D944B1">
        <w:rPr>
          <w:rFonts w:asciiTheme="majorBidi" w:hAnsiTheme="majorBidi" w:cstheme="majorBidi"/>
          <w:b/>
          <w:bCs/>
          <w:szCs w:val="24"/>
        </w:rPr>
        <w:t>Deuxième méthode</w:t>
      </w:r>
      <w:r w:rsidR="00817BB4" w:rsidRPr="00D944B1">
        <w:rPr>
          <w:rFonts w:asciiTheme="majorBidi" w:hAnsiTheme="majorBidi" w:cstheme="majorBidi"/>
          <w:b/>
          <w:bCs/>
          <w:szCs w:val="24"/>
        </w:rPr>
        <w:t> </w:t>
      </w:r>
    </w:p>
    <w:p w:rsidR="006F498F" w:rsidRPr="00D944B1" w:rsidRDefault="00881F51" w:rsidP="00E14D65">
      <w:pPr>
        <w:spacing w:after="0" w:line="360" w:lineRule="auto"/>
        <w:jc w:val="both"/>
        <w:rPr>
          <w:rFonts w:asciiTheme="majorBidi" w:hAnsiTheme="majorBidi" w:cstheme="majorBidi"/>
          <w:b/>
          <w:sz w:val="16"/>
          <w:szCs w:val="16"/>
        </w:rPr>
      </w:pPr>
      <w:r>
        <w:rPr>
          <w:rFonts w:asciiTheme="majorBidi" w:hAnsiTheme="majorBidi" w:cstheme="majorBidi"/>
          <w:b/>
          <w:sz w:val="16"/>
          <w:szCs w:val="16"/>
        </w:rPr>
        <w:t xml:space="preserve">                                                                                                                                                                 </w:t>
      </w:r>
      <w:r w:rsidR="006F498F" w:rsidRPr="00D944B1">
        <w:rPr>
          <w:rFonts w:asciiTheme="majorBidi" w:hAnsiTheme="majorBidi" w:cstheme="majorBidi"/>
          <w:b/>
          <w:sz w:val="16"/>
          <w:szCs w:val="16"/>
        </w:rPr>
        <w:t xml:space="preserve"> (Montant exprimé en Dinar Tunisien)</w:t>
      </w:r>
    </w:p>
    <w:tbl>
      <w:tblPr>
        <w:tblStyle w:val="Grillemoyenne3-Accent4"/>
        <w:tblW w:w="5000" w:type="pct"/>
        <w:tblLook w:val="04A0"/>
      </w:tblPr>
      <w:tblGrid>
        <w:gridCol w:w="7722"/>
        <w:gridCol w:w="1566"/>
      </w:tblGrid>
      <w:tr w:rsidR="006F498F" w:rsidRPr="00D944B1" w:rsidTr="00817BB4">
        <w:trPr>
          <w:cnfStyle w:val="100000000000"/>
          <w:trHeight w:hRule="exact" w:val="300"/>
        </w:trPr>
        <w:tc>
          <w:tcPr>
            <w:cnfStyle w:val="001000000000"/>
            <w:tcW w:w="4157" w:type="pct"/>
            <w:noWrap/>
            <w:hideMark/>
          </w:tcPr>
          <w:p w:rsidR="006F498F" w:rsidRPr="00D944B1" w:rsidRDefault="006F498F" w:rsidP="00E14D65">
            <w:pPr>
              <w:spacing w:line="360" w:lineRule="auto"/>
              <w:jc w:val="both"/>
              <w:rPr>
                <w:rFonts w:asciiTheme="majorBidi" w:hAnsiTheme="majorBidi" w:cstheme="majorBidi"/>
                <w:b w:val="0"/>
                <w:bCs w:val="0"/>
                <w:sz w:val="24"/>
                <w:szCs w:val="24"/>
              </w:rPr>
            </w:pPr>
            <w:r w:rsidRPr="00D944B1">
              <w:rPr>
                <w:rFonts w:asciiTheme="majorBidi" w:hAnsiTheme="majorBidi" w:cstheme="majorBidi"/>
                <w:sz w:val="24"/>
                <w:szCs w:val="24"/>
              </w:rPr>
              <w:t>Paramètres</w:t>
            </w:r>
          </w:p>
        </w:tc>
        <w:tc>
          <w:tcPr>
            <w:tcW w:w="843" w:type="pct"/>
            <w:noWrap/>
            <w:hideMark/>
          </w:tcPr>
          <w:p w:rsidR="006F498F" w:rsidRPr="00D944B1" w:rsidRDefault="006F498F" w:rsidP="00E14D65">
            <w:pPr>
              <w:spacing w:line="360" w:lineRule="auto"/>
              <w:jc w:val="both"/>
              <w:cnfStyle w:val="100000000000"/>
              <w:rPr>
                <w:rFonts w:asciiTheme="majorBidi" w:hAnsiTheme="majorBidi" w:cstheme="majorBidi"/>
                <w:b w:val="0"/>
                <w:bCs w:val="0"/>
                <w:sz w:val="24"/>
                <w:szCs w:val="24"/>
              </w:rPr>
            </w:pPr>
            <w:r w:rsidRPr="00D944B1">
              <w:rPr>
                <w:rFonts w:asciiTheme="majorBidi" w:hAnsiTheme="majorBidi" w:cstheme="majorBidi"/>
                <w:sz w:val="24"/>
                <w:szCs w:val="24"/>
              </w:rPr>
              <w:t>Montant</w:t>
            </w:r>
          </w:p>
        </w:tc>
      </w:tr>
      <w:tr w:rsidR="006F498F" w:rsidRPr="00D944B1" w:rsidTr="00785188">
        <w:trPr>
          <w:cnfStyle w:val="000000100000"/>
          <w:trHeight w:hRule="exact" w:val="734"/>
        </w:trPr>
        <w:tc>
          <w:tcPr>
            <w:cnfStyle w:val="001000000000"/>
            <w:tcW w:w="4157"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C = 25% de la charge moyenne annuelle des sinistres des trois derniers exercices(*)</w:t>
            </w:r>
          </w:p>
        </w:tc>
        <w:tc>
          <w:tcPr>
            <w:tcW w:w="843" w:type="pct"/>
            <w:noWrap/>
            <w:hideMark/>
          </w:tcPr>
          <w:p w:rsidR="006F498F" w:rsidRPr="00D944B1" w:rsidRDefault="006F498F" w:rsidP="00E14D65">
            <w:pPr>
              <w:spacing w:line="360" w:lineRule="auto"/>
              <w:jc w:val="both"/>
              <w:cnfStyle w:val="000000100000"/>
              <w:rPr>
                <w:rFonts w:asciiTheme="majorBidi" w:hAnsiTheme="majorBidi" w:cstheme="majorBidi"/>
                <w:sz w:val="24"/>
                <w:szCs w:val="24"/>
              </w:rPr>
            </w:pPr>
            <w:r w:rsidRPr="00D944B1">
              <w:rPr>
                <w:rFonts w:asciiTheme="majorBidi" w:hAnsiTheme="majorBidi" w:cstheme="majorBidi"/>
                <w:sz w:val="24"/>
                <w:szCs w:val="24"/>
              </w:rPr>
              <w:t>6 450 294</w:t>
            </w:r>
          </w:p>
        </w:tc>
      </w:tr>
      <w:tr w:rsidR="006F498F" w:rsidRPr="00D944B1" w:rsidTr="00785188">
        <w:trPr>
          <w:trHeight w:hRule="exact" w:val="508"/>
        </w:trPr>
        <w:tc>
          <w:tcPr>
            <w:cnfStyle w:val="001000000000"/>
            <w:tcW w:w="4157"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D = (Sinistres à la charge de la société en 2010/Sinistre brute en 2010)</w:t>
            </w:r>
          </w:p>
        </w:tc>
        <w:tc>
          <w:tcPr>
            <w:tcW w:w="843" w:type="pct"/>
            <w:noWrap/>
            <w:hideMark/>
          </w:tcPr>
          <w:p w:rsidR="006F498F" w:rsidRPr="00D944B1" w:rsidRDefault="006F498F" w:rsidP="00E14D65">
            <w:pPr>
              <w:spacing w:line="360" w:lineRule="auto"/>
              <w:jc w:val="both"/>
              <w:cnfStyle w:val="000000000000"/>
              <w:rPr>
                <w:rFonts w:asciiTheme="majorBidi" w:hAnsiTheme="majorBidi" w:cstheme="majorBidi"/>
                <w:sz w:val="24"/>
                <w:szCs w:val="24"/>
              </w:rPr>
            </w:pPr>
            <w:r w:rsidRPr="00D944B1">
              <w:rPr>
                <w:rFonts w:asciiTheme="majorBidi" w:hAnsiTheme="majorBidi" w:cstheme="majorBidi"/>
                <w:sz w:val="24"/>
                <w:szCs w:val="24"/>
              </w:rPr>
              <w:t>72,25%</w:t>
            </w:r>
          </w:p>
        </w:tc>
      </w:tr>
      <w:tr w:rsidR="006F498F" w:rsidRPr="00D944B1" w:rsidTr="00785188">
        <w:trPr>
          <w:cnfStyle w:val="000000100000"/>
          <w:trHeight w:hRule="exact" w:val="417"/>
        </w:trPr>
        <w:tc>
          <w:tcPr>
            <w:cnfStyle w:val="001000000000"/>
            <w:tcW w:w="4157"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Sinistres à la charge de la société en 2010</w:t>
            </w:r>
          </w:p>
        </w:tc>
        <w:tc>
          <w:tcPr>
            <w:tcW w:w="843" w:type="pct"/>
            <w:noWrap/>
            <w:hideMark/>
          </w:tcPr>
          <w:p w:rsidR="006F498F" w:rsidRPr="00D944B1" w:rsidRDefault="006F498F" w:rsidP="00E14D65">
            <w:pPr>
              <w:spacing w:line="360" w:lineRule="auto"/>
              <w:jc w:val="both"/>
              <w:cnfStyle w:val="000000100000"/>
              <w:rPr>
                <w:rFonts w:asciiTheme="majorBidi" w:hAnsiTheme="majorBidi" w:cstheme="majorBidi"/>
                <w:sz w:val="24"/>
                <w:szCs w:val="24"/>
              </w:rPr>
            </w:pPr>
            <w:r w:rsidRPr="00D944B1">
              <w:rPr>
                <w:rFonts w:asciiTheme="majorBidi" w:hAnsiTheme="majorBidi" w:cstheme="majorBidi"/>
                <w:sz w:val="24"/>
                <w:szCs w:val="24"/>
              </w:rPr>
              <w:t>22 465 893</w:t>
            </w:r>
          </w:p>
        </w:tc>
      </w:tr>
      <w:tr w:rsidR="006F498F" w:rsidRPr="00D944B1" w:rsidTr="00817BB4">
        <w:trPr>
          <w:trHeight w:hRule="exact" w:val="315"/>
        </w:trPr>
        <w:tc>
          <w:tcPr>
            <w:cnfStyle w:val="001000000000"/>
            <w:tcW w:w="4157"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Sinistres brute en 2010</w:t>
            </w:r>
          </w:p>
        </w:tc>
        <w:tc>
          <w:tcPr>
            <w:tcW w:w="843" w:type="pct"/>
            <w:noWrap/>
            <w:hideMark/>
          </w:tcPr>
          <w:p w:rsidR="006F498F" w:rsidRPr="00D944B1" w:rsidRDefault="006F498F" w:rsidP="00E14D65">
            <w:pPr>
              <w:spacing w:line="360" w:lineRule="auto"/>
              <w:jc w:val="both"/>
              <w:cnfStyle w:val="000000000000"/>
              <w:rPr>
                <w:rFonts w:asciiTheme="majorBidi" w:hAnsiTheme="majorBidi" w:cstheme="majorBidi"/>
                <w:sz w:val="24"/>
                <w:szCs w:val="24"/>
              </w:rPr>
            </w:pPr>
            <w:r w:rsidRPr="00D944B1">
              <w:rPr>
                <w:rFonts w:asciiTheme="majorBidi" w:hAnsiTheme="majorBidi" w:cstheme="majorBidi"/>
                <w:sz w:val="24"/>
                <w:szCs w:val="24"/>
              </w:rPr>
              <w:t>31 096 254</w:t>
            </w:r>
          </w:p>
        </w:tc>
      </w:tr>
      <w:tr w:rsidR="006F498F" w:rsidRPr="00D944B1" w:rsidTr="00785188">
        <w:trPr>
          <w:cnfStyle w:val="000000100000"/>
          <w:trHeight w:hRule="exact" w:val="670"/>
        </w:trPr>
        <w:tc>
          <w:tcPr>
            <w:cnfStyle w:val="001000000000"/>
            <w:tcW w:w="4157" w:type="pct"/>
            <w:hideMark/>
          </w:tcPr>
          <w:p w:rsidR="006F498F" w:rsidRPr="00D944B1" w:rsidRDefault="006F498F" w:rsidP="00E14D65">
            <w:pPr>
              <w:spacing w:line="360" w:lineRule="auto"/>
              <w:jc w:val="both"/>
              <w:rPr>
                <w:rFonts w:asciiTheme="majorBidi" w:hAnsiTheme="majorBidi" w:cstheme="majorBidi"/>
                <w:b w:val="0"/>
                <w:bCs w:val="0"/>
                <w:sz w:val="24"/>
                <w:szCs w:val="24"/>
              </w:rPr>
            </w:pPr>
            <w:r w:rsidRPr="00D944B1">
              <w:rPr>
                <w:rFonts w:asciiTheme="majorBidi" w:hAnsiTheme="majorBidi" w:cstheme="majorBidi"/>
                <w:sz w:val="24"/>
                <w:szCs w:val="24"/>
              </w:rPr>
              <w:t>Le minimum de la marge de solvabilité selon la deuxième méthode = (C*D)</w:t>
            </w:r>
          </w:p>
        </w:tc>
        <w:tc>
          <w:tcPr>
            <w:tcW w:w="843" w:type="pct"/>
            <w:noWrap/>
            <w:hideMark/>
          </w:tcPr>
          <w:p w:rsidR="006F498F" w:rsidRPr="00D944B1" w:rsidRDefault="006F498F" w:rsidP="00E14D65">
            <w:pPr>
              <w:spacing w:line="360" w:lineRule="auto"/>
              <w:jc w:val="both"/>
              <w:cnfStyle w:val="000000100000"/>
              <w:rPr>
                <w:rFonts w:asciiTheme="majorBidi" w:hAnsiTheme="majorBidi" w:cstheme="majorBidi"/>
                <w:b/>
                <w:bCs/>
                <w:color w:val="FFFFFF" w:themeColor="background1"/>
                <w:sz w:val="24"/>
                <w:szCs w:val="24"/>
              </w:rPr>
            </w:pPr>
            <w:r w:rsidRPr="00D944B1">
              <w:rPr>
                <w:rFonts w:asciiTheme="majorBidi" w:hAnsiTheme="majorBidi" w:cstheme="majorBidi"/>
                <w:b/>
                <w:bCs/>
                <w:color w:val="FFFFFF" w:themeColor="background1"/>
                <w:sz w:val="24"/>
                <w:szCs w:val="24"/>
              </w:rPr>
              <w:t>4 660 099</w:t>
            </w:r>
          </w:p>
        </w:tc>
      </w:tr>
    </w:tbl>
    <w:p w:rsidR="009C1FA5" w:rsidRPr="00FD2D2A" w:rsidRDefault="009C1FA5" w:rsidP="00E14D65">
      <w:pPr>
        <w:pStyle w:val="Ccstandard"/>
        <w:spacing w:line="360" w:lineRule="auto"/>
        <w:ind w:left="0"/>
        <w:rPr>
          <w:rFonts w:asciiTheme="majorBidi" w:hAnsiTheme="majorBidi" w:cstheme="majorBidi"/>
          <w:sz w:val="22"/>
          <w:szCs w:val="22"/>
        </w:rPr>
      </w:pPr>
      <w:r w:rsidRPr="00D944B1">
        <w:rPr>
          <w:rFonts w:asciiTheme="majorBidi" w:hAnsiTheme="majorBidi" w:cstheme="majorBidi"/>
          <w:b/>
          <w:bCs/>
          <w:sz w:val="22"/>
          <w:szCs w:val="22"/>
        </w:rPr>
        <w:t>Tableau N°3:</w:t>
      </w:r>
      <w:r w:rsidRPr="00D944B1">
        <w:rPr>
          <w:rFonts w:asciiTheme="majorBidi" w:hAnsiTheme="majorBidi" w:cstheme="majorBidi"/>
          <w:sz w:val="22"/>
          <w:szCs w:val="22"/>
        </w:rPr>
        <w:t xml:space="preserve"> </w:t>
      </w:r>
      <w:r w:rsidRPr="00D944B1">
        <w:rPr>
          <w:rFonts w:asciiTheme="majorBidi" w:hAnsiTheme="majorBidi" w:cstheme="majorBidi"/>
          <w:b/>
          <w:bCs/>
          <w:sz w:val="22"/>
          <w:szCs w:val="22"/>
        </w:rPr>
        <w:t>La marge de</w:t>
      </w:r>
      <w:r w:rsidR="0062391E">
        <w:rPr>
          <w:rFonts w:asciiTheme="majorBidi" w:hAnsiTheme="majorBidi" w:cstheme="majorBidi"/>
          <w:b/>
          <w:bCs/>
          <w:sz w:val="22"/>
          <w:szCs w:val="22"/>
        </w:rPr>
        <w:t xml:space="preserve"> solvabilité</w:t>
      </w:r>
      <w:r w:rsidRPr="00D944B1">
        <w:rPr>
          <w:rFonts w:asciiTheme="majorBidi" w:hAnsiTheme="majorBidi" w:cstheme="majorBidi"/>
          <w:b/>
          <w:bCs/>
          <w:sz w:val="22"/>
          <w:szCs w:val="22"/>
        </w:rPr>
        <w:t xml:space="preserve"> réglementaire pour l’activité non vie selon la 2</w:t>
      </w:r>
      <w:r w:rsidRPr="00D944B1">
        <w:rPr>
          <w:rFonts w:asciiTheme="majorBidi" w:hAnsiTheme="majorBidi" w:cstheme="majorBidi"/>
          <w:b/>
          <w:bCs/>
          <w:sz w:val="22"/>
          <w:szCs w:val="22"/>
          <w:vertAlign w:val="superscript"/>
        </w:rPr>
        <w:t xml:space="preserve">éme </w:t>
      </w:r>
      <w:r w:rsidRPr="00D944B1">
        <w:rPr>
          <w:rFonts w:asciiTheme="majorBidi" w:hAnsiTheme="majorBidi" w:cstheme="majorBidi"/>
          <w:b/>
          <w:bCs/>
          <w:sz w:val="22"/>
          <w:szCs w:val="22"/>
        </w:rPr>
        <w:t>méthode</w:t>
      </w:r>
      <w:r w:rsidR="00385E8F">
        <w:rPr>
          <w:rFonts w:asciiTheme="majorBidi" w:hAnsiTheme="majorBidi" w:cstheme="majorBidi"/>
          <w:b/>
          <w:bCs/>
          <w:sz w:val="22"/>
          <w:szCs w:val="22"/>
        </w:rPr>
        <w:t xml:space="preserve"> </w:t>
      </w:r>
      <w:r w:rsidRPr="00D944B1">
        <w:rPr>
          <w:rFonts w:asciiTheme="majorBidi" w:hAnsiTheme="majorBidi" w:cstheme="majorBidi"/>
          <w:b/>
          <w:bCs/>
          <w:sz w:val="22"/>
          <w:szCs w:val="22"/>
        </w:rPr>
        <w:t>(CARTE)</w:t>
      </w:r>
      <w:r w:rsidRPr="00D944B1">
        <w:rPr>
          <w:rFonts w:asciiTheme="majorBidi" w:hAnsiTheme="majorBidi" w:cstheme="majorBidi"/>
          <w:sz w:val="22"/>
          <w:szCs w:val="22"/>
        </w:rPr>
        <w:t xml:space="preserve">  </w:t>
      </w:r>
    </w:p>
    <w:p w:rsidR="00333D32" w:rsidRPr="00D944B1" w:rsidRDefault="006F498F" w:rsidP="00E14D65">
      <w:pPr>
        <w:spacing w:line="360" w:lineRule="auto"/>
        <w:jc w:val="both"/>
        <w:rPr>
          <w:rFonts w:asciiTheme="majorBidi" w:hAnsiTheme="majorBidi" w:cstheme="majorBidi"/>
        </w:rPr>
      </w:pPr>
      <w:r w:rsidRPr="00D944B1">
        <w:rPr>
          <w:rFonts w:asciiTheme="majorBidi" w:hAnsiTheme="majorBidi" w:cstheme="majorBidi"/>
        </w:rPr>
        <w:t>(*)La charge moyenne annuelle des sinistres relatifs au trois derniers ex</w:t>
      </w:r>
      <w:r w:rsidR="00B62B9D" w:rsidRPr="00D944B1">
        <w:rPr>
          <w:rFonts w:asciiTheme="majorBidi" w:hAnsiTheme="majorBidi" w:cstheme="majorBidi"/>
        </w:rPr>
        <w:t>ercices se détaille comme suit:</w:t>
      </w:r>
      <w:r w:rsidRPr="00D944B1">
        <w:rPr>
          <w:rFonts w:asciiTheme="majorBidi" w:hAnsiTheme="majorBidi" w:cstheme="majorBidi"/>
        </w:rPr>
        <w:t xml:space="preserve"> </w:t>
      </w:r>
    </w:p>
    <w:tbl>
      <w:tblPr>
        <w:tblStyle w:val="Tramemoyenne1-Accent4"/>
        <w:tblW w:w="5000" w:type="pct"/>
        <w:tblLook w:val="04A0"/>
      </w:tblPr>
      <w:tblGrid>
        <w:gridCol w:w="3904"/>
        <w:gridCol w:w="1347"/>
        <w:gridCol w:w="1347"/>
        <w:gridCol w:w="1347"/>
        <w:gridCol w:w="1343"/>
      </w:tblGrid>
      <w:tr w:rsidR="006F498F" w:rsidRPr="00D944B1" w:rsidTr="00B62B9D">
        <w:trPr>
          <w:cnfStyle w:val="100000000000"/>
          <w:trHeight w:val="762"/>
        </w:trPr>
        <w:tc>
          <w:tcPr>
            <w:cnfStyle w:val="001000000000"/>
            <w:tcW w:w="2102" w:type="pct"/>
            <w:noWrap/>
            <w:hideMark/>
          </w:tcPr>
          <w:p w:rsidR="006F498F" w:rsidRPr="00D944B1" w:rsidRDefault="006F498F" w:rsidP="00E14D65">
            <w:pPr>
              <w:spacing w:line="360" w:lineRule="auto"/>
              <w:jc w:val="both"/>
              <w:rPr>
                <w:rFonts w:asciiTheme="majorBidi" w:hAnsiTheme="majorBidi" w:cstheme="majorBidi"/>
                <w:b w:val="0"/>
                <w:bCs w:val="0"/>
                <w:sz w:val="24"/>
                <w:szCs w:val="24"/>
              </w:rPr>
            </w:pPr>
            <w:r w:rsidRPr="00D944B1">
              <w:rPr>
                <w:rFonts w:asciiTheme="majorBidi" w:hAnsiTheme="majorBidi" w:cstheme="majorBidi"/>
                <w:sz w:val="24"/>
                <w:szCs w:val="24"/>
              </w:rPr>
              <w:lastRenderedPageBreak/>
              <w:t>Paramètres</w:t>
            </w:r>
          </w:p>
        </w:tc>
        <w:tc>
          <w:tcPr>
            <w:tcW w:w="725" w:type="pct"/>
            <w:noWrap/>
            <w:hideMark/>
          </w:tcPr>
          <w:p w:rsidR="006F498F" w:rsidRPr="00D944B1" w:rsidRDefault="006F498F" w:rsidP="00E14D65">
            <w:pPr>
              <w:spacing w:line="360" w:lineRule="auto"/>
              <w:jc w:val="both"/>
              <w:cnfStyle w:val="100000000000"/>
              <w:rPr>
                <w:rFonts w:asciiTheme="majorBidi" w:hAnsiTheme="majorBidi" w:cstheme="majorBidi"/>
                <w:b w:val="0"/>
                <w:bCs w:val="0"/>
                <w:sz w:val="24"/>
                <w:szCs w:val="24"/>
              </w:rPr>
            </w:pPr>
            <w:r w:rsidRPr="00D944B1">
              <w:rPr>
                <w:rFonts w:asciiTheme="majorBidi" w:hAnsiTheme="majorBidi" w:cstheme="majorBidi"/>
                <w:sz w:val="24"/>
                <w:szCs w:val="24"/>
              </w:rPr>
              <w:t>2008</w:t>
            </w:r>
          </w:p>
        </w:tc>
        <w:tc>
          <w:tcPr>
            <w:tcW w:w="725" w:type="pct"/>
            <w:noWrap/>
            <w:hideMark/>
          </w:tcPr>
          <w:p w:rsidR="006F498F" w:rsidRPr="00D944B1" w:rsidRDefault="006F498F" w:rsidP="00E14D65">
            <w:pPr>
              <w:spacing w:line="360" w:lineRule="auto"/>
              <w:jc w:val="both"/>
              <w:cnfStyle w:val="100000000000"/>
              <w:rPr>
                <w:rFonts w:asciiTheme="majorBidi" w:hAnsiTheme="majorBidi" w:cstheme="majorBidi"/>
                <w:b w:val="0"/>
                <w:bCs w:val="0"/>
                <w:sz w:val="24"/>
                <w:szCs w:val="24"/>
              </w:rPr>
            </w:pPr>
            <w:r w:rsidRPr="00D944B1">
              <w:rPr>
                <w:rFonts w:asciiTheme="majorBidi" w:hAnsiTheme="majorBidi" w:cstheme="majorBidi"/>
                <w:sz w:val="24"/>
                <w:szCs w:val="24"/>
              </w:rPr>
              <w:t>2009</w:t>
            </w:r>
          </w:p>
        </w:tc>
        <w:tc>
          <w:tcPr>
            <w:tcW w:w="725" w:type="pct"/>
            <w:noWrap/>
            <w:hideMark/>
          </w:tcPr>
          <w:p w:rsidR="006F498F" w:rsidRPr="00D944B1" w:rsidRDefault="006F498F" w:rsidP="00E14D65">
            <w:pPr>
              <w:spacing w:line="360" w:lineRule="auto"/>
              <w:jc w:val="both"/>
              <w:cnfStyle w:val="100000000000"/>
              <w:rPr>
                <w:rFonts w:asciiTheme="majorBidi" w:hAnsiTheme="majorBidi" w:cstheme="majorBidi"/>
                <w:b w:val="0"/>
                <w:bCs w:val="0"/>
                <w:sz w:val="24"/>
                <w:szCs w:val="24"/>
              </w:rPr>
            </w:pPr>
            <w:r w:rsidRPr="00D944B1">
              <w:rPr>
                <w:rFonts w:asciiTheme="majorBidi" w:hAnsiTheme="majorBidi" w:cstheme="majorBidi"/>
                <w:sz w:val="24"/>
                <w:szCs w:val="24"/>
              </w:rPr>
              <w:t>2010</w:t>
            </w:r>
          </w:p>
        </w:tc>
        <w:tc>
          <w:tcPr>
            <w:tcW w:w="723" w:type="pct"/>
            <w:noWrap/>
            <w:hideMark/>
          </w:tcPr>
          <w:p w:rsidR="006F498F" w:rsidRPr="00D944B1" w:rsidRDefault="006F498F" w:rsidP="00E14D65">
            <w:pPr>
              <w:spacing w:line="360" w:lineRule="auto"/>
              <w:jc w:val="both"/>
              <w:cnfStyle w:val="100000000000"/>
              <w:rPr>
                <w:rFonts w:asciiTheme="majorBidi" w:hAnsiTheme="majorBidi" w:cstheme="majorBidi"/>
                <w:b w:val="0"/>
                <w:bCs w:val="0"/>
                <w:sz w:val="24"/>
                <w:szCs w:val="24"/>
              </w:rPr>
            </w:pPr>
            <w:r w:rsidRPr="00D944B1">
              <w:rPr>
                <w:rFonts w:asciiTheme="majorBidi" w:hAnsiTheme="majorBidi" w:cstheme="majorBidi"/>
                <w:sz w:val="24"/>
                <w:szCs w:val="24"/>
              </w:rPr>
              <w:t>Total</w:t>
            </w:r>
          </w:p>
        </w:tc>
      </w:tr>
      <w:tr w:rsidR="006F498F" w:rsidRPr="00D944B1" w:rsidTr="00B62B9D">
        <w:trPr>
          <w:cnfStyle w:val="000000100000"/>
          <w:trHeight w:val="762"/>
        </w:trPr>
        <w:tc>
          <w:tcPr>
            <w:cnfStyle w:val="001000000000"/>
            <w:tcW w:w="2102" w:type="pct"/>
            <w:hideMark/>
          </w:tcPr>
          <w:p w:rsidR="006F498F" w:rsidRPr="00D944B1" w:rsidRDefault="006F498F" w:rsidP="00E14D65">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La charge annuelle des sinistres</w:t>
            </w:r>
          </w:p>
        </w:tc>
        <w:tc>
          <w:tcPr>
            <w:tcW w:w="725" w:type="pct"/>
            <w:noWrap/>
            <w:hideMark/>
          </w:tcPr>
          <w:p w:rsidR="006F498F" w:rsidRPr="00D944B1" w:rsidRDefault="006F498F" w:rsidP="00E14D65">
            <w:pPr>
              <w:spacing w:line="360" w:lineRule="auto"/>
              <w:jc w:val="both"/>
              <w:cnfStyle w:val="000000100000"/>
              <w:rPr>
                <w:rFonts w:asciiTheme="majorBidi" w:hAnsiTheme="majorBidi" w:cstheme="majorBidi"/>
                <w:sz w:val="24"/>
                <w:szCs w:val="24"/>
              </w:rPr>
            </w:pPr>
            <w:r w:rsidRPr="00D944B1">
              <w:rPr>
                <w:rFonts w:asciiTheme="majorBidi" w:hAnsiTheme="majorBidi" w:cstheme="majorBidi"/>
                <w:sz w:val="24"/>
                <w:szCs w:val="24"/>
              </w:rPr>
              <w:t>28 732 191</w:t>
            </w:r>
          </w:p>
        </w:tc>
        <w:tc>
          <w:tcPr>
            <w:tcW w:w="725" w:type="pct"/>
            <w:noWrap/>
            <w:hideMark/>
          </w:tcPr>
          <w:p w:rsidR="006F498F" w:rsidRPr="00D944B1" w:rsidRDefault="006F498F" w:rsidP="00E14D65">
            <w:pPr>
              <w:spacing w:line="360" w:lineRule="auto"/>
              <w:jc w:val="both"/>
              <w:cnfStyle w:val="000000100000"/>
              <w:rPr>
                <w:rFonts w:asciiTheme="majorBidi" w:hAnsiTheme="majorBidi" w:cstheme="majorBidi"/>
                <w:sz w:val="24"/>
                <w:szCs w:val="24"/>
              </w:rPr>
            </w:pPr>
            <w:r w:rsidRPr="00D944B1">
              <w:rPr>
                <w:rFonts w:asciiTheme="majorBidi" w:hAnsiTheme="majorBidi" w:cstheme="majorBidi"/>
                <w:sz w:val="24"/>
                <w:szCs w:val="24"/>
              </w:rPr>
              <w:t>48 671 339</w:t>
            </w:r>
          </w:p>
        </w:tc>
        <w:tc>
          <w:tcPr>
            <w:tcW w:w="725" w:type="pct"/>
            <w:noWrap/>
            <w:hideMark/>
          </w:tcPr>
          <w:p w:rsidR="006F498F" w:rsidRPr="00D944B1" w:rsidRDefault="006F498F" w:rsidP="00E14D65">
            <w:pPr>
              <w:spacing w:line="360" w:lineRule="auto"/>
              <w:jc w:val="both"/>
              <w:cnfStyle w:val="000000100000"/>
              <w:rPr>
                <w:rFonts w:asciiTheme="majorBidi" w:hAnsiTheme="majorBidi" w:cstheme="majorBidi"/>
                <w:sz w:val="24"/>
                <w:szCs w:val="24"/>
              </w:rPr>
            </w:pPr>
            <w:r w:rsidRPr="00D944B1">
              <w:rPr>
                <w:rFonts w:asciiTheme="majorBidi" w:hAnsiTheme="majorBidi" w:cstheme="majorBidi"/>
                <w:sz w:val="24"/>
                <w:szCs w:val="24"/>
              </w:rPr>
              <w:t>31 096 254</w:t>
            </w:r>
          </w:p>
        </w:tc>
        <w:tc>
          <w:tcPr>
            <w:tcW w:w="723" w:type="pct"/>
            <w:noWrap/>
            <w:hideMark/>
          </w:tcPr>
          <w:p w:rsidR="006F498F" w:rsidRPr="00D944B1" w:rsidRDefault="006F498F" w:rsidP="00E14D65">
            <w:pPr>
              <w:spacing w:line="360" w:lineRule="auto"/>
              <w:jc w:val="both"/>
              <w:cnfStyle w:val="000000100000"/>
              <w:rPr>
                <w:rFonts w:asciiTheme="majorBidi" w:hAnsiTheme="majorBidi" w:cstheme="majorBidi"/>
                <w:sz w:val="24"/>
                <w:szCs w:val="24"/>
              </w:rPr>
            </w:pPr>
            <w:r w:rsidRPr="00D944B1">
              <w:rPr>
                <w:rFonts w:asciiTheme="majorBidi" w:hAnsiTheme="majorBidi" w:cstheme="majorBidi"/>
                <w:sz w:val="24"/>
                <w:szCs w:val="24"/>
              </w:rPr>
              <w:t>77 403 530</w:t>
            </w:r>
          </w:p>
        </w:tc>
      </w:tr>
      <w:tr w:rsidR="006F498F" w:rsidRPr="00D944B1" w:rsidTr="00B62B9D">
        <w:trPr>
          <w:cnfStyle w:val="000000010000"/>
          <w:trHeight w:val="762"/>
        </w:trPr>
        <w:tc>
          <w:tcPr>
            <w:cnfStyle w:val="001000000000"/>
            <w:tcW w:w="2102" w:type="pct"/>
            <w:hideMark/>
          </w:tcPr>
          <w:p w:rsidR="006F498F" w:rsidRPr="00D944B1" w:rsidRDefault="006F498F" w:rsidP="00E14D65">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la charge moyenne annuelle des sinistres des trois derniers exercices</w:t>
            </w:r>
          </w:p>
        </w:tc>
        <w:tc>
          <w:tcPr>
            <w:tcW w:w="725" w:type="pct"/>
            <w:noWrap/>
            <w:hideMark/>
          </w:tcPr>
          <w:p w:rsidR="006F498F" w:rsidRPr="00D944B1" w:rsidRDefault="006F498F" w:rsidP="00E14D65">
            <w:pPr>
              <w:spacing w:line="360" w:lineRule="auto"/>
              <w:jc w:val="both"/>
              <w:cnfStyle w:val="000000010000"/>
              <w:rPr>
                <w:rFonts w:asciiTheme="majorBidi" w:hAnsiTheme="majorBidi" w:cstheme="majorBidi"/>
                <w:sz w:val="24"/>
                <w:szCs w:val="24"/>
              </w:rPr>
            </w:pPr>
          </w:p>
        </w:tc>
        <w:tc>
          <w:tcPr>
            <w:tcW w:w="725" w:type="pct"/>
            <w:noWrap/>
            <w:hideMark/>
          </w:tcPr>
          <w:p w:rsidR="006F498F" w:rsidRPr="00D944B1" w:rsidRDefault="006F498F" w:rsidP="00E14D65">
            <w:pPr>
              <w:spacing w:line="360" w:lineRule="auto"/>
              <w:jc w:val="both"/>
              <w:cnfStyle w:val="000000010000"/>
              <w:rPr>
                <w:rFonts w:asciiTheme="majorBidi" w:hAnsiTheme="majorBidi" w:cstheme="majorBidi"/>
                <w:sz w:val="24"/>
                <w:szCs w:val="24"/>
              </w:rPr>
            </w:pPr>
          </w:p>
        </w:tc>
        <w:tc>
          <w:tcPr>
            <w:tcW w:w="725" w:type="pct"/>
            <w:noWrap/>
            <w:hideMark/>
          </w:tcPr>
          <w:p w:rsidR="006F498F" w:rsidRPr="00D944B1" w:rsidRDefault="006F498F" w:rsidP="00E14D65">
            <w:pPr>
              <w:spacing w:line="360" w:lineRule="auto"/>
              <w:jc w:val="both"/>
              <w:cnfStyle w:val="000000010000"/>
              <w:rPr>
                <w:rFonts w:asciiTheme="majorBidi" w:hAnsiTheme="majorBidi" w:cstheme="majorBidi"/>
                <w:sz w:val="24"/>
                <w:szCs w:val="24"/>
              </w:rPr>
            </w:pPr>
          </w:p>
        </w:tc>
        <w:tc>
          <w:tcPr>
            <w:tcW w:w="723" w:type="pct"/>
            <w:noWrap/>
            <w:hideMark/>
          </w:tcPr>
          <w:p w:rsidR="006F498F" w:rsidRPr="00D944B1" w:rsidRDefault="006F498F" w:rsidP="00E14D65">
            <w:pPr>
              <w:spacing w:line="360" w:lineRule="auto"/>
              <w:jc w:val="both"/>
              <w:cnfStyle w:val="000000010000"/>
              <w:rPr>
                <w:rFonts w:asciiTheme="majorBidi" w:hAnsiTheme="majorBidi" w:cstheme="majorBidi"/>
                <w:sz w:val="24"/>
                <w:szCs w:val="24"/>
              </w:rPr>
            </w:pPr>
            <w:r w:rsidRPr="00D944B1">
              <w:rPr>
                <w:rFonts w:asciiTheme="majorBidi" w:hAnsiTheme="majorBidi" w:cstheme="majorBidi"/>
                <w:sz w:val="24"/>
                <w:szCs w:val="24"/>
              </w:rPr>
              <w:t>25 801 177</w:t>
            </w:r>
          </w:p>
        </w:tc>
      </w:tr>
    </w:tbl>
    <w:p w:rsidR="009C1FA5" w:rsidRPr="00D944B1" w:rsidRDefault="00B27360" w:rsidP="00E14D65">
      <w:pPr>
        <w:spacing w:line="360" w:lineRule="auto"/>
        <w:jc w:val="both"/>
        <w:rPr>
          <w:rFonts w:asciiTheme="majorBidi" w:hAnsiTheme="majorBidi" w:cstheme="majorBidi"/>
          <w:b/>
        </w:rPr>
      </w:pPr>
      <w:r>
        <w:rPr>
          <w:rFonts w:asciiTheme="majorBidi" w:hAnsiTheme="majorBidi" w:cstheme="majorBidi"/>
          <w:b/>
        </w:rPr>
        <w:t>Tableau N°4: L</w:t>
      </w:r>
      <w:r w:rsidR="009C1FA5" w:rsidRPr="00D944B1">
        <w:rPr>
          <w:rFonts w:asciiTheme="majorBidi" w:hAnsiTheme="majorBidi" w:cstheme="majorBidi"/>
          <w:b/>
        </w:rPr>
        <w:t xml:space="preserve">a charge annuelle des sinistres des trois dernières années (CARTE) </w:t>
      </w:r>
    </w:p>
    <w:p w:rsidR="00DE05AC" w:rsidRPr="001A1E31" w:rsidRDefault="009747FD" w:rsidP="00E14D65">
      <w:pPr>
        <w:spacing w:line="360" w:lineRule="auto"/>
        <w:jc w:val="both"/>
        <w:rPr>
          <w:rFonts w:asciiTheme="majorBidi" w:hAnsiTheme="majorBidi" w:cstheme="majorBidi"/>
          <w:b/>
          <w:bCs/>
          <w:sz w:val="28"/>
          <w:szCs w:val="28"/>
        </w:rPr>
      </w:pPr>
      <w:r>
        <w:rPr>
          <w:rFonts w:asciiTheme="majorBidi" w:hAnsiTheme="majorBidi" w:cstheme="majorBidi"/>
          <w:b/>
          <w:bCs/>
          <w:noProof/>
          <w:sz w:val="28"/>
          <w:szCs w:val="28"/>
        </w:rPr>
        <w:pict>
          <v:rect id="_x0000_s1029" style="position:absolute;left:0;text-align:left;margin-left:-2.95pt;margin-top:-6.3pt;width:470.05pt;height:78.1pt;z-index:251660288" fillcolor="white [3201]" strokecolor="#8064a2 [3207]" strokeweight="5pt">
            <v:stroke linestyle="thickThin"/>
            <v:shadow color="#868686"/>
            <v:textbox style="mso-next-textbox:#_x0000_s1029">
              <w:txbxContent>
                <w:p w:rsidR="00CD7EEF" w:rsidRDefault="00CD7EEF" w:rsidP="00B27360">
                  <w:pPr>
                    <w:spacing w:line="312" w:lineRule="auto"/>
                    <w:rPr>
                      <w:rFonts w:asciiTheme="majorBidi" w:hAnsiTheme="majorBidi" w:cstheme="majorBidi"/>
                      <w:b/>
                      <w:bCs/>
                      <w:i/>
                      <w:iCs/>
                      <w:sz w:val="24"/>
                      <w:szCs w:val="24"/>
                    </w:rPr>
                  </w:pPr>
                  <w:r w:rsidRPr="00952D15">
                    <w:rPr>
                      <w:rFonts w:asciiTheme="majorBidi" w:hAnsiTheme="majorBidi" w:cstheme="majorBidi"/>
                      <w:b/>
                      <w:i/>
                      <w:iCs/>
                      <w:sz w:val="24"/>
                      <w:szCs w:val="24"/>
                    </w:rPr>
                    <w:t>Conclusion :</w:t>
                  </w:r>
                </w:p>
                <w:p w:rsidR="00CD7EEF" w:rsidRPr="00952D15" w:rsidRDefault="00CD7EEF" w:rsidP="00B27360">
                  <w:pPr>
                    <w:spacing w:line="312" w:lineRule="auto"/>
                    <w:rPr>
                      <w:rFonts w:asciiTheme="majorBidi" w:hAnsiTheme="majorBidi" w:cstheme="majorBidi"/>
                      <w:b/>
                      <w:bCs/>
                      <w:i/>
                      <w:iCs/>
                      <w:sz w:val="24"/>
                      <w:szCs w:val="24"/>
                    </w:rPr>
                  </w:pPr>
                  <w:r w:rsidRPr="00952D15">
                    <w:rPr>
                      <w:rFonts w:asciiTheme="majorBidi" w:hAnsiTheme="majorBidi" w:cstheme="majorBidi"/>
                      <w:bCs/>
                      <w:i/>
                      <w:iCs/>
                      <w:sz w:val="24"/>
                      <w:szCs w:val="24"/>
                    </w:rPr>
                    <w:t>Le minimum de la marge de solvabilité non vie  à retenir est le montant maximum calculé a partir des deux méthodes décrites ci-dessus, soit</w:t>
                  </w:r>
                  <w:r w:rsidRPr="00952D15">
                    <w:rPr>
                      <w:rFonts w:asciiTheme="majorBidi" w:hAnsiTheme="majorBidi" w:cstheme="majorBidi"/>
                      <w:b/>
                      <w:i/>
                      <w:iCs/>
                      <w:sz w:val="24"/>
                      <w:szCs w:val="24"/>
                    </w:rPr>
                    <w:t xml:space="preserve"> 7 100 334 Dinars.</w:t>
                  </w:r>
                </w:p>
                <w:p w:rsidR="00CD7EEF" w:rsidRDefault="00CD7EEF"/>
              </w:txbxContent>
            </v:textbox>
          </v:rect>
        </w:pict>
      </w:r>
      <w:r w:rsidR="00DE05AC" w:rsidRPr="00D944B1">
        <w:rPr>
          <w:rFonts w:asciiTheme="majorBidi" w:hAnsiTheme="majorBidi" w:cstheme="majorBidi"/>
          <w:b/>
          <w:bCs/>
          <w:i/>
          <w:iCs/>
          <w:snapToGrid w:val="0"/>
          <w:sz w:val="24"/>
          <w:szCs w:val="24"/>
          <w:u w:val="single"/>
        </w:rPr>
        <w:t>Pour l’activité vie</w:t>
      </w:r>
    </w:p>
    <w:p w:rsidR="001A1E31" w:rsidRPr="001A1E31" w:rsidRDefault="006F498F" w:rsidP="00E14D65">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Le montant minimum réglementaire de la marge de solvabilité pour l’activité vie  au 31/12/2010</w:t>
      </w:r>
    </w:p>
    <w:p w:rsidR="00AE64D2" w:rsidRDefault="00AE64D2" w:rsidP="00E14D65">
      <w:pPr>
        <w:spacing w:after="0" w:line="360" w:lineRule="auto"/>
        <w:ind w:left="720"/>
        <w:jc w:val="both"/>
        <w:rPr>
          <w:rFonts w:asciiTheme="majorBidi" w:hAnsiTheme="majorBidi" w:cstheme="majorBidi"/>
          <w:b/>
          <w:bCs/>
          <w:i/>
          <w:iCs/>
          <w:sz w:val="24"/>
          <w:szCs w:val="24"/>
          <w:u w:val="single"/>
        </w:rPr>
      </w:pPr>
    </w:p>
    <w:p w:rsidR="00E7564C" w:rsidRPr="00D520BF" w:rsidRDefault="00E7564C" w:rsidP="00E14D65">
      <w:pPr>
        <w:spacing w:after="0" w:line="360" w:lineRule="auto"/>
        <w:ind w:left="720"/>
        <w:jc w:val="both"/>
        <w:rPr>
          <w:rFonts w:asciiTheme="majorBidi" w:hAnsiTheme="majorBidi" w:cstheme="majorBidi"/>
          <w:b/>
          <w:bCs/>
          <w:i/>
          <w:iCs/>
          <w:sz w:val="24"/>
          <w:szCs w:val="24"/>
        </w:rPr>
      </w:pPr>
      <w:r w:rsidRPr="00D520BF">
        <w:rPr>
          <w:rFonts w:asciiTheme="majorBidi" w:hAnsiTheme="majorBidi" w:cstheme="majorBidi"/>
          <w:b/>
          <w:bCs/>
          <w:i/>
          <w:iCs/>
          <w:sz w:val="24"/>
          <w:szCs w:val="24"/>
        </w:rPr>
        <w:t>Pour l’activité vie</w:t>
      </w:r>
    </w:p>
    <w:p w:rsidR="00E7564C" w:rsidRPr="00E7564C" w:rsidRDefault="00E7564C" w:rsidP="00E14D65">
      <w:pPr>
        <w:spacing w:line="360" w:lineRule="auto"/>
        <w:jc w:val="both"/>
        <w:rPr>
          <w:rFonts w:asciiTheme="majorBidi" w:hAnsiTheme="majorBidi" w:cstheme="majorBidi"/>
          <w:b/>
          <w:bCs/>
          <w:snapToGrid w:val="0"/>
          <w:sz w:val="28"/>
          <w:szCs w:val="28"/>
        </w:rPr>
      </w:pPr>
      <w:r w:rsidRPr="00D944B1">
        <w:rPr>
          <w:rFonts w:asciiTheme="majorBidi" w:hAnsiTheme="majorBidi" w:cstheme="majorBidi"/>
          <w:sz w:val="24"/>
          <w:szCs w:val="24"/>
        </w:rPr>
        <w:t>Le montant minimum réglementaire de la marge de solvabilité</w:t>
      </w:r>
      <w:r>
        <w:rPr>
          <w:rFonts w:asciiTheme="majorBidi" w:hAnsiTheme="majorBidi" w:cstheme="majorBidi"/>
          <w:sz w:val="24"/>
          <w:szCs w:val="24"/>
        </w:rPr>
        <w:t xml:space="preserve"> pour l’activité </w:t>
      </w:r>
      <w:r w:rsidRPr="00D944B1">
        <w:rPr>
          <w:rFonts w:asciiTheme="majorBidi" w:hAnsiTheme="majorBidi" w:cstheme="majorBidi"/>
          <w:sz w:val="24"/>
          <w:szCs w:val="24"/>
        </w:rPr>
        <w:t>vie Au 31/12/2010</w:t>
      </w:r>
      <w:r>
        <w:rPr>
          <w:rFonts w:asciiTheme="majorBidi" w:hAnsiTheme="majorBidi" w:cstheme="majorBidi"/>
          <w:sz w:val="24"/>
          <w:szCs w:val="24"/>
        </w:rPr>
        <w:t> :</w:t>
      </w:r>
    </w:p>
    <w:p w:rsidR="006F498F" w:rsidRPr="00D944B1" w:rsidRDefault="001A1E31" w:rsidP="00E14D65">
      <w:pPr>
        <w:numPr>
          <w:ilvl w:val="0"/>
          <w:numId w:val="6"/>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Première </w:t>
      </w:r>
      <w:r w:rsidR="006F498F" w:rsidRPr="00D944B1">
        <w:rPr>
          <w:rFonts w:asciiTheme="majorBidi" w:hAnsiTheme="majorBidi" w:cstheme="majorBidi"/>
          <w:b/>
          <w:bCs/>
          <w:sz w:val="24"/>
          <w:szCs w:val="24"/>
        </w:rPr>
        <w:t>méthode</w:t>
      </w:r>
      <w:r w:rsidR="00DE05AC" w:rsidRPr="00D944B1">
        <w:rPr>
          <w:rFonts w:asciiTheme="majorBidi" w:hAnsiTheme="majorBidi" w:cstheme="majorBidi"/>
          <w:b/>
          <w:bCs/>
          <w:sz w:val="24"/>
          <w:szCs w:val="24"/>
        </w:rPr>
        <w:t> </w:t>
      </w:r>
    </w:p>
    <w:p w:rsidR="006F498F" w:rsidRPr="00D944B1" w:rsidRDefault="008E0379" w:rsidP="00E14D65">
      <w:pPr>
        <w:spacing w:after="0" w:line="360" w:lineRule="auto"/>
        <w:jc w:val="both"/>
        <w:rPr>
          <w:rFonts w:asciiTheme="majorBidi" w:hAnsiTheme="majorBidi" w:cstheme="majorBidi"/>
          <w:b/>
          <w:sz w:val="16"/>
          <w:szCs w:val="16"/>
        </w:rPr>
      </w:pPr>
      <w:r w:rsidRPr="00D944B1">
        <w:rPr>
          <w:rFonts w:asciiTheme="majorBidi" w:hAnsiTheme="majorBidi" w:cstheme="majorBidi"/>
          <w:b/>
          <w:sz w:val="16"/>
          <w:szCs w:val="16"/>
        </w:rPr>
        <w:t xml:space="preserve">                                                                                                                                               </w:t>
      </w:r>
      <w:r w:rsidR="001A1E31">
        <w:rPr>
          <w:rFonts w:asciiTheme="majorBidi" w:hAnsiTheme="majorBidi" w:cstheme="majorBidi"/>
          <w:b/>
          <w:sz w:val="16"/>
          <w:szCs w:val="16"/>
        </w:rPr>
        <w:t xml:space="preserve">               </w:t>
      </w:r>
      <w:r w:rsidRPr="00D944B1">
        <w:rPr>
          <w:rFonts w:asciiTheme="majorBidi" w:hAnsiTheme="majorBidi" w:cstheme="majorBidi"/>
          <w:b/>
          <w:sz w:val="16"/>
          <w:szCs w:val="16"/>
        </w:rPr>
        <w:t xml:space="preserve">    </w:t>
      </w:r>
      <w:r w:rsidR="006F498F" w:rsidRPr="00D944B1">
        <w:rPr>
          <w:rFonts w:asciiTheme="majorBidi" w:hAnsiTheme="majorBidi" w:cstheme="majorBidi"/>
          <w:b/>
          <w:sz w:val="16"/>
          <w:szCs w:val="16"/>
        </w:rPr>
        <w:t>(Montant exprimé en Dinar Tunisien)</w:t>
      </w:r>
    </w:p>
    <w:tbl>
      <w:tblPr>
        <w:tblStyle w:val="Grillemoyenne3-Accent4"/>
        <w:tblW w:w="5000" w:type="pct"/>
        <w:tblLook w:val="04A0"/>
      </w:tblPr>
      <w:tblGrid>
        <w:gridCol w:w="6076"/>
        <w:gridCol w:w="3212"/>
      </w:tblGrid>
      <w:tr w:rsidR="006F498F" w:rsidRPr="00D944B1" w:rsidTr="00DE05AC">
        <w:trPr>
          <w:cnfStyle w:val="100000000000"/>
          <w:trHeight w:val="300"/>
        </w:trPr>
        <w:tc>
          <w:tcPr>
            <w:cnfStyle w:val="001000000000"/>
            <w:tcW w:w="3271" w:type="pct"/>
            <w:noWrap/>
            <w:hideMark/>
          </w:tcPr>
          <w:p w:rsidR="006F498F" w:rsidRPr="00D944B1" w:rsidRDefault="006F498F" w:rsidP="00E14D65">
            <w:pPr>
              <w:spacing w:line="360" w:lineRule="auto"/>
              <w:jc w:val="both"/>
              <w:rPr>
                <w:rFonts w:asciiTheme="majorBidi" w:hAnsiTheme="majorBidi" w:cstheme="majorBidi"/>
                <w:b w:val="0"/>
                <w:bCs w:val="0"/>
                <w:sz w:val="24"/>
                <w:szCs w:val="24"/>
              </w:rPr>
            </w:pPr>
            <w:r w:rsidRPr="00D944B1">
              <w:rPr>
                <w:rFonts w:asciiTheme="majorBidi" w:hAnsiTheme="majorBidi" w:cstheme="majorBidi"/>
                <w:sz w:val="24"/>
                <w:szCs w:val="24"/>
              </w:rPr>
              <w:t>Paramètres</w:t>
            </w:r>
          </w:p>
        </w:tc>
        <w:tc>
          <w:tcPr>
            <w:tcW w:w="1729" w:type="pct"/>
            <w:noWrap/>
            <w:hideMark/>
          </w:tcPr>
          <w:p w:rsidR="006F498F" w:rsidRPr="00D944B1" w:rsidRDefault="006F498F" w:rsidP="00E14D65">
            <w:pPr>
              <w:spacing w:line="360" w:lineRule="auto"/>
              <w:ind w:right="1203"/>
              <w:jc w:val="both"/>
              <w:cnfStyle w:val="100000000000"/>
              <w:rPr>
                <w:rFonts w:asciiTheme="majorBidi" w:hAnsiTheme="majorBidi" w:cstheme="majorBidi"/>
                <w:b w:val="0"/>
                <w:bCs w:val="0"/>
                <w:sz w:val="24"/>
                <w:szCs w:val="24"/>
              </w:rPr>
            </w:pPr>
            <w:r w:rsidRPr="00D944B1">
              <w:rPr>
                <w:rFonts w:asciiTheme="majorBidi" w:hAnsiTheme="majorBidi" w:cstheme="majorBidi"/>
                <w:sz w:val="24"/>
                <w:szCs w:val="24"/>
              </w:rPr>
              <w:t>Montant</w:t>
            </w:r>
          </w:p>
        </w:tc>
      </w:tr>
      <w:tr w:rsidR="006F498F" w:rsidRPr="00D944B1" w:rsidTr="00DE05AC">
        <w:trPr>
          <w:cnfStyle w:val="000000100000"/>
          <w:trHeight w:hRule="exact" w:val="600"/>
        </w:trPr>
        <w:tc>
          <w:tcPr>
            <w:cnfStyle w:val="001000000000"/>
            <w:tcW w:w="3271"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A = (4% des provisions mathématiques)</w:t>
            </w:r>
          </w:p>
        </w:tc>
        <w:tc>
          <w:tcPr>
            <w:tcW w:w="1729" w:type="pct"/>
            <w:noWrap/>
            <w:hideMark/>
          </w:tcPr>
          <w:p w:rsidR="006F498F" w:rsidRPr="00D944B1" w:rsidRDefault="006F498F" w:rsidP="00E14D65">
            <w:pPr>
              <w:spacing w:line="360" w:lineRule="auto"/>
              <w:ind w:right="920"/>
              <w:jc w:val="both"/>
              <w:cnfStyle w:val="000000100000"/>
              <w:rPr>
                <w:rFonts w:asciiTheme="majorBidi" w:hAnsiTheme="majorBidi" w:cstheme="majorBidi"/>
                <w:sz w:val="24"/>
                <w:szCs w:val="24"/>
              </w:rPr>
            </w:pPr>
            <w:r w:rsidRPr="00D944B1">
              <w:rPr>
                <w:rFonts w:asciiTheme="majorBidi" w:hAnsiTheme="majorBidi" w:cstheme="majorBidi"/>
                <w:sz w:val="24"/>
                <w:szCs w:val="24"/>
              </w:rPr>
              <w:t>1 601 643</w:t>
            </w:r>
          </w:p>
        </w:tc>
      </w:tr>
      <w:tr w:rsidR="006F498F" w:rsidRPr="00D944B1" w:rsidTr="00DE05AC">
        <w:trPr>
          <w:trHeight w:hRule="exact" w:val="979"/>
        </w:trPr>
        <w:tc>
          <w:tcPr>
            <w:cnfStyle w:val="001000000000"/>
            <w:tcW w:w="3271"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B = (provisions mathématiques net de cession en réassurances / provisions mathématiques  brut de réassurance) (*)</w:t>
            </w:r>
          </w:p>
        </w:tc>
        <w:tc>
          <w:tcPr>
            <w:tcW w:w="1729" w:type="pct"/>
            <w:noWrap/>
            <w:hideMark/>
          </w:tcPr>
          <w:p w:rsidR="006F498F" w:rsidRPr="00D944B1" w:rsidRDefault="006F498F" w:rsidP="00E14D65">
            <w:pPr>
              <w:spacing w:line="360" w:lineRule="auto"/>
              <w:ind w:right="920"/>
              <w:jc w:val="both"/>
              <w:cnfStyle w:val="000000000000"/>
              <w:rPr>
                <w:rFonts w:asciiTheme="majorBidi" w:hAnsiTheme="majorBidi" w:cstheme="majorBidi"/>
                <w:sz w:val="24"/>
                <w:szCs w:val="24"/>
              </w:rPr>
            </w:pPr>
            <w:r w:rsidRPr="00D944B1">
              <w:rPr>
                <w:rFonts w:asciiTheme="majorBidi" w:hAnsiTheme="majorBidi" w:cstheme="majorBidi"/>
                <w:sz w:val="24"/>
                <w:szCs w:val="24"/>
              </w:rPr>
              <w:t>99,98%</w:t>
            </w:r>
          </w:p>
        </w:tc>
      </w:tr>
      <w:tr w:rsidR="006F498F" w:rsidRPr="00D944B1" w:rsidTr="00DE05AC">
        <w:trPr>
          <w:cnfStyle w:val="000000100000"/>
          <w:trHeight w:hRule="exact" w:val="426"/>
        </w:trPr>
        <w:tc>
          <w:tcPr>
            <w:cnfStyle w:val="001000000000"/>
            <w:tcW w:w="3271"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Provisions mathématiques net de cession en réassurances</w:t>
            </w:r>
          </w:p>
        </w:tc>
        <w:tc>
          <w:tcPr>
            <w:tcW w:w="1729" w:type="pct"/>
            <w:noWrap/>
            <w:hideMark/>
          </w:tcPr>
          <w:p w:rsidR="006F498F" w:rsidRPr="00D944B1" w:rsidRDefault="006F498F" w:rsidP="00E14D65">
            <w:pPr>
              <w:spacing w:line="360" w:lineRule="auto"/>
              <w:ind w:right="920"/>
              <w:jc w:val="both"/>
              <w:cnfStyle w:val="000000100000"/>
              <w:rPr>
                <w:rFonts w:asciiTheme="majorBidi" w:hAnsiTheme="majorBidi" w:cstheme="majorBidi"/>
                <w:sz w:val="24"/>
                <w:szCs w:val="24"/>
              </w:rPr>
            </w:pPr>
            <w:r w:rsidRPr="00D944B1">
              <w:rPr>
                <w:rFonts w:asciiTheme="majorBidi" w:hAnsiTheme="majorBidi" w:cstheme="majorBidi"/>
                <w:sz w:val="24"/>
                <w:szCs w:val="24"/>
              </w:rPr>
              <w:t>40 031 117</w:t>
            </w:r>
          </w:p>
        </w:tc>
      </w:tr>
      <w:tr w:rsidR="006F498F" w:rsidRPr="00D944B1" w:rsidTr="00DE05AC">
        <w:trPr>
          <w:trHeight w:hRule="exact" w:val="432"/>
        </w:trPr>
        <w:tc>
          <w:tcPr>
            <w:cnfStyle w:val="001000000000"/>
            <w:tcW w:w="3271"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Provisions mathématiques brut de réassurance</w:t>
            </w:r>
          </w:p>
        </w:tc>
        <w:tc>
          <w:tcPr>
            <w:tcW w:w="1729" w:type="pct"/>
            <w:noWrap/>
            <w:hideMark/>
          </w:tcPr>
          <w:p w:rsidR="006F498F" w:rsidRPr="00D944B1" w:rsidRDefault="006F498F" w:rsidP="00E14D65">
            <w:pPr>
              <w:spacing w:line="360" w:lineRule="auto"/>
              <w:ind w:right="920"/>
              <w:jc w:val="both"/>
              <w:cnfStyle w:val="000000000000"/>
              <w:rPr>
                <w:rFonts w:asciiTheme="majorBidi" w:hAnsiTheme="majorBidi" w:cstheme="majorBidi"/>
                <w:sz w:val="24"/>
                <w:szCs w:val="24"/>
              </w:rPr>
            </w:pPr>
            <w:r w:rsidRPr="00D944B1">
              <w:rPr>
                <w:rFonts w:asciiTheme="majorBidi" w:hAnsiTheme="majorBidi" w:cstheme="majorBidi"/>
                <w:sz w:val="24"/>
                <w:szCs w:val="24"/>
              </w:rPr>
              <w:t>40 041 080</w:t>
            </w:r>
          </w:p>
        </w:tc>
      </w:tr>
      <w:tr w:rsidR="006F498F" w:rsidRPr="00D944B1" w:rsidTr="00DE05AC">
        <w:trPr>
          <w:cnfStyle w:val="000000100000"/>
          <w:trHeight w:hRule="exact" w:val="424"/>
        </w:trPr>
        <w:tc>
          <w:tcPr>
            <w:cnfStyle w:val="001000000000"/>
            <w:tcW w:w="3271" w:type="pct"/>
            <w:hideMark/>
          </w:tcPr>
          <w:p w:rsidR="006F498F" w:rsidRPr="00D944B1" w:rsidRDefault="006F498F" w:rsidP="00E14D65">
            <w:pPr>
              <w:spacing w:line="360" w:lineRule="auto"/>
              <w:jc w:val="both"/>
              <w:rPr>
                <w:rFonts w:asciiTheme="majorBidi" w:hAnsiTheme="majorBidi" w:cstheme="majorBidi"/>
                <w:b w:val="0"/>
                <w:bCs w:val="0"/>
                <w:sz w:val="24"/>
                <w:szCs w:val="24"/>
              </w:rPr>
            </w:pPr>
            <w:r w:rsidRPr="00D944B1">
              <w:rPr>
                <w:rFonts w:asciiTheme="majorBidi" w:hAnsiTheme="majorBidi" w:cstheme="majorBidi"/>
                <w:sz w:val="24"/>
                <w:szCs w:val="24"/>
              </w:rPr>
              <w:t>Montant obtenue selon la première méthode = (A*B)</w:t>
            </w:r>
          </w:p>
        </w:tc>
        <w:tc>
          <w:tcPr>
            <w:tcW w:w="1729" w:type="pct"/>
            <w:noWrap/>
            <w:hideMark/>
          </w:tcPr>
          <w:p w:rsidR="006F498F" w:rsidRPr="00D944B1" w:rsidRDefault="006F498F" w:rsidP="00E14D65">
            <w:pPr>
              <w:spacing w:line="360" w:lineRule="auto"/>
              <w:ind w:right="920"/>
              <w:jc w:val="both"/>
              <w:cnfStyle w:val="000000100000"/>
              <w:rPr>
                <w:rFonts w:asciiTheme="majorBidi" w:hAnsiTheme="majorBidi" w:cstheme="majorBidi"/>
                <w:b/>
                <w:bCs/>
                <w:color w:val="FFFFFF" w:themeColor="background1"/>
                <w:sz w:val="24"/>
                <w:szCs w:val="24"/>
              </w:rPr>
            </w:pPr>
            <w:r w:rsidRPr="00D944B1">
              <w:rPr>
                <w:rFonts w:asciiTheme="majorBidi" w:hAnsiTheme="majorBidi" w:cstheme="majorBidi"/>
                <w:b/>
                <w:color w:val="FFFFFF" w:themeColor="background1"/>
                <w:sz w:val="24"/>
                <w:szCs w:val="24"/>
              </w:rPr>
              <w:t>1 601 245</w:t>
            </w:r>
          </w:p>
        </w:tc>
      </w:tr>
    </w:tbl>
    <w:p w:rsidR="008E0379" w:rsidRDefault="009C1FA5" w:rsidP="009F00F6">
      <w:pPr>
        <w:pStyle w:val="Ccstandard"/>
        <w:spacing w:line="360" w:lineRule="auto"/>
        <w:ind w:left="0"/>
        <w:rPr>
          <w:rFonts w:asciiTheme="majorBidi" w:hAnsiTheme="majorBidi" w:cstheme="majorBidi"/>
          <w:sz w:val="22"/>
          <w:szCs w:val="22"/>
        </w:rPr>
      </w:pPr>
      <w:r w:rsidRPr="00D944B1">
        <w:rPr>
          <w:rFonts w:asciiTheme="majorBidi" w:hAnsiTheme="majorBidi" w:cstheme="majorBidi"/>
          <w:b/>
          <w:bCs/>
          <w:sz w:val="22"/>
          <w:szCs w:val="22"/>
        </w:rPr>
        <w:t>Tableau N°5:</w:t>
      </w:r>
      <w:r w:rsidRPr="00D944B1">
        <w:rPr>
          <w:rFonts w:asciiTheme="majorBidi" w:hAnsiTheme="majorBidi" w:cstheme="majorBidi"/>
          <w:sz w:val="22"/>
          <w:szCs w:val="22"/>
        </w:rPr>
        <w:t xml:space="preserve"> </w:t>
      </w:r>
      <w:r w:rsidRPr="00D944B1">
        <w:rPr>
          <w:rFonts w:asciiTheme="majorBidi" w:hAnsiTheme="majorBidi" w:cstheme="majorBidi"/>
          <w:b/>
          <w:bCs/>
          <w:sz w:val="22"/>
          <w:szCs w:val="22"/>
        </w:rPr>
        <w:t>La marge de</w:t>
      </w:r>
      <w:r w:rsidR="00B27360">
        <w:rPr>
          <w:rFonts w:asciiTheme="majorBidi" w:hAnsiTheme="majorBidi" w:cstheme="majorBidi"/>
          <w:b/>
          <w:bCs/>
          <w:sz w:val="22"/>
          <w:szCs w:val="22"/>
        </w:rPr>
        <w:t xml:space="preserve"> solvabilité</w:t>
      </w:r>
      <w:r w:rsidRPr="00D944B1">
        <w:rPr>
          <w:rFonts w:asciiTheme="majorBidi" w:hAnsiTheme="majorBidi" w:cstheme="majorBidi"/>
          <w:b/>
          <w:bCs/>
          <w:sz w:val="22"/>
          <w:szCs w:val="22"/>
        </w:rPr>
        <w:t xml:space="preserve"> réglementaire pour l’activité vie selon la 1</w:t>
      </w:r>
      <w:r w:rsidRPr="00D944B1">
        <w:rPr>
          <w:rFonts w:asciiTheme="majorBidi" w:hAnsiTheme="majorBidi" w:cstheme="majorBidi"/>
          <w:b/>
          <w:bCs/>
          <w:sz w:val="22"/>
          <w:szCs w:val="22"/>
          <w:vertAlign w:val="superscript"/>
        </w:rPr>
        <w:t xml:space="preserve">ére </w:t>
      </w:r>
      <w:r w:rsidRPr="00D944B1">
        <w:rPr>
          <w:rFonts w:asciiTheme="majorBidi" w:hAnsiTheme="majorBidi" w:cstheme="majorBidi"/>
          <w:b/>
          <w:bCs/>
          <w:sz w:val="22"/>
          <w:szCs w:val="22"/>
        </w:rPr>
        <w:t>méthode (CARTE)</w:t>
      </w:r>
      <w:r w:rsidRPr="00D944B1">
        <w:rPr>
          <w:rFonts w:asciiTheme="majorBidi" w:hAnsiTheme="majorBidi" w:cstheme="majorBidi"/>
          <w:sz w:val="22"/>
          <w:szCs w:val="22"/>
        </w:rPr>
        <w:t xml:space="preserve"> </w:t>
      </w:r>
    </w:p>
    <w:p w:rsidR="001C421B" w:rsidRPr="00D944B1" w:rsidRDefault="001C421B" w:rsidP="009F00F6">
      <w:pPr>
        <w:pStyle w:val="Ccstandard"/>
        <w:spacing w:line="360" w:lineRule="auto"/>
        <w:ind w:left="0"/>
        <w:rPr>
          <w:rFonts w:asciiTheme="majorBidi" w:hAnsiTheme="majorBidi" w:cstheme="majorBidi"/>
          <w:sz w:val="22"/>
          <w:szCs w:val="22"/>
        </w:rPr>
      </w:pPr>
    </w:p>
    <w:p w:rsidR="006F498F" w:rsidRDefault="006F498F" w:rsidP="00E14D65">
      <w:pPr>
        <w:spacing w:line="360" w:lineRule="auto"/>
        <w:jc w:val="both"/>
        <w:rPr>
          <w:rFonts w:asciiTheme="majorBidi" w:hAnsiTheme="majorBidi" w:cstheme="majorBidi"/>
        </w:rPr>
      </w:pPr>
      <w:r w:rsidRPr="00D944B1">
        <w:rPr>
          <w:rFonts w:asciiTheme="majorBidi" w:hAnsiTheme="majorBidi" w:cstheme="majorBidi"/>
        </w:rPr>
        <w:t xml:space="preserve"> (*) La société a retenu le taux de 99,98% et ce pour défaut d’une identification claire du taux de cession pour la branche vie.</w:t>
      </w:r>
    </w:p>
    <w:p w:rsidR="001C421B" w:rsidRDefault="001C421B" w:rsidP="00E14D65">
      <w:pPr>
        <w:spacing w:line="360" w:lineRule="auto"/>
        <w:jc w:val="both"/>
        <w:rPr>
          <w:rFonts w:asciiTheme="majorBidi" w:hAnsiTheme="majorBidi" w:cstheme="majorBidi"/>
        </w:rPr>
      </w:pPr>
    </w:p>
    <w:p w:rsidR="001C421B" w:rsidRPr="00D944B1" w:rsidRDefault="001C421B" w:rsidP="00E14D65">
      <w:pPr>
        <w:spacing w:line="360" w:lineRule="auto"/>
        <w:jc w:val="both"/>
        <w:rPr>
          <w:rFonts w:asciiTheme="majorBidi" w:hAnsiTheme="majorBidi" w:cstheme="majorBidi"/>
        </w:rPr>
      </w:pPr>
    </w:p>
    <w:p w:rsidR="006F498F" w:rsidRPr="00D944B1" w:rsidRDefault="006F498F" w:rsidP="00E14D65">
      <w:pPr>
        <w:pStyle w:val="Ccstandard"/>
        <w:numPr>
          <w:ilvl w:val="0"/>
          <w:numId w:val="6"/>
        </w:numPr>
        <w:spacing w:line="360" w:lineRule="auto"/>
        <w:rPr>
          <w:rFonts w:asciiTheme="majorBidi" w:hAnsiTheme="majorBidi" w:cstheme="majorBidi"/>
          <w:szCs w:val="24"/>
        </w:rPr>
      </w:pPr>
      <w:r w:rsidRPr="00D944B1">
        <w:rPr>
          <w:rFonts w:asciiTheme="majorBidi" w:hAnsiTheme="majorBidi" w:cstheme="majorBidi"/>
          <w:b/>
          <w:bCs/>
          <w:szCs w:val="24"/>
        </w:rPr>
        <w:lastRenderedPageBreak/>
        <w:t>Deuxième méthode </w:t>
      </w:r>
    </w:p>
    <w:p w:rsidR="006F498F" w:rsidRPr="00D944B1" w:rsidRDefault="008E0379" w:rsidP="00E14D65">
      <w:pPr>
        <w:spacing w:after="0" w:line="360" w:lineRule="auto"/>
        <w:jc w:val="both"/>
        <w:rPr>
          <w:rFonts w:asciiTheme="majorBidi" w:hAnsiTheme="majorBidi" w:cstheme="majorBidi"/>
          <w:b/>
          <w:sz w:val="16"/>
          <w:szCs w:val="16"/>
        </w:rPr>
      </w:pPr>
      <w:r w:rsidRPr="00D944B1">
        <w:rPr>
          <w:rFonts w:asciiTheme="majorBidi" w:hAnsiTheme="majorBidi" w:cstheme="majorBidi"/>
          <w:b/>
          <w:sz w:val="16"/>
          <w:szCs w:val="16"/>
        </w:rPr>
        <w:t xml:space="preserve">                                                                                                                                                                  </w:t>
      </w:r>
      <w:r w:rsidR="006F498F" w:rsidRPr="00D944B1">
        <w:rPr>
          <w:rFonts w:asciiTheme="majorBidi" w:hAnsiTheme="majorBidi" w:cstheme="majorBidi"/>
          <w:b/>
          <w:sz w:val="16"/>
          <w:szCs w:val="16"/>
        </w:rPr>
        <w:t>(Montant exprimé en Dinar Tunisien)</w:t>
      </w:r>
    </w:p>
    <w:tbl>
      <w:tblPr>
        <w:tblStyle w:val="Grillemoyenne3-Accent4"/>
        <w:tblW w:w="5000" w:type="pct"/>
        <w:tblLook w:val="04A0"/>
      </w:tblPr>
      <w:tblGrid>
        <w:gridCol w:w="6076"/>
        <w:gridCol w:w="3212"/>
      </w:tblGrid>
      <w:tr w:rsidR="006F498F" w:rsidRPr="00D944B1" w:rsidTr="006511C7">
        <w:trPr>
          <w:cnfStyle w:val="100000000000"/>
          <w:trHeight w:hRule="exact" w:val="300"/>
        </w:trPr>
        <w:tc>
          <w:tcPr>
            <w:cnfStyle w:val="001000000000"/>
            <w:tcW w:w="3271" w:type="pct"/>
            <w:noWrap/>
            <w:hideMark/>
          </w:tcPr>
          <w:p w:rsidR="006F498F" w:rsidRPr="00D944B1" w:rsidRDefault="006F498F" w:rsidP="00E14D65">
            <w:pPr>
              <w:spacing w:line="360" w:lineRule="auto"/>
              <w:jc w:val="both"/>
              <w:rPr>
                <w:rFonts w:asciiTheme="majorBidi" w:hAnsiTheme="majorBidi" w:cstheme="majorBidi"/>
                <w:b w:val="0"/>
                <w:bCs w:val="0"/>
                <w:sz w:val="24"/>
                <w:szCs w:val="24"/>
              </w:rPr>
            </w:pPr>
            <w:r w:rsidRPr="00D944B1">
              <w:rPr>
                <w:rFonts w:asciiTheme="majorBidi" w:hAnsiTheme="majorBidi" w:cstheme="majorBidi"/>
                <w:sz w:val="24"/>
                <w:szCs w:val="24"/>
              </w:rPr>
              <w:t>Paramètres</w:t>
            </w:r>
          </w:p>
        </w:tc>
        <w:tc>
          <w:tcPr>
            <w:tcW w:w="1729" w:type="pct"/>
            <w:noWrap/>
            <w:hideMark/>
          </w:tcPr>
          <w:p w:rsidR="006F498F" w:rsidRPr="00D944B1" w:rsidRDefault="006F498F" w:rsidP="00E14D65">
            <w:pPr>
              <w:spacing w:line="360" w:lineRule="auto"/>
              <w:jc w:val="both"/>
              <w:cnfStyle w:val="100000000000"/>
              <w:rPr>
                <w:rFonts w:asciiTheme="majorBidi" w:hAnsiTheme="majorBidi" w:cstheme="majorBidi"/>
                <w:b w:val="0"/>
                <w:bCs w:val="0"/>
                <w:sz w:val="24"/>
                <w:szCs w:val="24"/>
              </w:rPr>
            </w:pPr>
            <w:r w:rsidRPr="00D944B1">
              <w:rPr>
                <w:rFonts w:asciiTheme="majorBidi" w:hAnsiTheme="majorBidi" w:cstheme="majorBidi"/>
                <w:sz w:val="24"/>
                <w:szCs w:val="24"/>
              </w:rPr>
              <w:t>Montant</w:t>
            </w:r>
          </w:p>
        </w:tc>
      </w:tr>
      <w:tr w:rsidR="006F498F" w:rsidRPr="00D944B1" w:rsidTr="006511C7">
        <w:trPr>
          <w:cnfStyle w:val="000000100000"/>
          <w:trHeight w:hRule="exact" w:val="390"/>
        </w:trPr>
        <w:tc>
          <w:tcPr>
            <w:cnfStyle w:val="001000000000"/>
            <w:tcW w:w="3271"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C = (0,3% des capitaux sous risque)</w:t>
            </w:r>
          </w:p>
        </w:tc>
        <w:tc>
          <w:tcPr>
            <w:tcW w:w="1729" w:type="pct"/>
            <w:noWrap/>
            <w:hideMark/>
          </w:tcPr>
          <w:p w:rsidR="006F498F" w:rsidRPr="00D944B1" w:rsidRDefault="006F498F" w:rsidP="00E14D65">
            <w:pPr>
              <w:spacing w:line="360" w:lineRule="auto"/>
              <w:ind w:right="920"/>
              <w:jc w:val="both"/>
              <w:cnfStyle w:val="000000100000"/>
              <w:rPr>
                <w:rFonts w:asciiTheme="majorBidi" w:hAnsiTheme="majorBidi" w:cstheme="majorBidi"/>
                <w:sz w:val="24"/>
                <w:szCs w:val="24"/>
              </w:rPr>
            </w:pPr>
            <w:r w:rsidRPr="00D944B1">
              <w:rPr>
                <w:rFonts w:asciiTheme="majorBidi" w:hAnsiTheme="majorBidi" w:cstheme="majorBidi"/>
                <w:sz w:val="24"/>
                <w:szCs w:val="24"/>
              </w:rPr>
              <w:t>4 796 966</w:t>
            </w:r>
          </w:p>
        </w:tc>
      </w:tr>
      <w:tr w:rsidR="006F498F" w:rsidRPr="00D944B1" w:rsidTr="006511C7">
        <w:trPr>
          <w:trHeight w:hRule="exact" w:val="654"/>
        </w:trPr>
        <w:tc>
          <w:tcPr>
            <w:cnfStyle w:val="001000000000"/>
            <w:tcW w:w="3271"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D= (Capitaux sous risques net de cessions et de rétrocessions / capitaux sous risques bruts) (*)</w:t>
            </w:r>
          </w:p>
        </w:tc>
        <w:tc>
          <w:tcPr>
            <w:tcW w:w="1729" w:type="pct"/>
            <w:noWrap/>
            <w:hideMark/>
          </w:tcPr>
          <w:p w:rsidR="006F498F" w:rsidRPr="00D944B1" w:rsidRDefault="006F498F" w:rsidP="00E14D65">
            <w:pPr>
              <w:spacing w:line="360" w:lineRule="auto"/>
              <w:ind w:right="920"/>
              <w:jc w:val="both"/>
              <w:cnfStyle w:val="000000000000"/>
              <w:rPr>
                <w:rFonts w:asciiTheme="majorBidi" w:hAnsiTheme="majorBidi" w:cstheme="majorBidi"/>
                <w:sz w:val="24"/>
                <w:szCs w:val="24"/>
              </w:rPr>
            </w:pPr>
            <w:r w:rsidRPr="00D944B1">
              <w:rPr>
                <w:rFonts w:asciiTheme="majorBidi" w:hAnsiTheme="majorBidi" w:cstheme="majorBidi"/>
                <w:sz w:val="24"/>
                <w:szCs w:val="24"/>
              </w:rPr>
              <w:t>99,99%</w:t>
            </w:r>
          </w:p>
        </w:tc>
      </w:tr>
      <w:tr w:rsidR="006F498F" w:rsidRPr="00D944B1" w:rsidTr="006511C7">
        <w:trPr>
          <w:cnfStyle w:val="000000100000"/>
          <w:trHeight w:hRule="exact" w:val="448"/>
        </w:trPr>
        <w:tc>
          <w:tcPr>
            <w:cnfStyle w:val="001000000000"/>
            <w:tcW w:w="3271"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Capitaux sous risques net de cessions et de rétrocessions</w:t>
            </w:r>
          </w:p>
        </w:tc>
        <w:tc>
          <w:tcPr>
            <w:tcW w:w="1729" w:type="pct"/>
            <w:hideMark/>
          </w:tcPr>
          <w:p w:rsidR="006F498F" w:rsidRPr="00D944B1" w:rsidRDefault="006F498F" w:rsidP="00E14D65">
            <w:pPr>
              <w:spacing w:line="360" w:lineRule="auto"/>
              <w:ind w:right="920"/>
              <w:jc w:val="both"/>
              <w:cnfStyle w:val="000000100000"/>
              <w:rPr>
                <w:rFonts w:asciiTheme="majorBidi" w:hAnsiTheme="majorBidi" w:cstheme="majorBidi"/>
                <w:sz w:val="24"/>
                <w:szCs w:val="24"/>
              </w:rPr>
            </w:pPr>
            <w:r w:rsidRPr="00D944B1">
              <w:rPr>
                <w:rFonts w:asciiTheme="majorBidi" w:hAnsiTheme="majorBidi" w:cstheme="majorBidi"/>
                <w:sz w:val="24"/>
                <w:szCs w:val="24"/>
              </w:rPr>
              <w:t>1 598 838 190</w:t>
            </w:r>
          </w:p>
        </w:tc>
      </w:tr>
      <w:tr w:rsidR="006F498F" w:rsidRPr="00D944B1" w:rsidTr="006511C7">
        <w:trPr>
          <w:trHeight w:hRule="exact" w:val="315"/>
        </w:trPr>
        <w:tc>
          <w:tcPr>
            <w:cnfStyle w:val="001000000000"/>
            <w:tcW w:w="3271" w:type="pct"/>
            <w:hideMark/>
          </w:tcPr>
          <w:p w:rsidR="006F498F" w:rsidRPr="00D944B1" w:rsidRDefault="006F498F" w:rsidP="00E14D65">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Capitaux sous risques bruts</w:t>
            </w:r>
          </w:p>
        </w:tc>
        <w:tc>
          <w:tcPr>
            <w:tcW w:w="1729" w:type="pct"/>
            <w:hideMark/>
          </w:tcPr>
          <w:p w:rsidR="006F498F" w:rsidRPr="00D944B1" w:rsidRDefault="006F498F" w:rsidP="00E14D65">
            <w:pPr>
              <w:spacing w:line="360" w:lineRule="auto"/>
              <w:ind w:right="920"/>
              <w:jc w:val="both"/>
              <w:cnfStyle w:val="000000000000"/>
              <w:rPr>
                <w:rFonts w:asciiTheme="majorBidi" w:hAnsiTheme="majorBidi" w:cstheme="majorBidi"/>
                <w:sz w:val="24"/>
                <w:szCs w:val="24"/>
              </w:rPr>
            </w:pPr>
            <w:r w:rsidRPr="00D944B1">
              <w:rPr>
                <w:rFonts w:asciiTheme="majorBidi" w:hAnsiTheme="majorBidi" w:cstheme="majorBidi"/>
                <w:sz w:val="24"/>
                <w:szCs w:val="24"/>
              </w:rPr>
              <w:t>1 598 988 820</w:t>
            </w:r>
          </w:p>
        </w:tc>
      </w:tr>
      <w:tr w:rsidR="006F498F" w:rsidRPr="00D944B1" w:rsidTr="006511C7">
        <w:trPr>
          <w:cnfStyle w:val="000000100000"/>
          <w:trHeight w:hRule="exact" w:val="585"/>
        </w:trPr>
        <w:tc>
          <w:tcPr>
            <w:cnfStyle w:val="001000000000"/>
            <w:tcW w:w="3271" w:type="pct"/>
            <w:hideMark/>
          </w:tcPr>
          <w:p w:rsidR="006F498F" w:rsidRPr="00D944B1" w:rsidRDefault="006F498F" w:rsidP="00E14D65">
            <w:pPr>
              <w:spacing w:line="360" w:lineRule="auto"/>
              <w:jc w:val="both"/>
              <w:rPr>
                <w:rFonts w:asciiTheme="majorBidi" w:hAnsiTheme="majorBidi" w:cstheme="majorBidi"/>
                <w:b w:val="0"/>
                <w:bCs w:val="0"/>
                <w:sz w:val="24"/>
                <w:szCs w:val="24"/>
              </w:rPr>
            </w:pPr>
            <w:r w:rsidRPr="00D944B1">
              <w:rPr>
                <w:rFonts w:asciiTheme="majorBidi" w:hAnsiTheme="majorBidi" w:cstheme="majorBidi"/>
                <w:sz w:val="24"/>
                <w:szCs w:val="24"/>
              </w:rPr>
              <w:t>Montant obtenue selon la deuxième  méthode = (C*D)</w:t>
            </w:r>
          </w:p>
        </w:tc>
        <w:tc>
          <w:tcPr>
            <w:tcW w:w="1729" w:type="pct"/>
            <w:noWrap/>
            <w:hideMark/>
          </w:tcPr>
          <w:p w:rsidR="006F498F" w:rsidRPr="00D944B1" w:rsidRDefault="006F498F" w:rsidP="00E14D65">
            <w:pPr>
              <w:spacing w:line="360" w:lineRule="auto"/>
              <w:ind w:right="920"/>
              <w:jc w:val="both"/>
              <w:cnfStyle w:val="000000100000"/>
              <w:rPr>
                <w:rFonts w:asciiTheme="majorBidi" w:hAnsiTheme="majorBidi" w:cstheme="majorBidi"/>
                <w:b/>
                <w:bCs/>
                <w:color w:val="FFFFFF" w:themeColor="background1"/>
                <w:sz w:val="24"/>
                <w:szCs w:val="24"/>
              </w:rPr>
            </w:pPr>
            <w:r w:rsidRPr="00D944B1">
              <w:rPr>
                <w:rFonts w:asciiTheme="majorBidi" w:hAnsiTheme="majorBidi" w:cstheme="majorBidi"/>
                <w:b/>
                <w:bCs/>
                <w:color w:val="FFFFFF" w:themeColor="background1"/>
                <w:sz w:val="24"/>
                <w:szCs w:val="24"/>
              </w:rPr>
              <w:t>4 796 515</w:t>
            </w:r>
          </w:p>
        </w:tc>
      </w:tr>
    </w:tbl>
    <w:p w:rsidR="00D520BF" w:rsidRDefault="009C1FA5" w:rsidP="00E14D65">
      <w:pPr>
        <w:pStyle w:val="Ccstandard"/>
        <w:spacing w:line="360" w:lineRule="auto"/>
        <w:ind w:left="0"/>
        <w:rPr>
          <w:rFonts w:asciiTheme="majorBidi" w:hAnsiTheme="majorBidi" w:cstheme="majorBidi"/>
          <w:sz w:val="22"/>
          <w:szCs w:val="22"/>
        </w:rPr>
      </w:pPr>
      <w:r w:rsidRPr="00D944B1">
        <w:rPr>
          <w:rFonts w:asciiTheme="majorBidi" w:hAnsiTheme="majorBidi" w:cstheme="majorBidi"/>
          <w:b/>
          <w:bCs/>
          <w:sz w:val="22"/>
          <w:szCs w:val="22"/>
        </w:rPr>
        <w:t>Tableau N°6:</w:t>
      </w:r>
      <w:r w:rsidRPr="00D944B1">
        <w:rPr>
          <w:rFonts w:asciiTheme="majorBidi" w:hAnsiTheme="majorBidi" w:cstheme="majorBidi"/>
          <w:sz w:val="22"/>
          <w:szCs w:val="22"/>
        </w:rPr>
        <w:t xml:space="preserve"> </w:t>
      </w:r>
      <w:r w:rsidRPr="00D944B1">
        <w:rPr>
          <w:rFonts w:asciiTheme="majorBidi" w:hAnsiTheme="majorBidi" w:cstheme="majorBidi"/>
          <w:b/>
          <w:bCs/>
          <w:sz w:val="22"/>
          <w:szCs w:val="22"/>
        </w:rPr>
        <w:t>La marge de</w:t>
      </w:r>
      <w:r w:rsidR="0045048E">
        <w:rPr>
          <w:rFonts w:asciiTheme="majorBidi" w:hAnsiTheme="majorBidi" w:cstheme="majorBidi"/>
          <w:b/>
          <w:bCs/>
          <w:sz w:val="22"/>
          <w:szCs w:val="22"/>
        </w:rPr>
        <w:t xml:space="preserve"> solvabilité</w:t>
      </w:r>
      <w:r w:rsidRPr="00D944B1">
        <w:rPr>
          <w:rFonts w:asciiTheme="majorBidi" w:hAnsiTheme="majorBidi" w:cstheme="majorBidi"/>
          <w:b/>
          <w:bCs/>
          <w:sz w:val="22"/>
          <w:szCs w:val="22"/>
        </w:rPr>
        <w:t xml:space="preserve"> réglementaire pour l’activité vie selon la 2</w:t>
      </w:r>
      <w:r w:rsidRPr="00D944B1">
        <w:rPr>
          <w:rFonts w:asciiTheme="majorBidi" w:hAnsiTheme="majorBidi" w:cstheme="majorBidi"/>
          <w:b/>
          <w:bCs/>
          <w:sz w:val="22"/>
          <w:szCs w:val="22"/>
          <w:vertAlign w:val="superscript"/>
        </w:rPr>
        <w:t xml:space="preserve">éme </w:t>
      </w:r>
      <w:r w:rsidRPr="00D944B1">
        <w:rPr>
          <w:rFonts w:asciiTheme="majorBidi" w:hAnsiTheme="majorBidi" w:cstheme="majorBidi"/>
          <w:b/>
          <w:bCs/>
          <w:sz w:val="22"/>
          <w:szCs w:val="22"/>
        </w:rPr>
        <w:t>méthode (CARTE)</w:t>
      </w:r>
      <w:r w:rsidRPr="00D944B1">
        <w:rPr>
          <w:rFonts w:asciiTheme="majorBidi" w:hAnsiTheme="majorBidi" w:cstheme="majorBidi"/>
          <w:sz w:val="22"/>
          <w:szCs w:val="22"/>
        </w:rPr>
        <w:t xml:space="preserve"> </w:t>
      </w:r>
    </w:p>
    <w:p w:rsidR="009C1FA5" w:rsidRPr="001A1E31" w:rsidRDefault="009C1FA5" w:rsidP="00E14D65">
      <w:pPr>
        <w:pStyle w:val="Ccstandard"/>
        <w:spacing w:line="360" w:lineRule="auto"/>
        <w:ind w:left="0"/>
        <w:rPr>
          <w:rFonts w:asciiTheme="majorBidi" w:hAnsiTheme="majorBidi" w:cstheme="majorBidi"/>
          <w:sz w:val="22"/>
          <w:szCs w:val="22"/>
        </w:rPr>
      </w:pPr>
      <w:r w:rsidRPr="00D944B1">
        <w:rPr>
          <w:rFonts w:asciiTheme="majorBidi" w:hAnsiTheme="majorBidi" w:cstheme="majorBidi"/>
          <w:sz w:val="22"/>
          <w:szCs w:val="22"/>
        </w:rPr>
        <w:t xml:space="preserve"> </w:t>
      </w:r>
    </w:p>
    <w:p w:rsidR="006F498F" w:rsidRPr="0045048E" w:rsidRDefault="006F498F" w:rsidP="00E14D65">
      <w:pPr>
        <w:spacing w:line="360" w:lineRule="auto"/>
        <w:jc w:val="both"/>
        <w:rPr>
          <w:rFonts w:asciiTheme="majorBidi" w:hAnsiTheme="majorBidi" w:cstheme="majorBidi"/>
          <w:sz w:val="18"/>
          <w:szCs w:val="18"/>
        </w:rPr>
      </w:pPr>
      <w:r w:rsidRPr="00D944B1">
        <w:rPr>
          <w:rFonts w:asciiTheme="majorBidi" w:hAnsiTheme="majorBidi" w:cstheme="majorBidi"/>
          <w:sz w:val="18"/>
          <w:szCs w:val="18"/>
        </w:rPr>
        <w:t xml:space="preserve">(*) </w:t>
      </w:r>
      <w:r w:rsidRPr="00D944B1">
        <w:rPr>
          <w:rFonts w:asciiTheme="majorBidi" w:hAnsiTheme="majorBidi" w:cstheme="majorBidi"/>
        </w:rPr>
        <w:t>La société a retenu le taux de 99,99% et ce pour défaut d’une identification claire des parts des réassureurs dans les capitaux sous risques pour la branche vie.</w:t>
      </w:r>
    </w:p>
    <w:p w:rsidR="008E0379" w:rsidRPr="00D944B1" w:rsidRDefault="009747FD" w:rsidP="00E14D65">
      <w:pPr>
        <w:spacing w:line="360" w:lineRule="auto"/>
        <w:jc w:val="both"/>
        <w:rPr>
          <w:rFonts w:asciiTheme="majorBidi" w:hAnsiTheme="majorBidi" w:cstheme="majorBidi"/>
          <w:b/>
          <w:bCs/>
          <w:sz w:val="28"/>
          <w:szCs w:val="28"/>
        </w:rPr>
      </w:pPr>
      <w:r w:rsidRPr="009747FD">
        <w:rPr>
          <w:rFonts w:asciiTheme="majorBidi" w:hAnsiTheme="majorBidi" w:cstheme="majorBidi"/>
          <w:noProof/>
          <w:sz w:val="18"/>
          <w:szCs w:val="18"/>
        </w:rPr>
        <w:pict>
          <v:rect id="_x0000_s1030" style="position:absolute;left:0;text-align:left;margin-left:.45pt;margin-top:2.7pt;width:470.05pt;height:76.3pt;z-index:251661312" fillcolor="white [3201]" strokecolor="#8064a2 [3207]" strokeweight="5pt">
            <v:stroke linestyle="thickThin"/>
            <v:shadow color="#868686"/>
            <v:textbox style="mso-next-textbox:#_x0000_s1030">
              <w:txbxContent>
                <w:p w:rsidR="00CD7EEF" w:rsidRPr="00CA5E37" w:rsidRDefault="00CD7EEF" w:rsidP="00952D15">
                  <w:pPr>
                    <w:spacing w:line="312" w:lineRule="auto"/>
                    <w:rPr>
                      <w:rFonts w:asciiTheme="majorBidi" w:hAnsiTheme="majorBidi" w:cstheme="majorBidi"/>
                      <w:b/>
                      <w:bCs/>
                      <w:i/>
                      <w:iCs/>
                      <w:sz w:val="24"/>
                      <w:szCs w:val="24"/>
                    </w:rPr>
                  </w:pPr>
                  <w:r w:rsidRPr="00CA5E37">
                    <w:rPr>
                      <w:rFonts w:asciiTheme="majorBidi" w:hAnsiTheme="majorBidi" w:cstheme="majorBidi"/>
                      <w:b/>
                      <w:i/>
                      <w:iCs/>
                      <w:sz w:val="24"/>
                      <w:szCs w:val="24"/>
                    </w:rPr>
                    <w:t>Conclusion :</w:t>
                  </w:r>
                </w:p>
                <w:p w:rsidR="00CD7EEF" w:rsidRPr="00952D15" w:rsidRDefault="00CD7EEF" w:rsidP="00952D15">
                  <w:pPr>
                    <w:spacing w:line="312" w:lineRule="auto"/>
                    <w:rPr>
                      <w:rFonts w:asciiTheme="majorBidi" w:hAnsiTheme="majorBidi" w:cstheme="majorBidi"/>
                      <w:b/>
                      <w:bCs/>
                      <w:i/>
                      <w:iCs/>
                      <w:sz w:val="24"/>
                      <w:szCs w:val="24"/>
                    </w:rPr>
                  </w:pPr>
                  <w:r w:rsidRPr="00CA5E37">
                    <w:rPr>
                      <w:rFonts w:asciiTheme="majorBidi" w:hAnsiTheme="majorBidi" w:cstheme="majorBidi"/>
                      <w:bCs/>
                      <w:i/>
                      <w:iCs/>
                      <w:sz w:val="24"/>
                      <w:szCs w:val="24"/>
                    </w:rPr>
                    <w:t>Le minimum de la marge de solvabilité  vie  à retenir est le montant maximum calculé a partir des deux méthodes décrites ci-dessus, soit</w:t>
                  </w:r>
                  <w:r w:rsidRPr="00CA5E37">
                    <w:rPr>
                      <w:rFonts w:asciiTheme="majorBidi" w:hAnsiTheme="majorBidi" w:cstheme="majorBidi"/>
                      <w:b/>
                      <w:i/>
                      <w:iCs/>
                      <w:sz w:val="24"/>
                      <w:szCs w:val="24"/>
                    </w:rPr>
                    <w:t xml:space="preserve"> 6 397 760 Dinars</w:t>
                  </w:r>
                  <w:r w:rsidRPr="00952D15">
                    <w:rPr>
                      <w:rFonts w:asciiTheme="majorBidi" w:hAnsiTheme="majorBidi" w:cstheme="majorBidi"/>
                      <w:b/>
                      <w:i/>
                      <w:iCs/>
                    </w:rPr>
                    <w:t>.</w:t>
                  </w:r>
                </w:p>
                <w:p w:rsidR="00CD7EEF" w:rsidRDefault="00CD7EEF" w:rsidP="00952D15"/>
              </w:txbxContent>
            </v:textbox>
          </v:rect>
        </w:pict>
      </w:r>
    </w:p>
    <w:p w:rsidR="0018678A" w:rsidRDefault="0018678A" w:rsidP="00E14D65">
      <w:pPr>
        <w:spacing w:line="360" w:lineRule="auto"/>
        <w:jc w:val="both"/>
        <w:rPr>
          <w:rFonts w:asciiTheme="majorBidi" w:hAnsiTheme="majorBidi" w:cstheme="majorBidi"/>
          <w:b/>
          <w:bCs/>
          <w:sz w:val="28"/>
          <w:szCs w:val="28"/>
        </w:rPr>
      </w:pPr>
    </w:p>
    <w:p w:rsidR="001C421B" w:rsidRDefault="001C421B" w:rsidP="00E14D65">
      <w:pPr>
        <w:spacing w:after="0" w:line="360" w:lineRule="auto"/>
        <w:jc w:val="both"/>
        <w:rPr>
          <w:rFonts w:asciiTheme="majorBidi" w:hAnsiTheme="majorBidi" w:cstheme="majorBidi"/>
          <w:b/>
          <w:bCs/>
          <w:sz w:val="28"/>
          <w:szCs w:val="28"/>
        </w:rPr>
      </w:pPr>
    </w:p>
    <w:p w:rsidR="00D520BF" w:rsidRDefault="00CA5E37" w:rsidP="001C421B">
      <w:pPr>
        <w:spacing w:after="0" w:line="360" w:lineRule="auto"/>
        <w:jc w:val="both"/>
        <w:rPr>
          <w:rFonts w:asciiTheme="majorBidi" w:hAnsiTheme="majorBidi" w:cstheme="majorBidi"/>
          <w:b/>
          <w:bCs/>
          <w:sz w:val="28"/>
          <w:szCs w:val="28"/>
        </w:rPr>
      </w:pPr>
      <w:r w:rsidRPr="00D944B1">
        <w:rPr>
          <w:rFonts w:asciiTheme="majorBidi" w:hAnsiTheme="majorBidi" w:cstheme="majorBidi"/>
          <w:b/>
          <w:bCs/>
          <w:sz w:val="28"/>
          <w:szCs w:val="28"/>
        </w:rPr>
        <w:t>2.1.3. L</w:t>
      </w:r>
      <w:r w:rsidR="001A1E31">
        <w:rPr>
          <w:rFonts w:asciiTheme="majorBidi" w:hAnsiTheme="majorBidi" w:cstheme="majorBidi"/>
          <w:b/>
          <w:bCs/>
          <w:sz w:val="28"/>
          <w:szCs w:val="28"/>
        </w:rPr>
        <w:t>e ratio</w:t>
      </w:r>
      <w:r w:rsidRPr="00D944B1">
        <w:rPr>
          <w:rFonts w:asciiTheme="majorBidi" w:hAnsiTheme="majorBidi" w:cstheme="majorBidi"/>
          <w:b/>
          <w:bCs/>
          <w:sz w:val="28"/>
          <w:szCs w:val="28"/>
        </w:rPr>
        <w:t xml:space="preserve"> de solvabilité </w:t>
      </w:r>
    </w:p>
    <w:p w:rsidR="006F498F" w:rsidRPr="0018678A" w:rsidRDefault="0045048E" w:rsidP="00E14D65">
      <w:pPr>
        <w:spacing w:line="360" w:lineRule="auto"/>
        <w:jc w:val="both"/>
        <w:rPr>
          <w:rFonts w:asciiTheme="majorBidi" w:hAnsiTheme="majorBidi" w:cstheme="majorBidi"/>
          <w:b/>
          <w:bCs/>
          <w:sz w:val="28"/>
          <w:szCs w:val="28"/>
        </w:rPr>
      </w:pPr>
      <w:r>
        <w:rPr>
          <w:rFonts w:asciiTheme="majorBidi" w:hAnsiTheme="majorBidi" w:cstheme="majorBidi"/>
          <w:sz w:val="24"/>
          <w:szCs w:val="24"/>
        </w:rPr>
        <w:tab/>
      </w:r>
      <w:r w:rsidR="006F498F" w:rsidRPr="00D944B1">
        <w:rPr>
          <w:rFonts w:asciiTheme="majorBidi" w:hAnsiTheme="majorBidi" w:cstheme="majorBidi"/>
          <w:sz w:val="24"/>
          <w:szCs w:val="24"/>
        </w:rPr>
        <w:t>Le taux de couverture de la marge de solvabilité disponible par rapport à la marge de solvabilité minimale au 31/12/2010</w:t>
      </w:r>
      <w:r w:rsidR="00352843" w:rsidRPr="00D944B1">
        <w:rPr>
          <w:rFonts w:asciiTheme="majorBidi" w:hAnsiTheme="majorBidi" w:cstheme="majorBidi"/>
          <w:sz w:val="24"/>
          <w:szCs w:val="24"/>
        </w:rPr>
        <w:t xml:space="preserve"> est de</w:t>
      </w:r>
      <w:r>
        <w:rPr>
          <w:rFonts w:asciiTheme="majorBidi" w:hAnsiTheme="majorBidi" w:cstheme="majorBidi"/>
          <w:sz w:val="24"/>
          <w:szCs w:val="24"/>
        </w:rPr>
        <w:t> :</w:t>
      </w:r>
    </w:p>
    <w:p w:rsidR="006F498F" w:rsidRPr="00D944B1" w:rsidRDefault="008E0379" w:rsidP="00E14D65">
      <w:pPr>
        <w:spacing w:after="0" w:line="360" w:lineRule="auto"/>
        <w:jc w:val="both"/>
        <w:rPr>
          <w:rFonts w:asciiTheme="majorBidi" w:hAnsiTheme="majorBidi" w:cstheme="majorBidi"/>
          <w:b/>
          <w:sz w:val="16"/>
          <w:szCs w:val="16"/>
        </w:rPr>
      </w:pPr>
      <w:r w:rsidRPr="00D944B1">
        <w:rPr>
          <w:rFonts w:asciiTheme="majorBidi" w:hAnsiTheme="majorBidi" w:cstheme="majorBidi"/>
          <w:b/>
          <w:sz w:val="16"/>
          <w:szCs w:val="16"/>
        </w:rPr>
        <w:t xml:space="preserve">                                                                                                                                                                 </w:t>
      </w:r>
      <w:r w:rsidR="006F498F" w:rsidRPr="00D944B1">
        <w:rPr>
          <w:rFonts w:asciiTheme="majorBidi" w:hAnsiTheme="majorBidi" w:cstheme="majorBidi"/>
          <w:b/>
          <w:sz w:val="16"/>
          <w:szCs w:val="16"/>
        </w:rPr>
        <w:t>(Montant exprimé en Dinar Tunisien)</w:t>
      </w:r>
    </w:p>
    <w:tbl>
      <w:tblPr>
        <w:tblStyle w:val="Grillemoyenne3-Accent4"/>
        <w:tblW w:w="5000" w:type="pct"/>
        <w:tblLook w:val="04A0"/>
      </w:tblPr>
      <w:tblGrid>
        <w:gridCol w:w="6076"/>
        <w:gridCol w:w="3212"/>
      </w:tblGrid>
      <w:tr w:rsidR="006F498F" w:rsidRPr="00D944B1" w:rsidTr="00352843">
        <w:trPr>
          <w:cnfStyle w:val="100000000000"/>
          <w:trHeight w:val="300"/>
        </w:trPr>
        <w:tc>
          <w:tcPr>
            <w:cnfStyle w:val="001000000000"/>
            <w:tcW w:w="3271" w:type="pct"/>
            <w:noWrap/>
            <w:hideMark/>
          </w:tcPr>
          <w:p w:rsidR="006F498F" w:rsidRPr="00D944B1" w:rsidRDefault="006F498F" w:rsidP="00E14D65">
            <w:pPr>
              <w:spacing w:line="360" w:lineRule="auto"/>
              <w:jc w:val="both"/>
              <w:rPr>
                <w:rFonts w:asciiTheme="majorBidi" w:hAnsiTheme="majorBidi" w:cstheme="majorBidi"/>
                <w:b w:val="0"/>
                <w:bCs w:val="0"/>
                <w:color w:val="auto"/>
                <w:sz w:val="24"/>
                <w:szCs w:val="24"/>
              </w:rPr>
            </w:pPr>
            <w:r w:rsidRPr="00D944B1">
              <w:rPr>
                <w:rFonts w:asciiTheme="majorBidi" w:hAnsiTheme="majorBidi" w:cstheme="majorBidi"/>
                <w:color w:val="auto"/>
                <w:sz w:val="24"/>
                <w:szCs w:val="24"/>
              </w:rPr>
              <w:t>Eléments</w:t>
            </w:r>
          </w:p>
        </w:tc>
        <w:tc>
          <w:tcPr>
            <w:tcW w:w="1729" w:type="pct"/>
            <w:noWrap/>
            <w:hideMark/>
          </w:tcPr>
          <w:p w:rsidR="006F498F" w:rsidRPr="00D944B1" w:rsidRDefault="006F498F" w:rsidP="00E14D65">
            <w:pPr>
              <w:spacing w:line="360" w:lineRule="auto"/>
              <w:jc w:val="both"/>
              <w:cnfStyle w:val="100000000000"/>
              <w:rPr>
                <w:rFonts w:asciiTheme="majorBidi" w:hAnsiTheme="majorBidi" w:cstheme="majorBidi"/>
                <w:b w:val="0"/>
                <w:bCs w:val="0"/>
                <w:color w:val="auto"/>
                <w:sz w:val="24"/>
                <w:szCs w:val="24"/>
              </w:rPr>
            </w:pPr>
            <w:r w:rsidRPr="00D944B1">
              <w:rPr>
                <w:rFonts w:asciiTheme="majorBidi" w:hAnsiTheme="majorBidi" w:cstheme="majorBidi"/>
                <w:color w:val="auto"/>
                <w:sz w:val="24"/>
                <w:szCs w:val="24"/>
              </w:rPr>
              <w:t>Montant</w:t>
            </w:r>
          </w:p>
        </w:tc>
      </w:tr>
      <w:tr w:rsidR="006F498F" w:rsidRPr="00D944B1" w:rsidTr="00352843">
        <w:trPr>
          <w:cnfStyle w:val="000000100000"/>
          <w:trHeight w:val="376"/>
        </w:trPr>
        <w:tc>
          <w:tcPr>
            <w:cnfStyle w:val="001000000000"/>
            <w:tcW w:w="3271" w:type="pct"/>
            <w:hideMark/>
          </w:tcPr>
          <w:p w:rsidR="006F498F" w:rsidRPr="00D944B1" w:rsidRDefault="006F498F" w:rsidP="00E14D65">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La marge de solvabilité minimale relative a l'activité  non vie</w:t>
            </w:r>
          </w:p>
        </w:tc>
        <w:tc>
          <w:tcPr>
            <w:tcW w:w="1729" w:type="pct"/>
            <w:noWrap/>
            <w:hideMark/>
          </w:tcPr>
          <w:p w:rsidR="006F498F" w:rsidRPr="00D944B1" w:rsidRDefault="006F498F" w:rsidP="00E14D65">
            <w:pPr>
              <w:spacing w:line="360" w:lineRule="auto"/>
              <w:ind w:right="920"/>
              <w:jc w:val="both"/>
              <w:cnfStyle w:val="000000100000"/>
              <w:rPr>
                <w:rFonts w:asciiTheme="majorBidi" w:hAnsiTheme="majorBidi" w:cstheme="majorBidi"/>
                <w:sz w:val="24"/>
                <w:szCs w:val="24"/>
              </w:rPr>
            </w:pPr>
            <w:r w:rsidRPr="00D944B1">
              <w:rPr>
                <w:rFonts w:asciiTheme="majorBidi" w:hAnsiTheme="majorBidi" w:cstheme="majorBidi"/>
                <w:sz w:val="24"/>
                <w:szCs w:val="24"/>
              </w:rPr>
              <w:t>7 100 334</w:t>
            </w:r>
          </w:p>
        </w:tc>
      </w:tr>
      <w:tr w:rsidR="006F498F" w:rsidRPr="00D944B1" w:rsidTr="00352843">
        <w:trPr>
          <w:trHeight w:val="407"/>
        </w:trPr>
        <w:tc>
          <w:tcPr>
            <w:cnfStyle w:val="001000000000"/>
            <w:tcW w:w="3271" w:type="pct"/>
            <w:hideMark/>
          </w:tcPr>
          <w:p w:rsidR="006F498F" w:rsidRPr="00D944B1" w:rsidRDefault="006F498F" w:rsidP="00E14D65">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La marge de solvabilité minimale relative a l'activité  vie</w:t>
            </w:r>
          </w:p>
        </w:tc>
        <w:tc>
          <w:tcPr>
            <w:tcW w:w="1729" w:type="pct"/>
            <w:noWrap/>
            <w:hideMark/>
          </w:tcPr>
          <w:p w:rsidR="006F498F" w:rsidRPr="00D944B1" w:rsidRDefault="006F498F" w:rsidP="00E14D65">
            <w:pPr>
              <w:spacing w:line="360" w:lineRule="auto"/>
              <w:ind w:right="920"/>
              <w:jc w:val="both"/>
              <w:cnfStyle w:val="000000000000"/>
              <w:rPr>
                <w:rFonts w:asciiTheme="majorBidi" w:hAnsiTheme="majorBidi" w:cstheme="majorBidi"/>
                <w:sz w:val="24"/>
                <w:szCs w:val="24"/>
              </w:rPr>
            </w:pPr>
            <w:r w:rsidRPr="00D944B1">
              <w:rPr>
                <w:rFonts w:asciiTheme="majorBidi" w:hAnsiTheme="majorBidi" w:cstheme="majorBidi"/>
                <w:sz w:val="24"/>
                <w:szCs w:val="24"/>
              </w:rPr>
              <w:t>6 397 760</w:t>
            </w:r>
          </w:p>
        </w:tc>
      </w:tr>
      <w:tr w:rsidR="006F498F" w:rsidRPr="00D944B1" w:rsidTr="00352843">
        <w:trPr>
          <w:cnfStyle w:val="000000100000"/>
          <w:trHeight w:val="600"/>
        </w:trPr>
        <w:tc>
          <w:tcPr>
            <w:cnfStyle w:val="001000000000"/>
            <w:tcW w:w="3271" w:type="pct"/>
            <w:hideMark/>
          </w:tcPr>
          <w:p w:rsidR="006F498F" w:rsidRPr="00D944B1" w:rsidRDefault="006F498F" w:rsidP="00E14D65">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La marge de solvabilité minimale relatives  aux activités vie et non vie</w:t>
            </w:r>
          </w:p>
        </w:tc>
        <w:tc>
          <w:tcPr>
            <w:tcW w:w="1729" w:type="pct"/>
            <w:noWrap/>
            <w:hideMark/>
          </w:tcPr>
          <w:p w:rsidR="006F498F" w:rsidRPr="00D944B1" w:rsidRDefault="006F498F" w:rsidP="00E14D65">
            <w:pPr>
              <w:spacing w:line="360" w:lineRule="auto"/>
              <w:ind w:right="920"/>
              <w:jc w:val="both"/>
              <w:cnfStyle w:val="000000100000"/>
              <w:rPr>
                <w:rFonts w:asciiTheme="majorBidi" w:hAnsiTheme="majorBidi" w:cstheme="majorBidi"/>
                <w:sz w:val="24"/>
                <w:szCs w:val="24"/>
              </w:rPr>
            </w:pPr>
            <w:r w:rsidRPr="00D944B1">
              <w:rPr>
                <w:rFonts w:asciiTheme="majorBidi" w:hAnsiTheme="majorBidi" w:cstheme="majorBidi"/>
                <w:sz w:val="24"/>
                <w:szCs w:val="24"/>
              </w:rPr>
              <w:t>13 498 094</w:t>
            </w:r>
          </w:p>
        </w:tc>
      </w:tr>
      <w:tr w:rsidR="006F498F" w:rsidRPr="00D944B1" w:rsidTr="00352843">
        <w:trPr>
          <w:trHeight w:val="352"/>
        </w:trPr>
        <w:tc>
          <w:tcPr>
            <w:cnfStyle w:val="001000000000"/>
            <w:tcW w:w="3271" w:type="pct"/>
            <w:hideMark/>
          </w:tcPr>
          <w:p w:rsidR="006F498F" w:rsidRPr="00D944B1" w:rsidRDefault="006F498F" w:rsidP="00E14D65">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La marge de solvabilité  disponible de LA CARTE (*)</w:t>
            </w:r>
          </w:p>
        </w:tc>
        <w:tc>
          <w:tcPr>
            <w:tcW w:w="1729" w:type="pct"/>
            <w:noWrap/>
            <w:hideMark/>
          </w:tcPr>
          <w:p w:rsidR="006F498F" w:rsidRPr="00D944B1" w:rsidRDefault="006F498F" w:rsidP="00E14D65">
            <w:pPr>
              <w:spacing w:line="360" w:lineRule="auto"/>
              <w:ind w:right="920"/>
              <w:jc w:val="both"/>
              <w:cnfStyle w:val="000000000000"/>
              <w:rPr>
                <w:rFonts w:asciiTheme="majorBidi" w:hAnsiTheme="majorBidi" w:cstheme="majorBidi"/>
                <w:sz w:val="24"/>
                <w:szCs w:val="24"/>
              </w:rPr>
            </w:pPr>
            <w:r w:rsidRPr="00D944B1">
              <w:rPr>
                <w:rFonts w:asciiTheme="majorBidi" w:hAnsiTheme="majorBidi" w:cstheme="majorBidi"/>
                <w:sz w:val="24"/>
                <w:szCs w:val="24"/>
              </w:rPr>
              <w:t>66 511 189</w:t>
            </w:r>
          </w:p>
        </w:tc>
      </w:tr>
      <w:tr w:rsidR="006F498F" w:rsidRPr="00D944B1" w:rsidTr="00352843">
        <w:trPr>
          <w:cnfStyle w:val="000000100000"/>
          <w:trHeight w:val="300"/>
        </w:trPr>
        <w:tc>
          <w:tcPr>
            <w:cnfStyle w:val="001000000000"/>
            <w:tcW w:w="3271" w:type="pct"/>
            <w:hideMark/>
          </w:tcPr>
          <w:p w:rsidR="006F498F" w:rsidRPr="00D944B1" w:rsidRDefault="006F498F" w:rsidP="00E14D65">
            <w:pPr>
              <w:spacing w:line="360" w:lineRule="auto"/>
              <w:jc w:val="both"/>
              <w:rPr>
                <w:rFonts w:asciiTheme="majorBidi" w:hAnsiTheme="majorBidi" w:cstheme="majorBidi"/>
                <w:b w:val="0"/>
                <w:bCs w:val="0"/>
                <w:color w:val="auto"/>
                <w:sz w:val="24"/>
                <w:szCs w:val="24"/>
              </w:rPr>
            </w:pPr>
            <w:r w:rsidRPr="00D944B1">
              <w:rPr>
                <w:rFonts w:asciiTheme="majorBidi" w:hAnsiTheme="majorBidi" w:cstheme="majorBidi"/>
                <w:color w:val="auto"/>
                <w:sz w:val="24"/>
                <w:szCs w:val="24"/>
              </w:rPr>
              <w:t>Taux de couverture</w:t>
            </w:r>
          </w:p>
        </w:tc>
        <w:tc>
          <w:tcPr>
            <w:tcW w:w="1729" w:type="pct"/>
            <w:noWrap/>
            <w:hideMark/>
          </w:tcPr>
          <w:p w:rsidR="006F498F" w:rsidRPr="00D944B1" w:rsidRDefault="006F498F" w:rsidP="00E14D65">
            <w:pPr>
              <w:spacing w:line="360" w:lineRule="auto"/>
              <w:ind w:right="920"/>
              <w:jc w:val="both"/>
              <w:cnfStyle w:val="000000100000"/>
              <w:rPr>
                <w:rFonts w:asciiTheme="majorBidi" w:hAnsiTheme="majorBidi" w:cstheme="majorBidi"/>
                <w:b/>
                <w:bCs/>
                <w:sz w:val="24"/>
                <w:szCs w:val="24"/>
              </w:rPr>
            </w:pPr>
            <w:r w:rsidRPr="00D944B1">
              <w:rPr>
                <w:rFonts w:asciiTheme="majorBidi" w:hAnsiTheme="majorBidi" w:cstheme="majorBidi"/>
                <w:b/>
                <w:bCs/>
                <w:sz w:val="24"/>
                <w:szCs w:val="24"/>
              </w:rPr>
              <w:t>493%</w:t>
            </w:r>
          </w:p>
        </w:tc>
      </w:tr>
    </w:tbl>
    <w:p w:rsidR="00A85311" w:rsidRDefault="009C1FA5" w:rsidP="00E14D65">
      <w:pPr>
        <w:spacing w:line="360" w:lineRule="auto"/>
        <w:jc w:val="both"/>
        <w:rPr>
          <w:rFonts w:asciiTheme="majorBidi" w:hAnsiTheme="majorBidi" w:cstheme="majorBidi"/>
          <w:b/>
          <w:bCs/>
        </w:rPr>
      </w:pPr>
      <w:r w:rsidRPr="00D944B1">
        <w:rPr>
          <w:rFonts w:asciiTheme="majorBidi" w:hAnsiTheme="majorBidi" w:cstheme="majorBidi"/>
          <w:b/>
          <w:bCs/>
        </w:rPr>
        <w:t>Tableau N°7:</w:t>
      </w:r>
      <w:r w:rsidR="008E0379" w:rsidRPr="00D944B1">
        <w:rPr>
          <w:rFonts w:asciiTheme="majorBidi" w:hAnsiTheme="majorBidi" w:cstheme="majorBidi"/>
          <w:b/>
          <w:bCs/>
        </w:rPr>
        <w:t xml:space="preserve"> L</w:t>
      </w:r>
      <w:r w:rsidRPr="00D944B1">
        <w:rPr>
          <w:rFonts w:asciiTheme="majorBidi" w:hAnsiTheme="majorBidi" w:cstheme="majorBidi"/>
          <w:b/>
          <w:bCs/>
        </w:rPr>
        <w:t xml:space="preserve">e taux de couverture </w:t>
      </w:r>
      <w:r w:rsidR="008E0379" w:rsidRPr="00D944B1">
        <w:rPr>
          <w:rFonts w:asciiTheme="majorBidi" w:hAnsiTheme="majorBidi" w:cstheme="majorBidi"/>
          <w:b/>
          <w:bCs/>
        </w:rPr>
        <w:t>de la</w:t>
      </w:r>
      <w:r w:rsidR="0045048E">
        <w:rPr>
          <w:rFonts w:asciiTheme="majorBidi" w:hAnsiTheme="majorBidi" w:cstheme="majorBidi"/>
          <w:b/>
          <w:bCs/>
        </w:rPr>
        <w:t xml:space="preserve"> marge de solvabilité</w:t>
      </w:r>
      <w:r w:rsidR="008E0379" w:rsidRPr="00D944B1">
        <w:rPr>
          <w:rFonts w:asciiTheme="majorBidi" w:hAnsiTheme="majorBidi" w:cstheme="majorBidi"/>
          <w:b/>
          <w:bCs/>
        </w:rPr>
        <w:t xml:space="preserve"> (CARTE) </w:t>
      </w:r>
    </w:p>
    <w:p w:rsidR="008E0379" w:rsidRPr="001A1E31" w:rsidRDefault="008E0379" w:rsidP="00E14D65">
      <w:pPr>
        <w:spacing w:line="360" w:lineRule="auto"/>
        <w:jc w:val="both"/>
        <w:rPr>
          <w:rFonts w:asciiTheme="majorBidi" w:hAnsiTheme="majorBidi" w:cstheme="majorBidi"/>
          <w:b/>
          <w:bCs/>
        </w:rPr>
      </w:pPr>
      <w:r w:rsidRPr="00D944B1">
        <w:rPr>
          <w:rFonts w:asciiTheme="majorBidi" w:hAnsiTheme="majorBidi" w:cstheme="majorBidi"/>
          <w:b/>
          <w:bCs/>
        </w:rPr>
        <w:t xml:space="preserve"> </w:t>
      </w:r>
      <w:r w:rsidR="006F498F" w:rsidRPr="00D944B1">
        <w:rPr>
          <w:rFonts w:asciiTheme="majorBidi" w:hAnsiTheme="majorBidi" w:cstheme="majorBidi"/>
        </w:rPr>
        <w:t>(*) La marge disponible tient en compte du troisième quart de la libération du capital par incorporation des dividendes</w:t>
      </w:r>
      <w:r w:rsidR="006F498F" w:rsidRPr="00D944B1">
        <w:rPr>
          <w:rFonts w:asciiTheme="majorBidi" w:hAnsiTheme="majorBidi" w:cstheme="majorBidi"/>
          <w:sz w:val="18"/>
          <w:szCs w:val="18"/>
        </w:rPr>
        <w:t>.</w:t>
      </w:r>
    </w:p>
    <w:p w:rsidR="008E0379" w:rsidRPr="00D944B1" w:rsidRDefault="009747FD" w:rsidP="00E14D65">
      <w:pPr>
        <w:spacing w:line="360" w:lineRule="auto"/>
        <w:jc w:val="both"/>
        <w:rPr>
          <w:rFonts w:asciiTheme="majorBidi" w:hAnsiTheme="majorBidi" w:cstheme="majorBidi"/>
          <w:sz w:val="18"/>
          <w:szCs w:val="18"/>
        </w:rPr>
      </w:pPr>
      <w:r>
        <w:rPr>
          <w:rFonts w:asciiTheme="majorBidi" w:hAnsiTheme="majorBidi" w:cstheme="majorBidi"/>
          <w:noProof/>
          <w:sz w:val="18"/>
          <w:szCs w:val="18"/>
        </w:rPr>
        <w:lastRenderedPageBreak/>
        <w:pict>
          <v:rect id="_x0000_s1035" style="position:absolute;left:0;text-align:left;margin-left:.45pt;margin-top:8.65pt;width:456.45pt;height:44.15pt;z-index:251664384" fillcolor="white [3201]" strokecolor="#8064a2 [3207]" strokeweight="5pt">
            <v:stroke linestyle="thickThin"/>
            <v:shadow color="#868686"/>
            <v:textbox style="mso-next-textbox:#_x0000_s1035">
              <w:txbxContent>
                <w:p w:rsidR="00CD7EEF" w:rsidRPr="008E0379" w:rsidRDefault="00CD7EEF" w:rsidP="008E0379">
                  <w:pPr>
                    <w:jc w:val="both"/>
                    <w:rPr>
                      <w:rFonts w:asciiTheme="majorBidi" w:hAnsiTheme="majorBidi" w:cstheme="majorBidi"/>
                      <w:sz w:val="24"/>
                      <w:szCs w:val="24"/>
                    </w:rPr>
                  </w:pPr>
                  <w:r w:rsidRPr="008E0379">
                    <w:rPr>
                      <w:rFonts w:asciiTheme="majorBidi" w:hAnsiTheme="majorBidi" w:cstheme="majorBidi"/>
                      <w:sz w:val="24"/>
                      <w:szCs w:val="24"/>
                    </w:rPr>
                    <w:t>La ma</w:t>
                  </w:r>
                  <w:r>
                    <w:rPr>
                      <w:rFonts w:asciiTheme="majorBidi" w:hAnsiTheme="majorBidi" w:cstheme="majorBidi"/>
                      <w:sz w:val="24"/>
                      <w:szCs w:val="24"/>
                    </w:rPr>
                    <w:t>rge de solvabilité disponible</w:t>
                  </w:r>
                  <w:r w:rsidRPr="008E0379">
                    <w:rPr>
                      <w:rFonts w:asciiTheme="majorBidi" w:hAnsiTheme="majorBidi" w:cstheme="majorBidi"/>
                      <w:sz w:val="24"/>
                      <w:szCs w:val="24"/>
                    </w:rPr>
                    <w:t xml:space="preserve"> couvre  le minimum réglementaire requis</w:t>
                  </w:r>
                  <w:r>
                    <w:rPr>
                      <w:rFonts w:asciiTheme="majorBidi" w:hAnsiTheme="majorBidi" w:cstheme="majorBidi"/>
                      <w:sz w:val="24"/>
                      <w:szCs w:val="24"/>
                    </w:rPr>
                    <w:t xml:space="preserve"> à raison de </w:t>
                  </w:r>
                  <w:r w:rsidRPr="008E0379">
                    <w:rPr>
                      <w:rFonts w:asciiTheme="majorBidi" w:hAnsiTheme="majorBidi" w:cstheme="majorBidi"/>
                      <w:b/>
                      <w:bCs/>
                      <w:sz w:val="24"/>
                      <w:szCs w:val="24"/>
                    </w:rPr>
                    <w:t>493%</w:t>
                  </w:r>
                  <w:r>
                    <w:rPr>
                      <w:rFonts w:asciiTheme="majorBidi" w:hAnsiTheme="majorBidi" w:cstheme="majorBidi"/>
                      <w:b/>
                      <w:bCs/>
                      <w:sz w:val="24"/>
                      <w:szCs w:val="24"/>
                    </w:rPr>
                    <w:t>.</w:t>
                  </w:r>
                </w:p>
                <w:p w:rsidR="00CD7EEF" w:rsidRDefault="00CD7EEF"/>
              </w:txbxContent>
            </v:textbox>
          </v:rect>
        </w:pict>
      </w:r>
    </w:p>
    <w:p w:rsidR="00C806D8" w:rsidRDefault="00C806D8" w:rsidP="00E14D65">
      <w:pPr>
        <w:spacing w:line="360" w:lineRule="auto"/>
        <w:jc w:val="both"/>
        <w:rPr>
          <w:rFonts w:asciiTheme="majorBidi" w:hAnsiTheme="majorBidi" w:cstheme="majorBidi"/>
          <w:sz w:val="18"/>
          <w:szCs w:val="18"/>
        </w:rPr>
      </w:pPr>
    </w:p>
    <w:p w:rsidR="00881F51" w:rsidRPr="00D944B1" w:rsidRDefault="00881F51" w:rsidP="00E14D65">
      <w:pPr>
        <w:spacing w:line="360" w:lineRule="auto"/>
        <w:jc w:val="both"/>
        <w:rPr>
          <w:rFonts w:asciiTheme="majorBidi" w:hAnsiTheme="majorBidi" w:cstheme="majorBidi"/>
          <w:b/>
          <w:bCs/>
          <w:color w:val="FF0000"/>
          <w:sz w:val="28"/>
          <w:szCs w:val="28"/>
        </w:rPr>
      </w:pPr>
    </w:p>
    <w:p w:rsidR="00C806D8" w:rsidRPr="00D944B1" w:rsidRDefault="00EA7663" w:rsidP="00E14D65">
      <w:pPr>
        <w:spacing w:line="360" w:lineRule="auto"/>
        <w:jc w:val="both"/>
        <w:rPr>
          <w:rFonts w:asciiTheme="majorBidi" w:hAnsiTheme="majorBidi" w:cstheme="majorBidi"/>
          <w:b/>
          <w:bCs/>
          <w:color w:val="FF0000"/>
          <w:sz w:val="28"/>
          <w:szCs w:val="28"/>
        </w:rPr>
      </w:pPr>
      <w:r>
        <w:rPr>
          <w:rFonts w:asciiTheme="majorBidi" w:hAnsiTheme="majorBidi" w:cstheme="majorBidi"/>
          <w:b/>
          <w:bCs/>
          <w:sz w:val="28"/>
          <w:szCs w:val="28"/>
        </w:rPr>
        <w:t>2.2</w:t>
      </w:r>
      <w:r w:rsidR="002329F5" w:rsidRPr="00D944B1">
        <w:rPr>
          <w:rFonts w:asciiTheme="majorBidi" w:hAnsiTheme="majorBidi" w:cstheme="majorBidi"/>
          <w:b/>
          <w:bCs/>
          <w:sz w:val="28"/>
          <w:szCs w:val="28"/>
        </w:rPr>
        <w:t>.</w:t>
      </w:r>
      <w:r w:rsidR="002329F5" w:rsidRPr="00D944B1">
        <w:rPr>
          <w:rFonts w:asciiTheme="majorBidi" w:hAnsiTheme="majorBidi" w:cstheme="majorBidi"/>
          <w:b/>
          <w:bCs/>
          <w:color w:val="FF0000"/>
          <w:sz w:val="28"/>
          <w:szCs w:val="28"/>
        </w:rPr>
        <w:t xml:space="preserve"> </w:t>
      </w:r>
      <w:r w:rsidR="002329F5" w:rsidRPr="00D944B1">
        <w:rPr>
          <w:rFonts w:asciiTheme="majorBidi" w:hAnsiTheme="majorBidi" w:cstheme="majorBidi"/>
          <w:b/>
          <w:bCs/>
          <w:sz w:val="28"/>
          <w:szCs w:val="28"/>
        </w:rPr>
        <w:t>CRITIQUES A L’ENCONTRE DE SOLVENCY I</w:t>
      </w:r>
    </w:p>
    <w:p w:rsidR="008E0379" w:rsidRPr="00D944B1" w:rsidRDefault="00181C71" w:rsidP="00E14D65">
      <w:pPr>
        <w:autoSpaceDE w:val="0"/>
        <w:autoSpaceDN w:val="0"/>
        <w:adjustRightInd w:val="0"/>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r>
      <w:r w:rsidR="00F065F1" w:rsidRPr="00D944B1">
        <w:rPr>
          <w:rFonts w:asciiTheme="majorBidi" w:hAnsiTheme="majorBidi" w:cstheme="majorBidi"/>
          <w:sz w:val="24"/>
          <w:szCs w:val="24"/>
        </w:rPr>
        <w:t>La complexification des risques globaux est à l’origine du mouvement de révision et d’adaptation des règles comptables et prudentielles -débuté avec les normes IFRS et Bâle II- que l’on observe actuellement dans les secteurs financier et assurantiel.</w:t>
      </w:r>
      <w:r w:rsidRPr="00D944B1">
        <w:rPr>
          <w:rFonts w:asciiTheme="majorBidi" w:hAnsiTheme="majorBidi" w:cstheme="majorBidi"/>
          <w:sz w:val="24"/>
          <w:szCs w:val="24"/>
        </w:rPr>
        <w:t xml:space="preserve"> </w:t>
      </w:r>
      <w:r w:rsidR="00F065F1" w:rsidRPr="00D944B1">
        <w:rPr>
          <w:rFonts w:asciiTheme="majorBidi" w:hAnsiTheme="majorBidi" w:cstheme="majorBidi"/>
          <w:sz w:val="24"/>
          <w:szCs w:val="24"/>
        </w:rPr>
        <w:t>En ce qui concerne le secteur de l’assurance, le cadre en vigueur depuis les années 1970, Solvency I, montre aujourd’</w:t>
      </w:r>
      <w:r w:rsidRPr="00D944B1">
        <w:rPr>
          <w:rFonts w:asciiTheme="majorBidi" w:hAnsiTheme="majorBidi" w:cstheme="majorBidi"/>
          <w:sz w:val="24"/>
          <w:szCs w:val="24"/>
        </w:rPr>
        <w:t>hui ses limites et parfois sont insuffisance</w:t>
      </w:r>
      <w:r w:rsidR="001617F6" w:rsidRPr="00D944B1">
        <w:rPr>
          <w:rFonts w:asciiTheme="majorBidi" w:hAnsiTheme="majorBidi" w:cstheme="majorBidi"/>
          <w:sz w:val="24"/>
          <w:szCs w:val="24"/>
        </w:rPr>
        <w:t>:</w:t>
      </w:r>
    </w:p>
    <w:p w:rsidR="0057006E" w:rsidRDefault="00181C71" w:rsidP="00E14D65">
      <w:pPr>
        <w:pStyle w:val="Paragraphedeliste"/>
        <w:numPr>
          <w:ilvl w:val="0"/>
          <w:numId w:val="4"/>
        </w:numPr>
        <w:tabs>
          <w:tab w:val="left" w:pos="0"/>
          <w:tab w:val="left" w:pos="426"/>
        </w:tabs>
        <w:autoSpaceDE w:val="0"/>
        <w:autoSpaceDN w:val="0"/>
        <w:adjustRightInd w:val="0"/>
        <w:spacing w:line="360" w:lineRule="auto"/>
        <w:ind w:left="0" w:firstLine="0"/>
        <w:jc w:val="both"/>
        <w:rPr>
          <w:rFonts w:asciiTheme="majorBidi" w:hAnsiTheme="majorBidi" w:cstheme="majorBidi"/>
          <w:sz w:val="24"/>
          <w:szCs w:val="24"/>
        </w:rPr>
      </w:pPr>
      <w:r w:rsidRPr="00D944B1">
        <w:rPr>
          <w:rFonts w:asciiTheme="majorBidi" w:hAnsiTheme="majorBidi" w:cstheme="majorBidi"/>
          <w:sz w:val="24"/>
          <w:szCs w:val="24"/>
        </w:rPr>
        <w:t xml:space="preserve">La première critique à soulever est que </w:t>
      </w:r>
      <w:r w:rsidR="000A6EC3" w:rsidRPr="00D944B1">
        <w:rPr>
          <w:rFonts w:asciiTheme="majorBidi" w:hAnsiTheme="majorBidi" w:cstheme="majorBidi"/>
          <w:sz w:val="24"/>
          <w:szCs w:val="24"/>
        </w:rPr>
        <w:t xml:space="preserve">Solvency I ne considère pas, </w:t>
      </w:r>
      <w:r w:rsidRPr="00D944B1">
        <w:rPr>
          <w:rFonts w:asciiTheme="majorBidi" w:hAnsiTheme="majorBidi" w:cstheme="majorBidi"/>
          <w:sz w:val="24"/>
          <w:szCs w:val="24"/>
        </w:rPr>
        <w:t>l’ensemble des types de risques auxquels peut être soumise une compagnie, ni la qualité de leur gestion par celle-ci. Le calcul des besoins en fonds propres est automatiquement impacté par cette approche timide du « risque »</w:t>
      </w:r>
      <w:r w:rsidR="000A6EC3" w:rsidRPr="00D944B1">
        <w:rPr>
          <w:rFonts w:asciiTheme="majorBidi" w:hAnsiTheme="majorBidi" w:cstheme="majorBidi"/>
          <w:sz w:val="24"/>
          <w:szCs w:val="24"/>
        </w:rPr>
        <w:t xml:space="preserve"> et prend en compte que le risque de </w:t>
      </w:r>
      <w:r w:rsidR="00785A83" w:rsidRPr="00D944B1">
        <w:rPr>
          <w:rFonts w:asciiTheme="majorBidi" w:hAnsiTheme="majorBidi" w:cstheme="majorBidi"/>
          <w:sz w:val="24"/>
          <w:szCs w:val="24"/>
        </w:rPr>
        <w:t>souscription.</w:t>
      </w:r>
      <w:r w:rsidRPr="00D944B1">
        <w:rPr>
          <w:rFonts w:asciiTheme="majorBidi" w:hAnsiTheme="majorBidi" w:cstheme="majorBidi"/>
          <w:sz w:val="24"/>
          <w:szCs w:val="24"/>
        </w:rPr>
        <w:t xml:space="preserve">  </w:t>
      </w:r>
      <w:r w:rsidR="001617F6" w:rsidRPr="00D944B1">
        <w:rPr>
          <w:rFonts w:asciiTheme="majorBidi" w:hAnsiTheme="majorBidi" w:cstheme="majorBidi"/>
          <w:sz w:val="24"/>
          <w:szCs w:val="24"/>
        </w:rPr>
        <w:t>Autrement</w:t>
      </w:r>
      <w:r w:rsidRPr="00D944B1">
        <w:rPr>
          <w:rFonts w:asciiTheme="majorBidi" w:hAnsiTheme="majorBidi" w:cstheme="majorBidi"/>
          <w:sz w:val="24"/>
          <w:szCs w:val="24"/>
        </w:rPr>
        <w:t xml:space="preserve"> dit </w:t>
      </w:r>
      <w:r w:rsidRPr="00D944B1">
        <w:rPr>
          <w:rFonts w:asciiTheme="majorBidi" w:hAnsiTheme="majorBidi" w:cstheme="majorBidi"/>
          <w:color w:val="000000"/>
          <w:sz w:val="24"/>
          <w:szCs w:val="24"/>
        </w:rPr>
        <w:t xml:space="preserve">les méthodes fondées sur les primes reflètent très mal le risque réel et </w:t>
      </w:r>
      <w:r w:rsidRPr="00D944B1">
        <w:rPr>
          <w:rFonts w:asciiTheme="majorBidi" w:hAnsiTheme="majorBidi" w:cstheme="majorBidi"/>
          <w:color w:val="006A8F"/>
          <w:sz w:val="24"/>
          <w:szCs w:val="24"/>
        </w:rPr>
        <w:t xml:space="preserve"> </w:t>
      </w:r>
      <w:r w:rsidRPr="00D944B1">
        <w:rPr>
          <w:rFonts w:asciiTheme="majorBidi" w:hAnsiTheme="majorBidi" w:cstheme="majorBidi"/>
          <w:color w:val="000000"/>
          <w:sz w:val="24"/>
          <w:szCs w:val="24"/>
        </w:rPr>
        <w:t xml:space="preserve">les méthodes fondées sur les facteurs ne permettent pas de valoriser correctement des formes complexes de transfert de risque ainsi que </w:t>
      </w:r>
      <w:r w:rsidRPr="00D944B1">
        <w:rPr>
          <w:rFonts w:asciiTheme="majorBidi" w:hAnsiTheme="majorBidi" w:cstheme="majorBidi"/>
          <w:color w:val="006A8F"/>
          <w:sz w:val="24"/>
          <w:szCs w:val="24"/>
        </w:rPr>
        <w:t xml:space="preserve"> </w:t>
      </w:r>
      <w:r w:rsidRPr="00D944B1">
        <w:rPr>
          <w:rFonts w:asciiTheme="majorBidi" w:hAnsiTheme="majorBidi" w:cstheme="majorBidi"/>
          <w:color w:val="000000"/>
          <w:sz w:val="24"/>
          <w:szCs w:val="24"/>
        </w:rPr>
        <w:t>les risques d'investissement sont absents des exigences de Solvabilité I</w:t>
      </w:r>
      <w:r w:rsidRPr="00D944B1">
        <w:rPr>
          <w:rFonts w:asciiTheme="majorBidi" w:hAnsiTheme="majorBidi" w:cstheme="majorBidi"/>
          <w:color w:val="000000"/>
          <w:sz w:val="30"/>
          <w:szCs w:val="30"/>
        </w:rPr>
        <w:t>;</w:t>
      </w:r>
      <w:r w:rsidRPr="00D944B1">
        <w:rPr>
          <w:rFonts w:asciiTheme="majorBidi" w:hAnsiTheme="majorBidi" w:cstheme="majorBidi"/>
          <w:sz w:val="24"/>
          <w:szCs w:val="24"/>
        </w:rPr>
        <w:t xml:space="preserve"> </w:t>
      </w:r>
      <w:r w:rsidR="00487F34" w:rsidRPr="00D944B1">
        <w:rPr>
          <w:rStyle w:val="Appelnotedebasdep"/>
        </w:rPr>
        <w:footnoteReference w:id="10"/>
      </w:r>
    </w:p>
    <w:p w:rsidR="0057006E" w:rsidRPr="0057006E" w:rsidRDefault="0057006E" w:rsidP="00E14D65">
      <w:pPr>
        <w:pStyle w:val="Paragraphedeliste"/>
        <w:tabs>
          <w:tab w:val="left" w:pos="0"/>
          <w:tab w:val="left" w:pos="426"/>
        </w:tabs>
        <w:autoSpaceDE w:val="0"/>
        <w:autoSpaceDN w:val="0"/>
        <w:adjustRightInd w:val="0"/>
        <w:spacing w:line="360" w:lineRule="auto"/>
        <w:ind w:left="0"/>
        <w:jc w:val="both"/>
        <w:rPr>
          <w:rFonts w:asciiTheme="majorBidi" w:hAnsiTheme="majorBidi" w:cstheme="majorBidi"/>
          <w:sz w:val="24"/>
          <w:szCs w:val="24"/>
        </w:rPr>
      </w:pPr>
    </w:p>
    <w:p w:rsidR="001617F6" w:rsidRPr="00D944B1" w:rsidRDefault="001617F6" w:rsidP="00E14D65">
      <w:pPr>
        <w:pStyle w:val="Paragraphedeliste"/>
        <w:numPr>
          <w:ilvl w:val="0"/>
          <w:numId w:val="4"/>
        </w:numPr>
        <w:tabs>
          <w:tab w:val="left" w:pos="426"/>
        </w:tabs>
        <w:autoSpaceDE w:val="0"/>
        <w:autoSpaceDN w:val="0"/>
        <w:adjustRightInd w:val="0"/>
        <w:spacing w:after="0" w:line="360" w:lineRule="auto"/>
        <w:ind w:left="0" w:firstLine="0"/>
        <w:jc w:val="both"/>
        <w:rPr>
          <w:rFonts w:asciiTheme="majorBidi" w:hAnsiTheme="majorBidi" w:cstheme="majorBidi"/>
          <w:sz w:val="24"/>
          <w:szCs w:val="24"/>
        </w:rPr>
      </w:pPr>
      <w:r w:rsidRPr="00D944B1">
        <w:rPr>
          <w:rFonts w:asciiTheme="majorBidi" w:hAnsiTheme="majorBidi" w:cstheme="majorBidi"/>
          <w:sz w:val="24"/>
          <w:szCs w:val="24"/>
        </w:rPr>
        <w:t xml:space="preserve">Solvency I présente quelques paradoxes  </w:t>
      </w:r>
      <w:r w:rsidR="00487F34" w:rsidRPr="00D944B1">
        <w:rPr>
          <w:rFonts w:asciiTheme="majorBidi" w:hAnsiTheme="majorBidi" w:cstheme="majorBidi"/>
          <w:sz w:val="24"/>
          <w:szCs w:val="24"/>
        </w:rPr>
        <w:t>Premier exemple, en assurance vie, plus les provisions techniques sont prudentes, plus l’exigence de fonds propres augmente. En assurance non vie, on assiste à un autre paradoxe : pour un risque équivalent, une hausse tarifaire entraîne automatiquement une hau</w:t>
      </w:r>
      <w:r w:rsidR="000A6EC3" w:rsidRPr="00D944B1">
        <w:rPr>
          <w:rFonts w:asciiTheme="majorBidi" w:hAnsiTheme="majorBidi" w:cstheme="majorBidi"/>
          <w:sz w:val="24"/>
          <w:szCs w:val="24"/>
        </w:rPr>
        <w:t>sse du besoin en fonds propres c'est-à-dire que Solvabilité I pénalise les entreprises qui sur-provisionnent contrairement à celles qui sous</w:t>
      </w:r>
      <w:r w:rsidR="00D91AB0">
        <w:rPr>
          <w:rFonts w:asciiTheme="majorBidi" w:hAnsiTheme="majorBidi" w:cstheme="majorBidi"/>
          <w:sz w:val="24"/>
          <w:szCs w:val="24"/>
        </w:rPr>
        <w:t>-</w:t>
      </w:r>
      <w:r w:rsidR="000A6EC3" w:rsidRPr="00D944B1">
        <w:rPr>
          <w:rFonts w:asciiTheme="majorBidi" w:hAnsiTheme="majorBidi" w:cstheme="majorBidi"/>
          <w:sz w:val="24"/>
          <w:szCs w:val="24"/>
        </w:rPr>
        <w:t>provisionnent ou qui sous tarifient</w:t>
      </w:r>
      <w:r w:rsidR="00BE4362" w:rsidRPr="00D944B1">
        <w:rPr>
          <w:rFonts w:asciiTheme="majorBidi" w:hAnsiTheme="majorBidi" w:cstheme="majorBidi"/>
          <w:sz w:val="24"/>
          <w:szCs w:val="24"/>
        </w:rPr>
        <w:t>.</w:t>
      </w:r>
    </w:p>
    <w:p w:rsidR="00487F34" w:rsidRPr="00D944B1" w:rsidRDefault="00487F34" w:rsidP="00E14D65">
      <w:pPr>
        <w:pStyle w:val="Paragraphedeliste"/>
        <w:spacing w:line="360" w:lineRule="auto"/>
        <w:ind w:left="0"/>
        <w:jc w:val="both"/>
        <w:rPr>
          <w:rFonts w:asciiTheme="majorBidi" w:hAnsiTheme="majorBidi" w:cstheme="majorBidi"/>
          <w:sz w:val="24"/>
          <w:szCs w:val="24"/>
        </w:rPr>
      </w:pPr>
    </w:p>
    <w:p w:rsidR="00487F34" w:rsidRPr="00D944B1" w:rsidRDefault="000A6EC3" w:rsidP="00E14D65">
      <w:pPr>
        <w:pStyle w:val="Paragraphedeliste"/>
        <w:numPr>
          <w:ilvl w:val="0"/>
          <w:numId w:val="4"/>
        </w:numPr>
        <w:tabs>
          <w:tab w:val="left" w:pos="0"/>
          <w:tab w:val="left" w:pos="426"/>
        </w:tabs>
        <w:spacing w:line="360" w:lineRule="auto"/>
        <w:ind w:left="0" w:firstLine="0"/>
        <w:jc w:val="both"/>
        <w:rPr>
          <w:rFonts w:asciiTheme="majorBidi" w:hAnsiTheme="majorBidi" w:cstheme="majorBidi"/>
          <w:sz w:val="24"/>
          <w:szCs w:val="24"/>
        </w:rPr>
      </w:pPr>
      <w:r w:rsidRPr="00D944B1">
        <w:rPr>
          <w:rFonts w:asciiTheme="majorBidi" w:hAnsiTheme="majorBidi" w:cstheme="majorBidi"/>
          <w:sz w:val="24"/>
          <w:szCs w:val="24"/>
        </w:rPr>
        <w:t>SI prend comme seule et unique référence le passé et fait donc l’hypothèse que le passé est un bon guide pour estimer le futur sans ajustement. La vision est uniquement rétrospective.</w:t>
      </w:r>
      <w:r w:rsidR="00BE4362" w:rsidRPr="00D944B1">
        <w:rPr>
          <w:rFonts w:asciiTheme="majorBidi" w:hAnsiTheme="majorBidi" w:cstheme="majorBidi"/>
          <w:sz w:val="24"/>
          <w:szCs w:val="24"/>
        </w:rPr>
        <w:t xml:space="preserve"> </w:t>
      </w:r>
    </w:p>
    <w:p w:rsidR="004853B1" w:rsidRPr="00D944B1" w:rsidRDefault="004853B1" w:rsidP="00E14D65">
      <w:pPr>
        <w:pStyle w:val="Paragraphedeliste"/>
        <w:tabs>
          <w:tab w:val="left" w:pos="0"/>
          <w:tab w:val="left" w:pos="426"/>
        </w:tabs>
        <w:spacing w:line="360" w:lineRule="auto"/>
        <w:ind w:left="0"/>
        <w:jc w:val="both"/>
        <w:rPr>
          <w:rFonts w:asciiTheme="majorBidi" w:hAnsiTheme="majorBidi" w:cstheme="majorBidi"/>
          <w:sz w:val="24"/>
          <w:szCs w:val="24"/>
        </w:rPr>
      </w:pPr>
    </w:p>
    <w:p w:rsidR="00BE4362" w:rsidRDefault="00E004CB" w:rsidP="00E14D65">
      <w:pPr>
        <w:pStyle w:val="Paragraphedeliste"/>
        <w:numPr>
          <w:ilvl w:val="0"/>
          <w:numId w:val="4"/>
        </w:numPr>
        <w:tabs>
          <w:tab w:val="left" w:pos="142"/>
          <w:tab w:val="left" w:pos="426"/>
        </w:tabs>
        <w:autoSpaceDE w:val="0"/>
        <w:autoSpaceDN w:val="0"/>
        <w:adjustRightInd w:val="0"/>
        <w:spacing w:line="360" w:lineRule="auto"/>
        <w:ind w:left="0" w:firstLine="0"/>
        <w:jc w:val="both"/>
        <w:rPr>
          <w:rFonts w:asciiTheme="majorBidi" w:hAnsiTheme="majorBidi" w:cstheme="majorBidi"/>
          <w:sz w:val="24"/>
          <w:szCs w:val="24"/>
        </w:rPr>
      </w:pPr>
      <w:r w:rsidRPr="00D944B1">
        <w:rPr>
          <w:rFonts w:asciiTheme="majorBidi" w:hAnsiTheme="majorBidi" w:cstheme="majorBidi"/>
          <w:sz w:val="24"/>
          <w:szCs w:val="24"/>
        </w:rPr>
        <w:lastRenderedPageBreak/>
        <w:t xml:space="preserve"> L</w:t>
      </w:r>
      <w:r w:rsidR="004853B1" w:rsidRPr="00D944B1">
        <w:rPr>
          <w:rFonts w:asciiTheme="majorBidi" w:hAnsiTheme="majorBidi" w:cstheme="majorBidi"/>
          <w:sz w:val="24"/>
          <w:szCs w:val="24"/>
        </w:rPr>
        <w:t>e dispositif solvabilit</w:t>
      </w:r>
      <w:r w:rsidR="00BE4362" w:rsidRPr="00D944B1">
        <w:rPr>
          <w:rFonts w:asciiTheme="majorBidi" w:hAnsiTheme="majorBidi" w:cstheme="majorBidi"/>
          <w:sz w:val="24"/>
          <w:szCs w:val="24"/>
        </w:rPr>
        <w:t>é I</w:t>
      </w:r>
      <w:r w:rsidR="004853B1" w:rsidRPr="00D944B1">
        <w:rPr>
          <w:rFonts w:asciiTheme="majorBidi" w:hAnsiTheme="majorBidi" w:cstheme="majorBidi"/>
          <w:sz w:val="24"/>
          <w:szCs w:val="24"/>
        </w:rPr>
        <w:t xml:space="preserve"> formule très peu d’exigences qualitatives</w:t>
      </w:r>
      <w:r w:rsidR="00092E69">
        <w:rPr>
          <w:rFonts w:asciiTheme="majorBidi" w:hAnsiTheme="majorBidi" w:cstheme="majorBidi"/>
          <w:sz w:val="24"/>
          <w:szCs w:val="24"/>
        </w:rPr>
        <w:t xml:space="preserve"> </w:t>
      </w:r>
      <w:r w:rsidR="004853B1" w:rsidRPr="00D944B1">
        <w:rPr>
          <w:rFonts w:asciiTheme="majorBidi" w:hAnsiTheme="majorBidi" w:cstheme="majorBidi"/>
          <w:sz w:val="24"/>
          <w:szCs w:val="24"/>
        </w:rPr>
        <w:t>en ce qui concerne la gestion des risques et la gouvernance et il n’impose pas aux autorités de contrôle de vérifier régulièrement si ces exigences qualitatives sont bien respectées.</w:t>
      </w:r>
      <w:r w:rsidR="00BE4362" w:rsidRPr="00D944B1">
        <w:rPr>
          <w:rFonts w:asciiTheme="majorBidi" w:hAnsiTheme="majorBidi" w:cstheme="majorBidi"/>
          <w:sz w:val="24"/>
          <w:szCs w:val="24"/>
        </w:rPr>
        <w:t xml:space="preserve"> aucune surveillance n’est exercée sur le contrôle interne  l’aspect qualitatif est complètement négligé.</w:t>
      </w:r>
    </w:p>
    <w:p w:rsidR="0057006E" w:rsidRPr="0057006E" w:rsidRDefault="0057006E" w:rsidP="00E14D65">
      <w:pPr>
        <w:pStyle w:val="Paragraphedeliste"/>
        <w:tabs>
          <w:tab w:val="left" w:pos="142"/>
          <w:tab w:val="left" w:pos="426"/>
        </w:tabs>
        <w:autoSpaceDE w:val="0"/>
        <w:autoSpaceDN w:val="0"/>
        <w:adjustRightInd w:val="0"/>
        <w:spacing w:line="360" w:lineRule="auto"/>
        <w:ind w:left="0"/>
        <w:jc w:val="both"/>
        <w:rPr>
          <w:rFonts w:asciiTheme="majorBidi" w:hAnsiTheme="majorBidi" w:cstheme="majorBidi"/>
          <w:sz w:val="24"/>
          <w:szCs w:val="24"/>
        </w:rPr>
      </w:pPr>
    </w:p>
    <w:p w:rsidR="00E004CB" w:rsidRDefault="003A4397" w:rsidP="00E14D65">
      <w:pPr>
        <w:pStyle w:val="Paragraphedeliste"/>
        <w:numPr>
          <w:ilvl w:val="0"/>
          <w:numId w:val="4"/>
        </w:numPr>
        <w:tabs>
          <w:tab w:val="left" w:pos="142"/>
          <w:tab w:val="left" w:pos="426"/>
        </w:tabs>
        <w:spacing w:line="360" w:lineRule="auto"/>
        <w:ind w:left="0" w:firstLine="0"/>
        <w:jc w:val="both"/>
        <w:rPr>
          <w:rFonts w:asciiTheme="majorBidi" w:hAnsiTheme="majorBidi" w:cstheme="majorBidi"/>
          <w:b/>
          <w:bCs/>
          <w:sz w:val="24"/>
          <w:szCs w:val="24"/>
        </w:rPr>
      </w:pPr>
      <w:r w:rsidRPr="00D944B1">
        <w:rPr>
          <w:rFonts w:asciiTheme="majorBidi" w:hAnsiTheme="majorBidi" w:cstheme="majorBidi"/>
          <w:sz w:val="24"/>
          <w:szCs w:val="24"/>
        </w:rPr>
        <w:t>Les différences entre les réglementations permettent des arbitrages réglementaires</w:t>
      </w:r>
      <w:r w:rsidRPr="00D944B1">
        <w:rPr>
          <w:rFonts w:asciiTheme="majorBidi" w:hAnsiTheme="majorBidi" w:cstheme="majorBidi"/>
          <w:b/>
          <w:bCs/>
          <w:sz w:val="24"/>
          <w:szCs w:val="24"/>
        </w:rPr>
        <w:t xml:space="preserve"> </w:t>
      </w:r>
      <w:r w:rsidRPr="00D944B1">
        <w:rPr>
          <w:rFonts w:asciiTheme="majorBidi" w:hAnsiTheme="majorBidi" w:cstheme="majorBidi"/>
          <w:sz w:val="24"/>
          <w:szCs w:val="24"/>
        </w:rPr>
        <w:t>entre secteur bancaire</w:t>
      </w:r>
      <w:r w:rsidR="00E004CB" w:rsidRPr="00D944B1">
        <w:rPr>
          <w:rFonts w:asciiTheme="majorBidi" w:hAnsiTheme="majorBidi" w:cstheme="majorBidi"/>
          <w:sz w:val="24"/>
          <w:szCs w:val="24"/>
        </w:rPr>
        <w:t xml:space="preserve"> (bale II)</w:t>
      </w:r>
      <w:r w:rsidRPr="00D944B1">
        <w:rPr>
          <w:rFonts w:asciiTheme="majorBidi" w:hAnsiTheme="majorBidi" w:cstheme="majorBidi"/>
          <w:sz w:val="24"/>
          <w:szCs w:val="24"/>
        </w:rPr>
        <w:t xml:space="preserve"> et secteur de l’assurance (par ex. assurance crédit), ce qui nécessite de minimiser les écarts réglementaires entre les banques et les assurances encore en gestation pour limiter les possibilités d’arbitrage générées par des exigences minimales de fonds propres divergents.</w:t>
      </w:r>
      <w:r w:rsidR="00E004CB" w:rsidRPr="00D944B1">
        <w:rPr>
          <w:rStyle w:val="Appelnotedebasdep"/>
        </w:rPr>
        <w:footnoteReference w:id="11"/>
      </w:r>
      <w:r w:rsidRPr="00D944B1">
        <w:rPr>
          <w:rFonts w:asciiTheme="majorBidi" w:hAnsiTheme="majorBidi" w:cstheme="majorBidi"/>
          <w:sz w:val="24"/>
          <w:szCs w:val="24"/>
        </w:rPr>
        <w:t xml:space="preserve">  </w:t>
      </w:r>
    </w:p>
    <w:p w:rsidR="0057006E" w:rsidRPr="0057006E" w:rsidRDefault="0057006E" w:rsidP="00E14D65">
      <w:pPr>
        <w:pStyle w:val="Paragraphedeliste"/>
        <w:tabs>
          <w:tab w:val="left" w:pos="142"/>
          <w:tab w:val="left" w:pos="426"/>
        </w:tabs>
        <w:spacing w:line="360" w:lineRule="auto"/>
        <w:ind w:left="0"/>
        <w:jc w:val="both"/>
        <w:rPr>
          <w:rFonts w:asciiTheme="majorBidi" w:hAnsiTheme="majorBidi" w:cstheme="majorBidi"/>
          <w:b/>
          <w:bCs/>
          <w:sz w:val="24"/>
          <w:szCs w:val="24"/>
        </w:rPr>
      </w:pPr>
    </w:p>
    <w:p w:rsidR="0014089C" w:rsidRDefault="0014089C" w:rsidP="00E14D65">
      <w:pPr>
        <w:pStyle w:val="Paragraphedeliste"/>
        <w:numPr>
          <w:ilvl w:val="0"/>
          <w:numId w:val="4"/>
        </w:numPr>
        <w:tabs>
          <w:tab w:val="left" w:pos="426"/>
        </w:tabs>
        <w:autoSpaceDE w:val="0"/>
        <w:autoSpaceDN w:val="0"/>
        <w:adjustRightInd w:val="0"/>
        <w:spacing w:after="0" w:line="360" w:lineRule="auto"/>
        <w:ind w:left="0" w:firstLine="0"/>
        <w:jc w:val="both"/>
        <w:rPr>
          <w:rFonts w:asciiTheme="majorBidi" w:hAnsiTheme="majorBidi" w:cstheme="majorBidi"/>
          <w:sz w:val="24"/>
          <w:szCs w:val="24"/>
        </w:rPr>
      </w:pPr>
      <w:r w:rsidRPr="00D944B1">
        <w:rPr>
          <w:rFonts w:asciiTheme="majorBidi" w:hAnsiTheme="majorBidi" w:cstheme="majorBidi"/>
          <w:sz w:val="24"/>
          <w:szCs w:val="24"/>
        </w:rPr>
        <w:t>Comme le contrôle prudentiel actuel est de même intensité que l’entreprise d’assurance soit en bonne ou en mauvaise santé financière, il y a une mauvaise allocation des ressources de la part des autorités mais aussi des entreprises. En effet, d’un côté les services de contrôle passent trop de temps et utilisent trop de moyens pour contrôler des entreprises d’assurance saines, de l’autre côté, les entreprises elles-mêmes consacrent du temps et des ressources à respecter les règles de prudence et les demandes d’information qui n’ont de sens que lorsque la situation financière est fragile.</w:t>
      </w:r>
    </w:p>
    <w:p w:rsidR="0057006E" w:rsidRPr="0057006E" w:rsidRDefault="0057006E" w:rsidP="000924EE">
      <w:pPr>
        <w:pStyle w:val="Paragraphedeliste"/>
        <w:tabs>
          <w:tab w:val="left" w:pos="426"/>
        </w:tabs>
        <w:autoSpaceDE w:val="0"/>
        <w:autoSpaceDN w:val="0"/>
        <w:adjustRightInd w:val="0"/>
        <w:spacing w:after="0" w:line="240" w:lineRule="auto"/>
        <w:ind w:left="0"/>
        <w:jc w:val="both"/>
        <w:rPr>
          <w:rFonts w:asciiTheme="majorBidi" w:hAnsiTheme="majorBidi" w:cstheme="majorBidi"/>
          <w:sz w:val="24"/>
          <w:szCs w:val="24"/>
        </w:rPr>
      </w:pPr>
    </w:p>
    <w:p w:rsidR="00BF3035" w:rsidRDefault="0014089C" w:rsidP="00E14D65">
      <w:pPr>
        <w:pStyle w:val="Paragraphedeliste"/>
        <w:numPr>
          <w:ilvl w:val="0"/>
          <w:numId w:val="4"/>
        </w:numPr>
        <w:tabs>
          <w:tab w:val="left" w:pos="426"/>
        </w:tabs>
        <w:autoSpaceDE w:val="0"/>
        <w:autoSpaceDN w:val="0"/>
        <w:adjustRightInd w:val="0"/>
        <w:spacing w:after="0" w:line="360" w:lineRule="auto"/>
        <w:ind w:left="0" w:firstLine="0"/>
        <w:jc w:val="both"/>
        <w:rPr>
          <w:rFonts w:asciiTheme="majorBidi" w:hAnsiTheme="majorBidi" w:cstheme="majorBidi"/>
          <w:sz w:val="24"/>
          <w:szCs w:val="24"/>
        </w:rPr>
      </w:pPr>
      <w:r w:rsidRPr="00D944B1">
        <w:rPr>
          <w:rFonts w:asciiTheme="majorBidi" w:hAnsiTheme="majorBidi" w:cstheme="majorBidi"/>
          <w:sz w:val="24"/>
          <w:szCs w:val="24"/>
        </w:rPr>
        <w:t>Les dépendances entre actifs et passifs ou entre métiers ne sont pas prises en compte.</w:t>
      </w:r>
    </w:p>
    <w:p w:rsidR="0057006E" w:rsidRPr="0057006E" w:rsidRDefault="0057006E" w:rsidP="000924EE">
      <w:pPr>
        <w:pStyle w:val="Paragraphedeliste"/>
        <w:tabs>
          <w:tab w:val="left" w:pos="426"/>
        </w:tabs>
        <w:autoSpaceDE w:val="0"/>
        <w:autoSpaceDN w:val="0"/>
        <w:adjustRightInd w:val="0"/>
        <w:spacing w:after="0" w:line="240" w:lineRule="auto"/>
        <w:ind w:left="0"/>
        <w:jc w:val="both"/>
        <w:rPr>
          <w:rFonts w:asciiTheme="majorBidi" w:hAnsiTheme="majorBidi" w:cstheme="majorBidi"/>
          <w:sz w:val="24"/>
          <w:szCs w:val="24"/>
        </w:rPr>
      </w:pPr>
    </w:p>
    <w:p w:rsidR="00BF3035" w:rsidRDefault="00BF3035" w:rsidP="00E14D65">
      <w:pPr>
        <w:pStyle w:val="Paragraphedeliste"/>
        <w:numPr>
          <w:ilvl w:val="0"/>
          <w:numId w:val="4"/>
        </w:numPr>
        <w:tabs>
          <w:tab w:val="left" w:pos="426"/>
        </w:tabs>
        <w:autoSpaceDE w:val="0"/>
        <w:autoSpaceDN w:val="0"/>
        <w:adjustRightInd w:val="0"/>
        <w:spacing w:after="0" w:line="360" w:lineRule="auto"/>
        <w:ind w:left="0" w:firstLine="0"/>
        <w:jc w:val="both"/>
        <w:rPr>
          <w:rFonts w:asciiTheme="majorBidi" w:hAnsiTheme="majorBidi" w:cstheme="majorBidi"/>
          <w:sz w:val="24"/>
          <w:szCs w:val="24"/>
        </w:rPr>
      </w:pPr>
      <w:r w:rsidRPr="00D944B1">
        <w:rPr>
          <w:rFonts w:asciiTheme="majorBidi" w:hAnsiTheme="majorBidi" w:cstheme="majorBidi"/>
          <w:sz w:val="24"/>
          <w:szCs w:val="24"/>
        </w:rPr>
        <w:t>L’absence d’obligation de comptabiliser les actifs et passifs en valeur de marché reste loin de la réalité économique.</w:t>
      </w:r>
    </w:p>
    <w:p w:rsidR="0057006E" w:rsidRPr="0057006E" w:rsidRDefault="0057006E" w:rsidP="000924EE">
      <w:pPr>
        <w:pStyle w:val="Paragraphedeliste"/>
        <w:tabs>
          <w:tab w:val="left" w:pos="426"/>
        </w:tabs>
        <w:autoSpaceDE w:val="0"/>
        <w:autoSpaceDN w:val="0"/>
        <w:adjustRightInd w:val="0"/>
        <w:spacing w:after="0" w:line="240" w:lineRule="auto"/>
        <w:ind w:left="0"/>
        <w:jc w:val="both"/>
        <w:rPr>
          <w:rFonts w:asciiTheme="majorBidi" w:hAnsiTheme="majorBidi" w:cstheme="majorBidi"/>
          <w:sz w:val="24"/>
          <w:szCs w:val="24"/>
        </w:rPr>
      </w:pPr>
    </w:p>
    <w:p w:rsidR="00290269" w:rsidRDefault="00BF3035" w:rsidP="00E14D65">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La réglementation a un effet procyclique puisque les exigences de solvabilité sont les mêmes que le contexte économique soit bon ou mauvais.</w:t>
      </w:r>
    </w:p>
    <w:p w:rsidR="0057006E" w:rsidRPr="0057006E" w:rsidRDefault="0057006E" w:rsidP="000924EE">
      <w:pPr>
        <w:pStyle w:val="Paragraphedeliste"/>
        <w:autoSpaceDE w:val="0"/>
        <w:autoSpaceDN w:val="0"/>
        <w:adjustRightInd w:val="0"/>
        <w:spacing w:after="0" w:line="240" w:lineRule="auto"/>
        <w:ind w:left="360"/>
        <w:jc w:val="both"/>
        <w:rPr>
          <w:rFonts w:asciiTheme="majorBidi" w:hAnsiTheme="majorBidi" w:cstheme="majorBidi"/>
          <w:sz w:val="24"/>
          <w:szCs w:val="24"/>
        </w:rPr>
      </w:pPr>
    </w:p>
    <w:p w:rsidR="0057006E" w:rsidRPr="008529E3" w:rsidRDefault="00290269" w:rsidP="00857D64">
      <w:pPr>
        <w:pStyle w:val="Paragraphedeliste"/>
        <w:numPr>
          <w:ilvl w:val="0"/>
          <w:numId w:val="4"/>
        </w:numPr>
        <w:autoSpaceDE w:val="0"/>
        <w:autoSpaceDN w:val="0"/>
        <w:adjustRightInd w:val="0"/>
        <w:spacing w:after="0" w:line="360" w:lineRule="auto"/>
        <w:jc w:val="both"/>
        <w:rPr>
          <w:rFonts w:asciiTheme="majorBidi" w:hAnsiTheme="majorBidi" w:cstheme="majorBidi"/>
          <w:sz w:val="16"/>
          <w:szCs w:val="16"/>
        </w:rPr>
      </w:pPr>
      <w:r w:rsidRPr="00D944B1">
        <w:rPr>
          <w:rFonts w:asciiTheme="majorBidi" w:hAnsiTheme="majorBidi" w:cstheme="majorBidi"/>
          <w:sz w:val="24"/>
          <w:szCs w:val="24"/>
        </w:rPr>
        <w:t>Solvabilité I ne satisfait pas aux exigences internationales et notamment aux normes USGAAP</w:t>
      </w:r>
      <w:r w:rsidR="00857D64" w:rsidRPr="00857D64">
        <w:rPr>
          <w:rStyle w:val="Appelnotedebasdep"/>
        </w:rPr>
        <w:footnoteReference w:customMarkFollows="1" w:id="12"/>
        <w:sym w:font="Symbol" w:char="F02A"/>
      </w:r>
      <w:r w:rsidRPr="00D944B1">
        <w:rPr>
          <w:rFonts w:asciiTheme="majorBidi" w:hAnsiTheme="majorBidi" w:cstheme="majorBidi"/>
          <w:sz w:val="16"/>
          <w:szCs w:val="16"/>
        </w:rPr>
        <w:t xml:space="preserve"> </w:t>
      </w:r>
      <w:r w:rsidRPr="00D944B1">
        <w:rPr>
          <w:rFonts w:asciiTheme="majorBidi" w:hAnsiTheme="majorBidi" w:cstheme="majorBidi"/>
          <w:sz w:val="24"/>
          <w:szCs w:val="24"/>
        </w:rPr>
        <w:t>et IAS-IFRS</w:t>
      </w:r>
      <w:r w:rsidR="00B1156F" w:rsidRPr="00B1156F">
        <w:rPr>
          <w:rStyle w:val="Appelnotedebasdep"/>
        </w:rPr>
        <w:footnoteReference w:customMarkFollows="1" w:id="13"/>
        <w:sym w:font="Symbol" w:char="F02A"/>
      </w:r>
      <w:r w:rsidR="00B1156F" w:rsidRPr="00B1156F">
        <w:rPr>
          <w:rStyle w:val="Appelnotedebasdep"/>
        </w:rPr>
        <w:sym w:font="Symbol" w:char="F02A"/>
      </w:r>
    </w:p>
    <w:p w:rsidR="0057006E" w:rsidRPr="0057006E" w:rsidRDefault="00BF3035" w:rsidP="00E14D65">
      <w:pPr>
        <w:pStyle w:val="Paragraphedeliste"/>
        <w:numPr>
          <w:ilvl w:val="0"/>
          <w:numId w:val="4"/>
        </w:numPr>
        <w:tabs>
          <w:tab w:val="left" w:pos="0"/>
        </w:tabs>
        <w:autoSpaceDE w:val="0"/>
        <w:autoSpaceDN w:val="0"/>
        <w:adjustRightInd w:val="0"/>
        <w:spacing w:line="360" w:lineRule="auto"/>
        <w:ind w:left="0" w:firstLine="0"/>
        <w:jc w:val="both"/>
        <w:rPr>
          <w:rFonts w:asciiTheme="majorBidi" w:hAnsiTheme="majorBidi" w:cstheme="majorBidi"/>
          <w:sz w:val="24"/>
          <w:szCs w:val="24"/>
        </w:rPr>
      </w:pPr>
      <w:r w:rsidRPr="00D944B1">
        <w:rPr>
          <w:rFonts w:asciiTheme="majorBidi" w:hAnsiTheme="majorBidi" w:cstheme="majorBidi"/>
          <w:sz w:val="24"/>
          <w:szCs w:val="24"/>
        </w:rPr>
        <w:lastRenderedPageBreak/>
        <w:t>Le dispositif Solvabilité I ne prend pas en considération l’impact économique de la notion de groupe. Le contrôle de groupe n’est que complémentaire et ne sert qu’à analyser ses incidences sur une entité prise individuellement. Cette vision est de plus en plus déconnectée de la façon dont les groupes sont structurés et organisés dans la réalité. L’introduction de systèmes de gestion des risques étendus à l’ensemble du groupe et la concentration de fonctions-clés ont, en effet, induit une organisation de plus en plus centralisée. Or cet écart entre la façon dont les groupes d’assurance sont gérés et celle dont leur contrôle prudentiel est organisé augmente non seulement les coûts qu’ils doivent supporter, mais aussi le danger de passer à côté de risques fondamentaux qui les menacent dans leur ensemble.</w:t>
      </w:r>
    </w:p>
    <w:p w:rsidR="00E7564C" w:rsidRDefault="004B194C" w:rsidP="00E14D65">
      <w:pPr>
        <w:autoSpaceDE w:val="0"/>
        <w:autoSpaceDN w:val="0"/>
        <w:adjustRightInd w:val="0"/>
        <w:spacing w:after="0" w:line="360" w:lineRule="auto"/>
        <w:jc w:val="both"/>
        <w:rPr>
          <w:rFonts w:asciiTheme="majorBidi" w:hAnsiTheme="majorBidi" w:cstheme="majorBidi"/>
          <w:sz w:val="24"/>
          <w:szCs w:val="24"/>
        </w:rPr>
      </w:pPr>
      <w:r w:rsidRPr="00D944B1">
        <w:rPr>
          <w:rFonts w:asciiTheme="majorBidi" w:hAnsiTheme="majorBidi" w:cstheme="majorBidi"/>
          <w:sz w:val="24"/>
          <w:szCs w:val="24"/>
        </w:rPr>
        <w:tab/>
      </w:r>
      <w:r w:rsidR="00DE0E10" w:rsidRPr="00D944B1">
        <w:rPr>
          <w:rFonts w:asciiTheme="majorBidi" w:hAnsiTheme="majorBidi" w:cstheme="majorBidi"/>
          <w:sz w:val="24"/>
          <w:szCs w:val="24"/>
        </w:rPr>
        <w:t>Donc Solvabilité I est désormais obsolète et inadaptée à la complexité</w:t>
      </w:r>
      <w:r w:rsidR="008E0379" w:rsidRPr="00D944B1">
        <w:rPr>
          <w:rFonts w:asciiTheme="majorBidi" w:hAnsiTheme="majorBidi" w:cstheme="majorBidi"/>
          <w:sz w:val="24"/>
          <w:szCs w:val="24"/>
        </w:rPr>
        <w:t xml:space="preserve"> actuelle du </w:t>
      </w:r>
      <w:r w:rsidR="00DE0E10" w:rsidRPr="00D944B1">
        <w:rPr>
          <w:rFonts w:asciiTheme="majorBidi" w:hAnsiTheme="majorBidi" w:cstheme="majorBidi"/>
          <w:sz w:val="24"/>
          <w:szCs w:val="24"/>
        </w:rPr>
        <w:t xml:space="preserve">marché. C’est pourquoi les législateurs européens ont adopté Solvency II. </w:t>
      </w:r>
    </w:p>
    <w:p w:rsidR="00E7564C" w:rsidRDefault="00E7564C" w:rsidP="00E14D65">
      <w:pPr>
        <w:autoSpaceDE w:val="0"/>
        <w:autoSpaceDN w:val="0"/>
        <w:adjustRightInd w:val="0"/>
        <w:spacing w:after="0" w:line="360" w:lineRule="auto"/>
        <w:jc w:val="both"/>
        <w:rPr>
          <w:rFonts w:asciiTheme="majorBidi" w:hAnsiTheme="majorBidi" w:cstheme="majorBidi"/>
          <w:sz w:val="24"/>
          <w:szCs w:val="24"/>
        </w:rPr>
      </w:pPr>
    </w:p>
    <w:p w:rsidR="008529E3" w:rsidRDefault="00EA7663" w:rsidP="001C421B">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2.3</w:t>
      </w:r>
      <w:r w:rsidR="00DE0E10" w:rsidRPr="00D944B1">
        <w:rPr>
          <w:rFonts w:asciiTheme="majorBidi" w:hAnsiTheme="majorBidi" w:cstheme="majorBidi"/>
          <w:b/>
          <w:bCs/>
          <w:sz w:val="28"/>
          <w:szCs w:val="28"/>
        </w:rPr>
        <w:t>. LE PASSAGE DE SOLVABILITE I A SOLVABILITE II</w:t>
      </w:r>
      <w:r w:rsidR="00544A9F" w:rsidRPr="00D944B1">
        <w:rPr>
          <w:rStyle w:val="Appelnotedebasdep"/>
          <w:b/>
          <w:bCs/>
          <w:sz w:val="28"/>
          <w:szCs w:val="28"/>
        </w:rPr>
        <w:footnoteReference w:id="14"/>
      </w:r>
      <w:r w:rsidR="00DE0E10" w:rsidRPr="00D944B1">
        <w:rPr>
          <w:rFonts w:asciiTheme="majorBidi" w:hAnsiTheme="majorBidi" w:cstheme="majorBidi"/>
          <w:b/>
          <w:bCs/>
          <w:sz w:val="28"/>
          <w:szCs w:val="28"/>
        </w:rPr>
        <w:t xml:space="preserve"> </w:t>
      </w:r>
    </w:p>
    <w:p w:rsidR="001C421B" w:rsidRPr="001C421B" w:rsidRDefault="001C421B" w:rsidP="001C421B">
      <w:pPr>
        <w:autoSpaceDE w:val="0"/>
        <w:autoSpaceDN w:val="0"/>
        <w:adjustRightInd w:val="0"/>
        <w:spacing w:after="0" w:line="240" w:lineRule="auto"/>
        <w:jc w:val="both"/>
        <w:rPr>
          <w:rFonts w:asciiTheme="majorBidi" w:hAnsiTheme="majorBidi" w:cstheme="majorBidi"/>
          <w:b/>
          <w:bCs/>
          <w:sz w:val="28"/>
          <w:szCs w:val="28"/>
        </w:rPr>
      </w:pPr>
    </w:p>
    <w:p w:rsidR="00BF3035" w:rsidRPr="00D944B1" w:rsidRDefault="00D6061A" w:rsidP="00E14D65">
      <w:pPr>
        <w:autoSpaceDE w:val="0"/>
        <w:autoSpaceDN w:val="0"/>
        <w:adjustRightInd w:val="0"/>
        <w:spacing w:after="0" w:line="360" w:lineRule="auto"/>
        <w:jc w:val="both"/>
        <w:rPr>
          <w:rFonts w:asciiTheme="majorBidi" w:hAnsiTheme="majorBidi" w:cstheme="majorBidi"/>
          <w:color w:val="000000"/>
          <w:sz w:val="24"/>
          <w:szCs w:val="24"/>
        </w:rPr>
      </w:pPr>
      <w:r w:rsidRPr="00D944B1">
        <w:rPr>
          <w:rFonts w:asciiTheme="majorBidi" w:hAnsiTheme="majorBidi" w:cstheme="majorBidi"/>
          <w:color w:val="000000"/>
          <w:sz w:val="24"/>
          <w:szCs w:val="24"/>
        </w:rPr>
        <w:tab/>
        <w:t>La directive Solvabilité II vise à moderniser et à harmo</w:t>
      </w:r>
      <w:r w:rsidR="008E0379" w:rsidRPr="00D944B1">
        <w:rPr>
          <w:rFonts w:asciiTheme="majorBidi" w:hAnsiTheme="majorBidi" w:cstheme="majorBidi"/>
          <w:color w:val="000000"/>
          <w:sz w:val="24"/>
          <w:szCs w:val="24"/>
        </w:rPr>
        <w:t xml:space="preserve">niser les règles de solvabilité </w:t>
      </w:r>
      <w:r w:rsidRPr="00D944B1">
        <w:rPr>
          <w:rFonts w:asciiTheme="majorBidi" w:hAnsiTheme="majorBidi" w:cstheme="majorBidi"/>
          <w:color w:val="000000"/>
          <w:sz w:val="24"/>
          <w:szCs w:val="24"/>
        </w:rPr>
        <w:t xml:space="preserve">applicables à l’ensemble des organismes d’assurance </w:t>
      </w:r>
      <w:r w:rsidR="00430B05" w:rsidRPr="00D944B1">
        <w:rPr>
          <w:rFonts w:asciiTheme="majorBidi" w:hAnsiTheme="majorBidi" w:cstheme="majorBidi"/>
          <w:color w:val="000000"/>
          <w:sz w:val="24"/>
          <w:szCs w:val="24"/>
        </w:rPr>
        <w:t>afin</w:t>
      </w:r>
      <w:r w:rsidRPr="00D944B1">
        <w:rPr>
          <w:rFonts w:asciiTheme="majorBidi" w:hAnsiTheme="majorBidi" w:cstheme="majorBidi"/>
          <w:color w:val="000000"/>
          <w:sz w:val="24"/>
          <w:szCs w:val="24"/>
        </w:rPr>
        <w:t>:</w:t>
      </w:r>
    </w:p>
    <w:p w:rsidR="00BF3035" w:rsidRPr="001A1E31" w:rsidRDefault="00D6061A" w:rsidP="00E14D65">
      <w:pPr>
        <w:pStyle w:val="Paragraphedeliste"/>
        <w:numPr>
          <w:ilvl w:val="0"/>
          <w:numId w:val="11"/>
        </w:numPr>
        <w:tabs>
          <w:tab w:val="left" w:pos="284"/>
        </w:tabs>
        <w:autoSpaceDE w:val="0"/>
        <w:autoSpaceDN w:val="0"/>
        <w:adjustRightInd w:val="0"/>
        <w:spacing w:line="360" w:lineRule="auto"/>
        <w:ind w:left="0" w:firstLine="0"/>
        <w:jc w:val="both"/>
        <w:rPr>
          <w:rFonts w:asciiTheme="majorBidi" w:hAnsiTheme="majorBidi" w:cstheme="majorBidi"/>
          <w:color w:val="000000"/>
          <w:sz w:val="24"/>
          <w:szCs w:val="24"/>
        </w:rPr>
      </w:pPr>
      <w:r w:rsidRPr="00D944B1">
        <w:rPr>
          <w:rFonts w:asciiTheme="majorBidi" w:hAnsiTheme="majorBidi" w:cstheme="majorBidi"/>
          <w:color w:val="000000"/>
          <w:sz w:val="24"/>
          <w:szCs w:val="24"/>
        </w:rPr>
        <w:t>D’améliorer la protection des assurés,</w:t>
      </w:r>
    </w:p>
    <w:p w:rsidR="00BF3035" w:rsidRPr="001A1E31" w:rsidRDefault="00D6061A" w:rsidP="00E14D65">
      <w:pPr>
        <w:pStyle w:val="Paragraphedeliste"/>
        <w:numPr>
          <w:ilvl w:val="0"/>
          <w:numId w:val="9"/>
        </w:numPr>
        <w:tabs>
          <w:tab w:val="left" w:pos="284"/>
        </w:tabs>
        <w:autoSpaceDE w:val="0"/>
        <w:autoSpaceDN w:val="0"/>
        <w:adjustRightInd w:val="0"/>
        <w:spacing w:line="360" w:lineRule="auto"/>
        <w:ind w:left="0" w:firstLine="0"/>
        <w:jc w:val="both"/>
        <w:rPr>
          <w:rFonts w:asciiTheme="majorBidi" w:hAnsiTheme="majorBidi" w:cstheme="majorBidi"/>
          <w:color w:val="000000"/>
          <w:sz w:val="24"/>
          <w:szCs w:val="24"/>
        </w:rPr>
      </w:pPr>
      <w:r w:rsidRPr="00D944B1">
        <w:rPr>
          <w:rFonts w:asciiTheme="majorBidi" w:hAnsiTheme="majorBidi" w:cstheme="majorBidi"/>
          <w:color w:val="000000"/>
          <w:sz w:val="24"/>
          <w:szCs w:val="24"/>
        </w:rPr>
        <w:t>D’inciter les entreprises à améliorer la connaissance et la gestion de leurs risques par l’intégration, dans l’appréciation de la solvabilité, d’éléments qualitatifs tels que la gouvernance, le contrôle interne et la gestion des risques,</w:t>
      </w:r>
    </w:p>
    <w:p w:rsidR="00995BBA" w:rsidRPr="00995BBA" w:rsidRDefault="00D6061A" w:rsidP="00E14D65">
      <w:pPr>
        <w:pStyle w:val="Paragraphedeliste"/>
        <w:numPr>
          <w:ilvl w:val="0"/>
          <w:numId w:val="9"/>
        </w:numPr>
        <w:tabs>
          <w:tab w:val="left" w:pos="284"/>
        </w:tabs>
        <w:autoSpaceDE w:val="0"/>
        <w:autoSpaceDN w:val="0"/>
        <w:adjustRightInd w:val="0"/>
        <w:spacing w:after="0" w:line="360" w:lineRule="auto"/>
        <w:ind w:left="0" w:firstLine="0"/>
        <w:jc w:val="both"/>
        <w:rPr>
          <w:rFonts w:asciiTheme="majorBidi" w:hAnsiTheme="majorBidi" w:cstheme="majorBidi"/>
          <w:color w:val="000000"/>
          <w:sz w:val="24"/>
          <w:szCs w:val="24"/>
        </w:rPr>
      </w:pPr>
      <w:r w:rsidRPr="00D944B1">
        <w:rPr>
          <w:rFonts w:asciiTheme="majorBidi" w:hAnsiTheme="majorBidi" w:cstheme="majorBidi"/>
          <w:color w:val="000000"/>
          <w:sz w:val="24"/>
          <w:szCs w:val="24"/>
        </w:rPr>
        <w:t>De permettre aux autorités en charge de la supervision de disposer d’outils adaptés pour évaluer la solvabilité globale des institutions en se basant sur des approches prospective</w:t>
      </w:r>
      <w:r w:rsidR="004B194C" w:rsidRPr="00D944B1">
        <w:rPr>
          <w:rFonts w:asciiTheme="majorBidi" w:hAnsiTheme="majorBidi" w:cstheme="majorBidi"/>
          <w:color w:val="000000"/>
          <w:sz w:val="24"/>
          <w:szCs w:val="24"/>
        </w:rPr>
        <w:t>s et orientées vers les risques.</w:t>
      </w:r>
    </w:p>
    <w:p w:rsidR="00995BBA" w:rsidRDefault="00995BBA" w:rsidP="00E14D65">
      <w:pPr>
        <w:tabs>
          <w:tab w:val="left" w:pos="284"/>
        </w:tabs>
        <w:autoSpaceDE w:val="0"/>
        <w:autoSpaceDN w:val="0"/>
        <w:adjustRightInd w:val="0"/>
        <w:spacing w:after="0" w:line="360" w:lineRule="auto"/>
        <w:jc w:val="both"/>
        <w:rPr>
          <w:rFonts w:asciiTheme="majorBidi" w:hAnsiTheme="majorBidi" w:cstheme="majorBidi"/>
          <w:color w:val="000000"/>
          <w:sz w:val="24"/>
          <w:szCs w:val="24"/>
        </w:rPr>
      </w:pPr>
    </w:p>
    <w:p w:rsidR="00995BBA" w:rsidRDefault="00995BBA" w:rsidP="00E14D65">
      <w:pPr>
        <w:tabs>
          <w:tab w:val="left" w:pos="284"/>
        </w:tabs>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noProof/>
          <w:color w:val="000000"/>
          <w:sz w:val="24"/>
          <w:szCs w:val="24"/>
        </w:rPr>
        <w:lastRenderedPageBreak/>
        <w:drawing>
          <wp:anchor distT="0" distB="0" distL="114300" distR="114300" simplePos="0" relativeHeight="251665408" behindDoc="0" locked="0" layoutInCell="1" allowOverlap="1">
            <wp:simplePos x="0" y="0"/>
            <wp:positionH relativeFrom="column">
              <wp:posOffset>-223520</wp:posOffset>
            </wp:positionH>
            <wp:positionV relativeFrom="paragraph">
              <wp:posOffset>-4445</wp:posOffset>
            </wp:positionV>
            <wp:extent cx="6276975" cy="3733800"/>
            <wp:effectExtent l="1905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276975" cy="3733800"/>
                    </a:xfrm>
                    <a:prstGeom prst="rect">
                      <a:avLst/>
                    </a:prstGeom>
                    <a:noFill/>
                    <a:ln w="9525">
                      <a:noFill/>
                      <a:miter lim="800000"/>
                      <a:headEnd/>
                      <a:tailEnd/>
                    </a:ln>
                  </pic:spPr>
                </pic:pic>
              </a:graphicData>
            </a:graphic>
          </wp:anchor>
        </w:drawing>
      </w:r>
    </w:p>
    <w:p w:rsidR="001C421B" w:rsidRDefault="001C421B" w:rsidP="00E14D65">
      <w:pPr>
        <w:spacing w:line="360" w:lineRule="auto"/>
        <w:rPr>
          <w:rFonts w:asciiTheme="majorBidi" w:hAnsiTheme="majorBidi" w:cstheme="majorBidi"/>
          <w:b/>
          <w:bCs/>
          <w:sz w:val="32"/>
          <w:szCs w:val="32"/>
        </w:rPr>
      </w:pPr>
    </w:p>
    <w:p w:rsidR="001C421B" w:rsidRDefault="001C421B" w:rsidP="00E14D65">
      <w:pPr>
        <w:spacing w:line="360" w:lineRule="auto"/>
        <w:rPr>
          <w:rFonts w:asciiTheme="majorBidi" w:hAnsiTheme="majorBidi" w:cstheme="majorBidi"/>
          <w:b/>
          <w:bCs/>
          <w:sz w:val="32"/>
          <w:szCs w:val="32"/>
        </w:rPr>
      </w:pPr>
    </w:p>
    <w:p w:rsidR="001C421B" w:rsidRDefault="001C421B" w:rsidP="00E14D65">
      <w:pPr>
        <w:spacing w:line="360" w:lineRule="auto"/>
        <w:rPr>
          <w:rFonts w:asciiTheme="majorBidi" w:hAnsiTheme="majorBidi" w:cstheme="majorBidi"/>
          <w:b/>
          <w:bCs/>
          <w:sz w:val="32"/>
          <w:szCs w:val="32"/>
        </w:rPr>
      </w:pPr>
    </w:p>
    <w:p w:rsidR="001C421B" w:rsidRDefault="001C421B" w:rsidP="00E14D65">
      <w:pPr>
        <w:spacing w:line="360" w:lineRule="auto"/>
        <w:rPr>
          <w:rFonts w:asciiTheme="majorBidi" w:hAnsiTheme="majorBidi" w:cstheme="majorBidi"/>
          <w:b/>
          <w:bCs/>
          <w:sz w:val="32"/>
          <w:szCs w:val="32"/>
        </w:rPr>
      </w:pPr>
    </w:p>
    <w:p w:rsidR="001C421B" w:rsidRDefault="001C421B" w:rsidP="00E14D65">
      <w:pPr>
        <w:spacing w:line="360" w:lineRule="auto"/>
        <w:rPr>
          <w:rFonts w:asciiTheme="majorBidi" w:hAnsiTheme="majorBidi" w:cstheme="majorBidi"/>
          <w:b/>
          <w:bCs/>
          <w:sz w:val="32"/>
          <w:szCs w:val="32"/>
        </w:rPr>
      </w:pPr>
    </w:p>
    <w:p w:rsidR="001C421B" w:rsidRDefault="001C421B" w:rsidP="00E14D65">
      <w:pPr>
        <w:spacing w:line="360" w:lineRule="auto"/>
        <w:rPr>
          <w:rFonts w:asciiTheme="majorBidi" w:hAnsiTheme="majorBidi" w:cstheme="majorBidi"/>
          <w:b/>
          <w:bCs/>
          <w:sz w:val="32"/>
          <w:szCs w:val="32"/>
        </w:rPr>
      </w:pPr>
    </w:p>
    <w:p w:rsidR="001C421B" w:rsidRDefault="001C421B" w:rsidP="00E14D65">
      <w:pPr>
        <w:spacing w:line="360" w:lineRule="auto"/>
        <w:rPr>
          <w:rFonts w:asciiTheme="majorBidi" w:hAnsiTheme="majorBidi" w:cstheme="majorBidi"/>
          <w:b/>
          <w:bCs/>
          <w:sz w:val="32"/>
          <w:szCs w:val="32"/>
        </w:rPr>
      </w:pPr>
    </w:p>
    <w:p w:rsidR="001C421B" w:rsidRDefault="001C421B" w:rsidP="00E14D65">
      <w:pPr>
        <w:spacing w:line="360" w:lineRule="auto"/>
        <w:rPr>
          <w:rFonts w:asciiTheme="majorBidi" w:hAnsiTheme="majorBidi" w:cstheme="majorBidi"/>
          <w:b/>
          <w:bCs/>
          <w:sz w:val="32"/>
          <w:szCs w:val="32"/>
        </w:rPr>
      </w:pPr>
    </w:p>
    <w:p w:rsidR="001C421B" w:rsidRDefault="001C421B" w:rsidP="00E14D65">
      <w:pPr>
        <w:spacing w:line="360" w:lineRule="auto"/>
        <w:rPr>
          <w:rFonts w:asciiTheme="majorBidi" w:hAnsiTheme="majorBidi" w:cstheme="majorBidi"/>
          <w:b/>
          <w:bCs/>
          <w:sz w:val="32"/>
          <w:szCs w:val="32"/>
        </w:rPr>
      </w:pPr>
    </w:p>
    <w:p w:rsidR="001C421B" w:rsidRDefault="001C421B" w:rsidP="00E14D65">
      <w:pPr>
        <w:spacing w:line="360" w:lineRule="auto"/>
        <w:rPr>
          <w:rFonts w:asciiTheme="majorBidi" w:hAnsiTheme="majorBidi" w:cstheme="majorBidi"/>
          <w:b/>
          <w:bCs/>
          <w:sz w:val="32"/>
          <w:szCs w:val="32"/>
        </w:rPr>
      </w:pPr>
    </w:p>
    <w:p w:rsidR="00872D09" w:rsidRPr="00FD2D2A" w:rsidRDefault="00FD2D2A" w:rsidP="00E14D65">
      <w:pPr>
        <w:spacing w:line="360" w:lineRule="auto"/>
        <w:rPr>
          <w:rFonts w:asciiTheme="majorBidi" w:hAnsiTheme="majorBidi" w:cstheme="majorBidi"/>
          <w:b/>
          <w:bCs/>
          <w:sz w:val="32"/>
          <w:szCs w:val="32"/>
        </w:rPr>
      </w:pPr>
      <w:r w:rsidRPr="00FD2D2A">
        <w:rPr>
          <w:rFonts w:asciiTheme="majorBidi" w:hAnsiTheme="majorBidi" w:cstheme="majorBidi"/>
          <w:b/>
          <w:bCs/>
          <w:sz w:val="32"/>
          <w:szCs w:val="32"/>
        </w:rPr>
        <w:lastRenderedPageBreak/>
        <w:t>CONCLUSION</w:t>
      </w:r>
      <w:r w:rsidR="00BA0976">
        <w:rPr>
          <w:rFonts w:asciiTheme="majorBidi" w:hAnsiTheme="majorBidi" w:cstheme="majorBidi"/>
          <w:b/>
          <w:bCs/>
          <w:sz w:val="32"/>
          <w:szCs w:val="32"/>
        </w:rPr>
        <w:t xml:space="preserve"> DU PREMIER CHAPITRE</w:t>
      </w:r>
    </w:p>
    <w:p w:rsidR="004D6949" w:rsidRPr="00D944B1" w:rsidRDefault="004D6949" w:rsidP="00E14D65">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t>Les règles de mesure de la solvabilité actuellement appliquées par les organismes assureurs  sont en partie harmonisées. Elles so</w:t>
      </w:r>
      <w:r w:rsidR="00D552D3">
        <w:rPr>
          <w:rFonts w:asciiTheme="majorBidi" w:hAnsiTheme="majorBidi" w:cstheme="majorBidi"/>
          <w:sz w:val="24"/>
          <w:szCs w:val="24"/>
        </w:rPr>
        <w:t>nt le fruit de la mise à jour, du</w:t>
      </w:r>
      <w:r w:rsidRPr="00D944B1">
        <w:rPr>
          <w:rFonts w:asciiTheme="majorBidi" w:hAnsiTheme="majorBidi" w:cstheme="majorBidi"/>
          <w:sz w:val="24"/>
          <w:szCs w:val="24"/>
        </w:rPr>
        <w:t xml:space="preserve"> 05 mars 2002, des anciennes directives des années 70 et sont réunies sous le nom de Solvency I. Elles fixent des exigences de composition des actifs et de couverture des engagements par des actifs adéquats  la présentation annuelle d'un rapport de réassurance et d'un rapport de s</w:t>
      </w:r>
      <w:r w:rsidR="007B2B01" w:rsidRPr="00D944B1">
        <w:rPr>
          <w:rFonts w:asciiTheme="majorBidi" w:hAnsiTheme="majorBidi" w:cstheme="majorBidi"/>
          <w:sz w:val="24"/>
          <w:szCs w:val="24"/>
        </w:rPr>
        <w:t>olvabilité spécifique</w:t>
      </w:r>
      <w:r w:rsidRPr="00D944B1">
        <w:rPr>
          <w:rFonts w:asciiTheme="majorBidi" w:hAnsiTheme="majorBidi" w:cstheme="majorBidi"/>
          <w:sz w:val="24"/>
          <w:szCs w:val="24"/>
        </w:rPr>
        <w:t xml:space="preserve">; et enfin, la détermination d'un niveau minimum </w:t>
      </w:r>
      <w:r w:rsidR="00D26F50" w:rsidRPr="00D944B1">
        <w:rPr>
          <w:rFonts w:asciiTheme="majorBidi" w:hAnsiTheme="majorBidi" w:cstheme="majorBidi"/>
          <w:sz w:val="24"/>
          <w:szCs w:val="24"/>
        </w:rPr>
        <w:t>de fonds propres, appelée Marge de Solvabilité Réglementaire (MSR</w:t>
      </w:r>
      <w:r w:rsidR="007423FE" w:rsidRPr="00D944B1">
        <w:rPr>
          <w:rFonts w:asciiTheme="majorBidi" w:hAnsiTheme="majorBidi" w:cstheme="majorBidi"/>
          <w:sz w:val="24"/>
          <w:szCs w:val="24"/>
        </w:rPr>
        <w:t>).</w:t>
      </w:r>
    </w:p>
    <w:p w:rsidR="004D6949" w:rsidRPr="00D944B1" w:rsidRDefault="004D6949" w:rsidP="00E14D65">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ab/>
        <w:t>Il était donc indispensable d'améliorer ce cadre de solvabilité, d'où la mise en œuvre des travaux sur ce qu'on appelle Solvency II. Ce cadre devra être d'un côté en adéquation avec les normes de comptabilisation internationales IAS-IFRS et qui concerne les éléments du bilan, et devra, d'un autre côté, mieux encadrer l'ensemble des difficultés de</w:t>
      </w:r>
      <w:r w:rsidR="00D26F50" w:rsidRPr="00D944B1">
        <w:rPr>
          <w:rFonts w:asciiTheme="majorBidi" w:hAnsiTheme="majorBidi" w:cstheme="majorBidi"/>
          <w:sz w:val="24"/>
          <w:szCs w:val="24"/>
        </w:rPr>
        <w:t xml:space="preserve">s organismes assureurs </w:t>
      </w:r>
      <w:r w:rsidRPr="00D944B1">
        <w:rPr>
          <w:rFonts w:asciiTheme="majorBidi" w:hAnsiTheme="majorBidi" w:cstheme="majorBidi"/>
          <w:sz w:val="24"/>
          <w:szCs w:val="24"/>
        </w:rPr>
        <w:t>concernant la spécificité de certains risques auxquels ils sont confrontés. Et comme pour tout système de solvabilité, ce nouveau cadre devra également tenir compte d'une part, de l'adéquation du calcul de la marge à l'activité propre aux compagnies d'assurance, et d'autre part, de la juste mesure du niveau de marge.</w:t>
      </w:r>
    </w:p>
    <w:p w:rsidR="00186C9E" w:rsidRPr="00D944B1" w:rsidRDefault="00186C9E" w:rsidP="00E14D65">
      <w:pPr>
        <w:spacing w:line="360" w:lineRule="auto"/>
        <w:rPr>
          <w:rFonts w:asciiTheme="majorBidi" w:hAnsiTheme="majorBidi" w:cstheme="majorBidi"/>
          <w:b/>
          <w:bCs/>
          <w:sz w:val="24"/>
          <w:szCs w:val="24"/>
        </w:rPr>
      </w:pPr>
    </w:p>
    <w:sectPr w:rsidR="00186C9E" w:rsidRPr="00D944B1" w:rsidSect="00D84951">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417" w:right="1417" w:bottom="1417" w:left="1417"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4FD" w:rsidRDefault="00FA44FD" w:rsidP="00507EFC">
      <w:pPr>
        <w:spacing w:after="0" w:line="240" w:lineRule="auto"/>
      </w:pPr>
      <w:r>
        <w:separator/>
      </w:r>
    </w:p>
  </w:endnote>
  <w:endnote w:type="continuationSeparator" w:id="1">
    <w:p w:rsidR="00FA44FD" w:rsidRDefault="00FA44FD" w:rsidP="00507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51" w:rsidRDefault="00D8495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4A" w:rsidRDefault="00F62942" w:rsidP="00F62942">
    <w:pPr>
      <w:pStyle w:val="Pieddepage"/>
      <w:tabs>
        <w:tab w:val="clear" w:pos="4536"/>
        <w:tab w:val="clear" w:pos="9072"/>
        <w:tab w:val="left" w:pos="7665"/>
      </w:tabs>
      <w:jc w:val="center"/>
      <w:rPr>
        <w:rFonts w:ascii="Monotype Corsiva" w:hAnsi="Monotype Corsiva"/>
        <w:b/>
        <w:bCs/>
      </w:rPr>
    </w:pPr>
    <w:r w:rsidRPr="004B354A">
      <w:rPr>
        <w:rFonts w:ascii="Monotype Corsiva" w:hAnsi="Monotype Corsiva"/>
        <w:b/>
        <w:bCs/>
      </w:rPr>
      <w:t xml:space="preserve">                                       </w:t>
    </w:r>
  </w:p>
  <w:p w:rsidR="00F62942" w:rsidRPr="004B354A" w:rsidRDefault="004B354A" w:rsidP="00F62942">
    <w:pPr>
      <w:pStyle w:val="Pieddepage"/>
      <w:tabs>
        <w:tab w:val="clear" w:pos="4536"/>
        <w:tab w:val="clear" w:pos="9072"/>
        <w:tab w:val="left" w:pos="7665"/>
      </w:tabs>
      <w:jc w:val="center"/>
      <w:rPr>
        <w:rFonts w:ascii="Monotype Corsiva" w:hAnsi="Monotype Corsiva"/>
        <w:b/>
        <w:bCs/>
      </w:rPr>
    </w:pPr>
    <w:r>
      <w:rPr>
        <w:rFonts w:ascii="Monotype Corsiva" w:hAnsi="Monotype Corsiva"/>
        <w:b/>
        <w:bCs/>
      </w:rPr>
      <w:t xml:space="preserve">                                                                 </w:t>
    </w:r>
    <w:r w:rsidR="00F62942" w:rsidRPr="004B354A">
      <w:rPr>
        <w:rFonts w:ascii="Monotype Corsiva" w:hAnsi="Monotype Corsiva"/>
        <w:b/>
        <w:bCs/>
      </w:rPr>
      <w:t xml:space="preserve">Partie N°1 : </w:t>
    </w:r>
    <w:r>
      <w:rPr>
        <w:rFonts w:ascii="Monotype Corsiva" w:hAnsi="Monotype Corsiva"/>
        <w:b/>
        <w:bCs/>
      </w:rPr>
      <w:t>A</w:t>
    </w:r>
    <w:r w:rsidR="00B01C8B">
      <w:rPr>
        <w:rFonts w:ascii="Monotype Corsiva" w:hAnsi="Monotype Corsiva"/>
        <w:b/>
        <w:bCs/>
      </w:rPr>
      <w:t>spects théoriques relatifs</w:t>
    </w:r>
    <w:r w:rsidR="00F62942" w:rsidRPr="004B354A">
      <w:rPr>
        <w:rFonts w:ascii="Monotype Corsiva" w:hAnsi="Monotype Corsiva"/>
        <w:b/>
        <w:bCs/>
      </w:rPr>
      <w:t xml:space="preserve"> aux nouvelles normes de solvabilité</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51" w:rsidRDefault="00D8495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4FD" w:rsidRDefault="00FA44FD" w:rsidP="00507EFC">
      <w:pPr>
        <w:spacing w:after="0" w:line="240" w:lineRule="auto"/>
      </w:pPr>
      <w:r>
        <w:separator/>
      </w:r>
    </w:p>
  </w:footnote>
  <w:footnote w:type="continuationSeparator" w:id="1">
    <w:p w:rsidR="00FA44FD" w:rsidRDefault="00FA44FD" w:rsidP="00507EFC">
      <w:pPr>
        <w:spacing w:after="0" w:line="240" w:lineRule="auto"/>
      </w:pPr>
      <w:r>
        <w:continuationSeparator/>
      </w:r>
    </w:p>
  </w:footnote>
  <w:footnote w:id="2">
    <w:p w:rsidR="00CD7EEF" w:rsidRDefault="00CD7EEF">
      <w:pPr>
        <w:pStyle w:val="Notedebasdepage"/>
      </w:pPr>
      <w:r>
        <w:rPr>
          <w:rStyle w:val="Appelnotedebasdep"/>
        </w:rPr>
        <w:footnoteRef/>
      </w:r>
      <w:r>
        <w:t xml:space="preserve"> </w:t>
      </w:r>
      <w:r w:rsidRPr="00503165">
        <w:rPr>
          <w:rFonts w:asciiTheme="majorBidi" w:hAnsiTheme="majorBidi" w:cstheme="majorBidi"/>
        </w:rPr>
        <w:t xml:space="preserve">Mohammed KANNOU, </w:t>
      </w:r>
      <w:r w:rsidRPr="00503165">
        <w:rPr>
          <w:rFonts w:asciiTheme="majorBidi" w:hAnsiTheme="majorBidi" w:cstheme="majorBidi"/>
          <w:u w:val="single"/>
        </w:rPr>
        <w:t>SOLVABILITE ET MARGE DE SOLVABILITE</w:t>
      </w:r>
      <w:r w:rsidRPr="00503165">
        <w:rPr>
          <w:rFonts w:asciiTheme="majorBidi" w:hAnsiTheme="majorBidi" w:cstheme="majorBidi"/>
        </w:rPr>
        <w:t>, gestion et finance, africa-re, Casablanca, volume 021, juin 2007, p39.</w:t>
      </w:r>
    </w:p>
  </w:footnote>
  <w:footnote w:id="3">
    <w:p w:rsidR="002C373E" w:rsidRDefault="002C373E">
      <w:pPr>
        <w:pStyle w:val="Notedebasdepage"/>
      </w:pPr>
      <w:r w:rsidRPr="002C373E">
        <w:rPr>
          <w:rStyle w:val="Appelnotedebasdep"/>
        </w:rPr>
        <w:sym w:font="Symbol" w:char="F02A"/>
      </w:r>
      <w:r>
        <w:t xml:space="preserve"> </w:t>
      </w:r>
      <w:r w:rsidR="0076679D" w:rsidRPr="009478FD">
        <w:rPr>
          <w:rFonts w:asciiTheme="majorBidi" w:hAnsiTheme="majorBidi" w:cstheme="majorBidi"/>
        </w:rPr>
        <w:t>La marge de solvabilité sera pré</w:t>
      </w:r>
      <w:r w:rsidR="0076679D">
        <w:rPr>
          <w:rFonts w:asciiTheme="majorBidi" w:hAnsiTheme="majorBidi" w:cstheme="majorBidi"/>
        </w:rPr>
        <w:t>sentée en détail ultérieurement.</w:t>
      </w:r>
    </w:p>
  </w:footnote>
  <w:footnote w:id="4">
    <w:p w:rsidR="0076679D" w:rsidRDefault="0076679D">
      <w:pPr>
        <w:pStyle w:val="Notedebasdepage"/>
      </w:pPr>
      <w:r w:rsidRPr="0076679D">
        <w:rPr>
          <w:rStyle w:val="Appelnotedebasdep"/>
        </w:rPr>
        <w:sym w:font="Symbol" w:char="F02A"/>
      </w:r>
      <w:r>
        <w:t xml:space="preserve"> </w:t>
      </w:r>
      <w:r>
        <w:rPr>
          <w:rFonts w:asciiTheme="majorBidi" w:hAnsiTheme="majorBidi" w:cstheme="majorBidi"/>
        </w:rPr>
        <w:t>Dettes techniques sont</w:t>
      </w:r>
      <w:r w:rsidRPr="005A39BB">
        <w:rPr>
          <w:rFonts w:asciiTheme="majorBidi" w:hAnsiTheme="majorBidi" w:cstheme="majorBidi"/>
        </w:rPr>
        <w:t xml:space="preserve"> l’équivalent des provisions techniques</w:t>
      </w:r>
    </w:p>
  </w:footnote>
  <w:footnote w:id="5">
    <w:p w:rsidR="00CD7EEF" w:rsidRPr="00725F06" w:rsidRDefault="00CD7EEF" w:rsidP="00725F06">
      <w:pPr>
        <w:autoSpaceDE w:val="0"/>
        <w:autoSpaceDN w:val="0"/>
        <w:adjustRightInd w:val="0"/>
        <w:spacing w:after="0" w:line="240" w:lineRule="auto"/>
        <w:rPr>
          <w:rFonts w:asciiTheme="majorBidi" w:hAnsiTheme="majorBidi" w:cstheme="majorBidi"/>
          <w:sz w:val="20"/>
          <w:szCs w:val="20"/>
        </w:rPr>
      </w:pPr>
      <w:r>
        <w:rPr>
          <w:rStyle w:val="Appelnotedebasdep"/>
        </w:rPr>
        <w:footnoteRef/>
      </w:r>
      <w:r>
        <w:t xml:space="preserve"> </w:t>
      </w:r>
      <w:r w:rsidRPr="00725F06">
        <w:rPr>
          <w:rFonts w:asciiTheme="majorBidi" w:hAnsiTheme="majorBidi" w:cstheme="majorBidi"/>
          <w:sz w:val="20"/>
          <w:szCs w:val="20"/>
        </w:rPr>
        <w:t>Article 58 (Modifié par l'article 1 de la</w:t>
      </w:r>
      <w:r>
        <w:rPr>
          <w:rFonts w:asciiTheme="majorBidi" w:hAnsiTheme="majorBidi" w:cstheme="majorBidi"/>
          <w:sz w:val="20"/>
          <w:szCs w:val="20"/>
        </w:rPr>
        <w:t xml:space="preserve"> loi n° 2002-37 du </w:t>
      </w:r>
      <w:r w:rsidRPr="00725F06">
        <w:rPr>
          <w:rFonts w:asciiTheme="majorBidi" w:hAnsiTheme="majorBidi" w:cstheme="majorBidi"/>
          <w:sz w:val="20"/>
          <w:szCs w:val="20"/>
        </w:rPr>
        <w:t>1 avril 2002)</w:t>
      </w:r>
      <w:r>
        <w:rPr>
          <w:rFonts w:asciiTheme="majorBidi" w:hAnsiTheme="majorBidi" w:cstheme="majorBidi"/>
          <w:sz w:val="20"/>
          <w:szCs w:val="20"/>
        </w:rPr>
        <w:t>, code des assurances tunisien.</w:t>
      </w:r>
    </w:p>
  </w:footnote>
  <w:footnote w:id="6">
    <w:p w:rsidR="00CD7EEF" w:rsidRDefault="00CD7EEF" w:rsidP="008D7BF5">
      <w:pPr>
        <w:pStyle w:val="Notedebasdepage"/>
      </w:pPr>
      <w:r>
        <w:rPr>
          <w:rStyle w:val="Appelnotedebasdep"/>
        </w:rPr>
        <w:footnoteRef/>
      </w:r>
      <w:r>
        <w:t xml:space="preserve"> </w:t>
      </w:r>
      <w:r w:rsidRPr="008D7BF5">
        <w:rPr>
          <w:rFonts w:asciiTheme="majorBidi" w:hAnsiTheme="majorBidi" w:cstheme="majorBidi"/>
        </w:rPr>
        <w:t>Article 58 bis (Ajouté par l'article 3 de la loi n°2002-37 du 1 avril 2002), code des assurances tunisien</w:t>
      </w:r>
    </w:p>
  </w:footnote>
  <w:footnote w:id="7">
    <w:p w:rsidR="00CD7EEF" w:rsidRDefault="00CD7EEF">
      <w:pPr>
        <w:pStyle w:val="Notedebasdepage"/>
      </w:pPr>
      <w:r>
        <w:rPr>
          <w:rStyle w:val="Appelnotedebasdep"/>
        </w:rPr>
        <w:footnoteRef/>
      </w:r>
      <w:r>
        <w:t xml:space="preserve"> </w:t>
      </w:r>
      <w:r w:rsidRPr="002E3FBE">
        <w:rPr>
          <w:rFonts w:asciiTheme="majorBidi" w:hAnsiTheme="majorBidi" w:cstheme="majorBidi"/>
        </w:rPr>
        <w:t xml:space="preserve">Décret exécutif n° 95-343 du 30 octobre 1995 relatif à la marge de solvabilité des sociétés d'assurances. </w:t>
      </w:r>
      <w:r>
        <w:rPr>
          <w:rFonts w:asciiTheme="majorBidi" w:hAnsiTheme="majorBidi" w:cstheme="majorBidi"/>
        </w:rPr>
        <w:t>(J.O. n° 65 du 31 octobre 1995), art N°3.</w:t>
      </w:r>
    </w:p>
  </w:footnote>
  <w:footnote w:id="8">
    <w:p w:rsidR="00CD7EEF" w:rsidRPr="00173B2D" w:rsidRDefault="00CD7EEF" w:rsidP="009743D8">
      <w:pPr>
        <w:pStyle w:val="Notedebasdepage"/>
        <w:rPr>
          <w:rFonts w:asciiTheme="majorBidi" w:hAnsiTheme="majorBidi" w:cstheme="majorBidi"/>
        </w:rPr>
      </w:pPr>
      <w:r>
        <w:rPr>
          <w:rStyle w:val="Appelnotedebasdep"/>
        </w:rPr>
        <w:footnoteRef/>
      </w:r>
      <w:r>
        <w:t xml:space="preserve"> </w:t>
      </w:r>
      <w:r w:rsidRPr="00173B2D">
        <w:rPr>
          <w:rFonts w:asciiTheme="majorBidi" w:hAnsiTheme="majorBidi" w:cstheme="majorBidi"/>
        </w:rPr>
        <w:t xml:space="preserve">OCDE, </w:t>
      </w:r>
      <w:r w:rsidRPr="00173B2D">
        <w:rPr>
          <w:rFonts w:asciiTheme="majorBidi" w:hAnsiTheme="majorBidi" w:cstheme="majorBidi"/>
          <w:u w:val="single"/>
        </w:rPr>
        <w:t>le contrôle de la solvabilité des compagnies d’assurances</w:t>
      </w:r>
      <w:r w:rsidRPr="00173B2D">
        <w:rPr>
          <w:rFonts w:asciiTheme="majorBidi" w:hAnsiTheme="majorBidi" w:cstheme="majorBidi"/>
        </w:rPr>
        <w:t>, 2002, P7</w:t>
      </w:r>
    </w:p>
  </w:footnote>
  <w:footnote w:id="9">
    <w:p w:rsidR="00CD7EEF" w:rsidRPr="00BD162B" w:rsidRDefault="00CD7EEF" w:rsidP="009743D8">
      <w:pPr>
        <w:autoSpaceDE w:val="0"/>
        <w:autoSpaceDN w:val="0"/>
        <w:adjustRightInd w:val="0"/>
        <w:spacing w:after="0" w:line="240" w:lineRule="auto"/>
        <w:rPr>
          <w:rFonts w:ascii="TimesNewRoman,Bold" w:hAnsi="TimesNewRoman,Bold" w:cs="TimesNewRoman,Bold"/>
          <w:b/>
          <w:bCs/>
          <w:sz w:val="63"/>
          <w:szCs w:val="63"/>
        </w:rPr>
      </w:pPr>
      <w:r w:rsidRPr="00173B2D">
        <w:rPr>
          <w:rStyle w:val="Appelnotedebasdep"/>
          <w:sz w:val="20"/>
          <w:szCs w:val="20"/>
        </w:rPr>
        <w:footnoteRef/>
      </w:r>
      <w:r w:rsidRPr="00173B2D">
        <w:rPr>
          <w:rFonts w:asciiTheme="majorBidi" w:hAnsiTheme="majorBidi" w:cstheme="majorBidi"/>
          <w:sz w:val="20"/>
          <w:szCs w:val="20"/>
        </w:rPr>
        <w:t xml:space="preserve">  Pierre THEROND, </w:t>
      </w:r>
      <w:r w:rsidRPr="00173B2D">
        <w:rPr>
          <w:rFonts w:asciiTheme="majorBidi" w:hAnsiTheme="majorBidi" w:cstheme="majorBidi"/>
          <w:sz w:val="20"/>
          <w:szCs w:val="20"/>
          <w:u w:val="single"/>
        </w:rPr>
        <w:t>Contrôle de la solvabilité des compagnies d’assurance : évolutions récentes,</w:t>
      </w:r>
      <w:r w:rsidRPr="00173B2D">
        <w:rPr>
          <w:rFonts w:asciiTheme="majorBidi" w:hAnsiTheme="majorBidi" w:cstheme="majorBidi"/>
          <w:sz w:val="20"/>
          <w:szCs w:val="20"/>
        </w:rPr>
        <w:t xml:space="preserve">  Séminaire « Gestion des risques » - DIAF, Hanoi, le 28 février 2005, p8-9.</w:t>
      </w:r>
    </w:p>
  </w:footnote>
  <w:footnote w:id="10">
    <w:p w:rsidR="00CD7EEF" w:rsidRDefault="00CD7EEF" w:rsidP="00487F34">
      <w:pPr>
        <w:pStyle w:val="Notedebasdepage"/>
      </w:pPr>
      <w:r>
        <w:rPr>
          <w:rStyle w:val="Appelnotedebasdep"/>
        </w:rPr>
        <w:footnoteRef/>
      </w:r>
      <w:r>
        <w:t xml:space="preserve"> </w:t>
      </w:r>
      <w:r w:rsidRPr="00487F34">
        <w:t>Michel Dacorogna – Vice-CRO Groupe</w:t>
      </w:r>
      <w:r>
        <w:t xml:space="preserve">, </w:t>
      </w:r>
      <w:r w:rsidRPr="00487F34">
        <w:rPr>
          <w:u w:val="single"/>
        </w:rPr>
        <w:t>Solvabilité II: Une réglementation basée sur une évaluation du risque pour les entreprises d’assurance et de réassurance</w:t>
      </w:r>
      <w:r>
        <w:t xml:space="preserve">, Campus SCOR , Paris (France), </w:t>
      </w:r>
      <w:r w:rsidRPr="00487F34">
        <w:t xml:space="preserve"> 6 octobre 2011</w:t>
      </w:r>
      <w:r>
        <w:t>, p4.</w:t>
      </w:r>
    </w:p>
  </w:footnote>
  <w:footnote w:id="11">
    <w:p w:rsidR="00CD7EEF" w:rsidRDefault="00CD7EEF">
      <w:pPr>
        <w:pStyle w:val="Notedebasdepage"/>
      </w:pPr>
      <w:r>
        <w:rPr>
          <w:rStyle w:val="Appelnotedebasdep"/>
        </w:rPr>
        <w:footnoteRef/>
      </w:r>
      <w:r>
        <w:t xml:space="preserve"> Marc AZOUZ, </w:t>
      </w:r>
      <w:r w:rsidRPr="00E004CB">
        <w:rPr>
          <w:u w:val="single"/>
        </w:rPr>
        <w:t>transférer les risques de la banque à l’assurance</w:t>
      </w:r>
      <w:r>
        <w:t xml:space="preserve">,  la tribune de l’assurance N°138, Juillet- aout 2009, P59. </w:t>
      </w:r>
    </w:p>
  </w:footnote>
  <w:footnote w:id="12">
    <w:p w:rsidR="00857D64" w:rsidRDefault="00857D64">
      <w:pPr>
        <w:pStyle w:val="Notedebasdepage"/>
      </w:pPr>
      <w:r w:rsidRPr="00857D64">
        <w:rPr>
          <w:rStyle w:val="Appelnotedebasdep"/>
        </w:rPr>
        <w:sym w:font="Symbol" w:char="F02A"/>
      </w:r>
      <w:r w:rsidRPr="00857D64">
        <w:rPr>
          <w:lang w:val="en-US"/>
        </w:rPr>
        <w:t xml:space="preserve"> </w:t>
      </w:r>
      <w:r w:rsidRPr="00186C9E">
        <w:rPr>
          <w:rFonts w:ascii="TimesNewRoman" w:hAnsi="TimesNewRoman" w:cs="TimesNewRoman"/>
          <w:u w:val="single"/>
          <w:lang w:val="en-US"/>
        </w:rPr>
        <w:t>USGAAP</w:t>
      </w:r>
      <w:r>
        <w:rPr>
          <w:rFonts w:ascii="TimesNewRoman" w:hAnsi="TimesNewRoman" w:cs="TimesNewRoman"/>
          <w:lang w:val="en-US"/>
        </w:rPr>
        <w:t xml:space="preserve">: </w:t>
      </w:r>
      <w:r w:rsidRPr="00290269">
        <w:rPr>
          <w:rFonts w:ascii="TimesNewRoman" w:hAnsi="TimesNewRoman" w:cs="TimesNewRoman"/>
          <w:lang w:val="en-US"/>
        </w:rPr>
        <w:t xml:space="preserve"> United States - Generally</w:t>
      </w:r>
      <w:r>
        <w:rPr>
          <w:rFonts w:ascii="TimesNewRoman" w:hAnsi="TimesNewRoman" w:cs="TimesNewRoman"/>
          <w:lang w:val="en-US"/>
        </w:rPr>
        <w:t xml:space="preserve"> Accepted Accounting Principles: </w:t>
      </w:r>
      <w:r w:rsidRPr="00290269">
        <w:rPr>
          <w:rFonts w:ascii="TimesNewRoman" w:hAnsi="TimesNewRoman" w:cs="TimesNewRoman"/>
          <w:lang w:val="en-US"/>
        </w:rPr>
        <w:t xml:space="preserve"> </w:t>
      </w:r>
      <w:r w:rsidRPr="00186C9E">
        <w:rPr>
          <w:rFonts w:ascii="TimesNewRoman" w:hAnsi="TimesNewRoman" w:cs="TimesNewRoman"/>
          <w:lang w:val="en-US"/>
        </w:rPr>
        <w:t>No</w:t>
      </w:r>
      <w:r>
        <w:rPr>
          <w:rFonts w:ascii="TimesNewRoman" w:hAnsi="TimesNewRoman" w:cs="TimesNewRoman"/>
          <w:lang w:val="en-US"/>
        </w:rPr>
        <w:t>r</w:t>
      </w:r>
      <w:r w:rsidRPr="00186C9E">
        <w:rPr>
          <w:rFonts w:ascii="TimesNewRoman" w:hAnsi="TimesNewRoman" w:cs="TimesNewRoman"/>
          <w:lang w:val="en-US"/>
        </w:rPr>
        <w:t xml:space="preserve">rmes comptables américaines. </w:t>
      </w:r>
      <w:r>
        <w:rPr>
          <w:rFonts w:ascii="TimesNewRoman" w:hAnsi="TimesNewRoman" w:cs="TimesNewRoman"/>
        </w:rPr>
        <w:t>Compte tenu de l'ampleur du marché financier américain et de l'implantation des firmes transnationales dans le monde, les normes US GAAP constituent une référence au niveau international.</w:t>
      </w:r>
    </w:p>
  </w:footnote>
  <w:footnote w:id="13">
    <w:p w:rsidR="00B1156F" w:rsidRDefault="00B1156F">
      <w:pPr>
        <w:pStyle w:val="Notedebasdepage"/>
      </w:pPr>
      <w:r w:rsidRPr="00B1156F">
        <w:rPr>
          <w:rStyle w:val="Appelnotedebasdep"/>
        </w:rPr>
        <w:sym w:font="Symbol" w:char="F02A"/>
      </w:r>
      <w:r w:rsidRPr="00B1156F">
        <w:rPr>
          <w:rStyle w:val="Appelnotedebasdep"/>
        </w:rPr>
        <w:sym w:font="Symbol" w:char="F02A"/>
      </w:r>
      <w:r>
        <w:t xml:space="preserve"> </w:t>
      </w:r>
      <w:r w:rsidRPr="00186C9E">
        <w:rPr>
          <w:rFonts w:ascii="TimesNewRoman" w:hAnsi="TimesNewRoman" w:cs="TimesNewRoman"/>
          <w:u w:val="single"/>
        </w:rPr>
        <w:t>IAS/IFRS</w:t>
      </w:r>
      <w:r>
        <w:rPr>
          <w:rFonts w:ascii="TimesNewRoman" w:hAnsi="TimesNewRoman" w:cs="TimesNewRoman"/>
        </w:rPr>
        <w:t> :</w:t>
      </w:r>
      <w:r w:rsidRPr="00186C9E">
        <w:rPr>
          <w:b/>
          <w:bCs/>
          <w:i/>
          <w:iCs/>
        </w:rPr>
        <w:t xml:space="preserve"> </w:t>
      </w:r>
      <w:r w:rsidRPr="00186C9E">
        <w:rPr>
          <w:rFonts w:ascii="TimesNewRoman" w:hAnsi="TimesNewRoman" w:cs="TimesNewRoman"/>
          <w:b/>
          <w:bCs/>
          <w:i/>
          <w:iCs/>
        </w:rPr>
        <w:t>International Financial Reporting Standards</w:t>
      </w:r>
      <w:r w:rsidRPr="00186C9E">
        <w:rPr>
          <w:rFonts w:ascii="TimesNewRoman" w:hAnsi="TimesNewRoman" w:cs="TimesNewRoman"/>
        </w:rPr>
        <w:t xml:space="preserve"> ou </w:t>
      </w:r>
      <w:r w:rsidRPr="00186C9E">
        <w:rPr>
          <w:rFonts w:ascii="TimesNewRoman" w:hAnsi="TimesNewRoman" w:cs="TimesNewRoman"/>
          <w:b/>
          <w:bCs/>
        </w:rPr>
        <w:t>IFRS</w:t>
      </w:r>
      <w:r w:rsidRPr="00186C9E">
        <w:rPr>
          <w:rFonts w:ascii="TimesNewRoman" w:hAnsi="TimesNewRoman" w:cs="TimesNewRoman"/>
        </w:rPr>
        <w:t xml:space="preserve"> sont des </w:t>
      </w:r>
      <w:hyperlink r:id="rId1" w:tooltip="Norme" w:history="1">
        <w:r w:rsidRPr="00186C9E">
          <w:rPr>
            <w:rStyle w:val="Lienhypertexte"/>
            <w:rFonts w:ascii="TimesNewRoman" w:hAnsi="TimesNewRoman" w:cs="TimesNewRoman"/>
            <w:color w:val="auto"/>
            <w:u w:val="none"/>
          </w:rPr>
          <w:t>normes</w:t>
        </w:r>
      </w:hyperlink>
      <w:r w:rsidRPr="00186C9E">
        <w:rPr>
          <w:rFonts w:ascii="TimesNewRoman" w:hAnsi="TimesNewRoman" w:cs="TimesNewRoman"/>
        </w:rPr>
        <w:t xml:space="preserve"> </w:t>
      </w:r>
      <w:hyperlink r:id="rId2" w:tooltip="Comptabilité" w:history="1">
        <w:r w:rsidRPr="00186C9E">
          <w:rPr>
            <w:rStyle w:val="Lienhypertexte"/>
            <w:rFonts w:ascii="TimesNewRoman" w:hAnsi="TimesNewRoman" w:cs="TimesNewRoman"/>
            <w:color w:val="auto"/>
            <w:u w:val="none"/>
          </w:rPr>
          <w:t>comptables</w:t>
        </w:r>
      </w:hyperlink>
      <w:r w:rsidRPr="00186C9E">
        <w:rPr>
          <w:rFonts w:ascii="TimesNewRoman" w:hAnsi="TimesNewRoman" w:cs="TimesNewRoman"/>
        </w:rPr>
        <w:t xml:space="preserve">, élaborées par le </w:t>
      </w:r>
      <w:hyperlink r:id="rId3" w:tooltip="International Accounting Standards Board" w:history="1">
        <w:r w:rsidRPr="00186C9E">
          <w:rPr>
            <w:rStyle w:val="Lienhypertexte"/>
            <w:rFonts w:ascii="TimesNewRoman" w:hAnsi="TimesNewRoman" w:cs="TimesNewRoman"/>
            <w:color w:val="auto"/>
            <w:u w:val="none"/>
          </w:rPr>
          <w:t>Bureau des standards comptables internationaux</w:t>
        </w:r>
      </w:hyperlink>
      <w:r w:rsidRPr="00186C9E">
        <w:rPr>
          <w:rFonts w:ascii="TimesNewRoman" w:hAnsi="TimesNewRoman" w:cs="TimesNewRoman"/>
        </w:rPr>
        <w:t xml:space="preserve"> (</w:t>
      </w:r>
      <w:hyperlink r:id="rId4" w:tooltip="International Accounting Standards Board" w:history="1">
        <w:r w:rsidRPr="00186C9E">
          <w:rPr>
            <w:rStyle w:val="Lienhypertexte"/>
            <w:rFonts w:ascii="TimesNewRoman" w:hAnsi="TimesNewRoman" w:cs="TimesNewRoman"/>
            <w:color w:val="auto"/>
            <w:u w:val="none"/>
          </w:rPr>
          <w:t>International Accounting Standards Board</w:t>
        </w:r>
      </w:hyperlink>
      <w:r w:rsidRPr="00186C9E">
        <w:rPr>
          <w:rFonts w:ascii="TimesNewRoman" w:hAnsi="TimesNewRoman" w:cs="TimesNewRoman"/>
        </w:rPr>
        <w:t xml:space="preserve"> ou </w:t>
      </w:r>
      <w:hyperlink r:id="rId5" w:tooltip="International Accounting Standards Board" w:history="1">
        <w:r w:rsidRPr="00186C9E">
          <w:rPr>
            <w:rStyle w:val="Lienhypertexte"/>
            <w:rFonts w:ascii="TimesNewRoman" w:hAnsi="TimesNewRoman" w:cs="TimesNewRoman"/>
            <w:color w:val="auto"/>
            <w:u w:val="none"/>
          </w:rPr>
          <w:t>IASB</w:t>
        </w:r>
      </w:hyperlink>
      <w:r w:rsidRPr="00186C9E">
        <w:rPr>
          <w:rFonts w:ascii="TimesNewRoman" w:hAnsi="TimesNewRoman" w:cs="TimesNewRoman"/>
        </w:rPr>
        <w:t xml:space="preserve"> en anglais) destinées aux entreprises cotées ou faisant appel à des investisseurs afin d’harmoniser la présentation et la clarté de leurs </w:t>
      </w:r>
      <w:hyperlink r:id="rId6" w:tooltip="États &#10;financiers" w:history="1">
        <w:r w:rsidRPr="00186C9E">
          <w:rPr>
            <w:rStyle w:val="Lienhypertexte"/>
            <w:rFonts w:ascii="TimesNewRoman" w:hAnsi="TimesNewRoman" w:cs="TimesNewRoman"/>
            <w:color w:val="auto"/>
            <w:u w:val="none"/>
          </w:rPr>
          <w:t>états financiers</w:t>
        </w:r>
      </w:hyperlink>
      <w:r w:rsidRPr="00186C9E">
        <w:rPr>
          <w:rFonts w:ascii="TimesNewRoman" w:hAnsi="TimesNewRoman" w:cs="TimesNewRoman"/>
        </w:rPr>
        <w:t>.</w:t>
      </w:r>
    </w:p>
  </w:footnote>
  <w:footnote w:id="14">
    <w:p w:rsidR="00CD7EEF" w:rsidRPr="008975ED" w:rsidRDefault="00CD7EEF" w:rsidP="008975ED">
      <w:pPr>
        <w:pStyle w:val="Notedebasdepage"/>
        <w:rPr>
          <w:b/>
          <w:bCs/>
          <w:u w:val="single"/>
        </w:rPr>
      </w:pPr>
      <w:r>
        <w:rPr>
          <w:rStyle w:val="Appelnotedebasdep"/>
        </w:rPr>
        <w:footnoteRef/>
      </w:r>
      <w:r>
        <w:t xml:space="preserve"> </w:t>
      </w:r>
      <w:r w:rsidRPr="008975ED">
        <w:rPr>
          <w:rFonts w:asciiTheme="majorBidi" w:hAnsiTheme="majorBidi" w:cstheme="majorBidi"/>
        </w:rPr>
        <w:t xml:space="preserve">Francine Morelli, Jacques Cornic, Pascal Meslin, Viviane Leflaive, </w:t>
      </w:r>
      <w:r w:rsidRPr="008975ED">
        <w:rPr>
          <w:rFonts w:asciiTheme="majorBidi" w:hAnsiTheme="majorBidi" w:cstheme="majorBidi"/>
          <w:u w:val="single"/>
        </w:rPr>
        <w:t>Solvabilité II : Vers une approche globale et cohérente de la solvabilité</w:t>
      </w:r>
      <w:r w:rsidRPr="008975ED">
        <w:rPr>
          <w:rFonts w:asciiTheme="majorBidi" w:hAnsiTheme="majorBidi" w:cstheme="majorBidi"/>
        </w:rPr>
        <w:t>, cabinet français membre de KPMG International, 2006, p3.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51" w:rsidRDefault="00D8495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6928"/>
      <w:docPartObj>
        <w:docPartGallery w:val="Page Numbers (Top of Page)"/>
        <w:docPartUnique/>
      </w:docPartObj>
    </w:sdtPr>
    <w:sdtContent>
      <w:p w:rsidR="00CD7EEF" w:rsidRPr="008C6D5D" w:rsidRDefault="009747FD" w:rsidP="008C6D5D">
        <w:pPr>
          <w:pStyle w:val="En-tte"/>
          <w:rPr>
            <w:rFonts w:ascii="Monotype Corsiva" w:hAnsi="Monotype Corsiva"/>
            <w:b/>
            <w:bCs/>
            <w:sz w:val="28"/>
            <w:szCs w:val="28"/>
          </w:rPr>
        </w:pPr>
        <w:r>
          <w:rPr>
            <w:rFonts w:ascii="Monotype Corsiva" w:hAnsi="Monotype Corsiva"/>
            <w:b/>
            <w:bCs/>
            <w:noProof/>
            <w:sz w:val="28"/>
            <w:szCs w:val="28"/>
          </w:rPr>
          <w:pict>
            <v:shapetype id="_x0000_t32" coordsize="21600,21600" o:spt="32" o:oned="t" path="m,l21600,21600e" filled="f">
              <v:path arrowok="t" fillok="f" o:connecttype="none"/>
              <o:lock v:ext="edit" shapetype="t"/>
            </v:shapetype>
            <v:shape id="_x0000_s6147" type="#_x0000_t32" style="position:absolute;margin-left:4.55pt;margin-top:19.6pt;width:450.35pt;height:0;z-index:251660288;mso-position-horizontal-relative:text;mso-position-vertical-relative:text" o:connectortype="straight" strokecolor="black [3213]" strokeweight="2.25pt"/>
          </w:pict>
        </w:r>
        <w:r w:rsidR="00CD7EEF">
          <w:rPr>
            <w:rFonts w:ascii="Monotype Corsiva" w:hAnsi="Monotype Corsiva"/>
            <w:b/>
            <w:bCs/>
            <w:sz w:val="28"/>
            <w:szCs w:val="28"/>
          </w:rPr>
          <w:t>Chapitre I: L</w:t>
        </w:r>
        <w:r w:rsidR="00CD7EEF" w:rsidRPr="0035244A">
          <w:rPr>
            <w:rFonts w:ascii="Monotype Corsiva" w:hAnsi="Monotype Corsiva"/>
            <w:b/>
            <w:bCs/>
            <w:sz w:val="28"/>
            <w:szCs w:val="28"/>
          </w:rPr>
          <w:t>e contexte actuel de</w:t>
        </w:r>
        <w:r w:rsidR="00CD7EEF">
          <w:rPr>
            <w:rFonts w:ascii="Monotype Corsiva" w:hAnsi="Monotype Corsiva"/>
            <w:b/>
            <w:bCs/>
            <w:sz w:val="28"/>
            <w:szCs w:val="28"/>
          </w:rPr>
          <w:t xml:space="preserve"> la</w:t>
        </w:r>
        <w:r w:rsidR="00CD7EEF" w:rsidRPr="0035244A">
          <w:rPr>
            <w:rFonts w:ascii="Monotype Corsiva" w:hAnsi="Monotype Corsiva"/>
            <w:b/>
            <w:bCs/>
            <w:sz w:val="28"/>
            <w:szCs w:val="28"/>
          </w:rPr>
          <w:t xml:space="preserve"> solvabilité SOLVENCY I</w:t>
        </w:r>
        <w:r w:rsidR="00CD7EEF">
          <w:rPr>
            <w:rFonts w:ascii="Monotype Corsiva" w:hAnsi="Monotype Corsiva"/>
            <w:b/>
            <w:bCs/>
            <w:sz w:val="28"/>
            <w:szCs w:val="28"/>
          </w:rPr>
          <w:t xml:space="preserve">                                           </w:t>
        </w:r>
        <w:r w:rsidR="00CD7EEF" w:rsidRPr="008C6D5D">
          <w:rPr>
            <w:rFonts w:ascii="Monotype Corsiva" w:hAnsi="Monotype Corsiva"/>
            <w:b/>
            <w:bCs/>
            <w:sz w:val="28"/>
            <w:szCs w:val="28"/>
          </w:rPr>
          <w:t xml:space="preserve"> </w:t>
        </w:r>
        <w:r w:rsidRPr="008C6D5D">
          <w:rPr>
            <w:rFonts w:ascii="Monotype Corsiva" w:hAnsi="Monotype Corsiva"/>
            <w:sz w:val="28"/>
            <w:szCs w:val="28"/>
          </w:rPr>
          <w:fldChar w:fldCharType="begin"/>
        </w:r>
        <w:r w:rsidR="00CD7EEF" w:rsidRPr="008C6D5D">
          <w:rPr>
            <w:rFonts w:ascii="Monotype Corsiva" w:hAnsi="Monotype Corsiva"/>
            <w:sz w:val="28"/>
            <w:szCs w:val="28"/>
          </w:rPr>
          <w:instrText xml:space="preserve"> PAGE   \* MERGEFORMAT </w:instrText>
        </w:r>
        <w:r w:rsidRPr="008C6D5D">
          <w:rPr>
            <w:rFonts w:ascii="Monotype Corsiva" w:hAnsi="Monotype Corsiva"/>
            <w:sz w:val="28"/>
            <w:szCs w:val="28"/>
          </w:rPr>
          <w:fldChar w:fldCharType="separate"/>
        </w:r>
        <w:r w:rsidR="00C74408">
          <w:rPr>
            <w:rFonts w:ascii="Monotype Corsiva" w:hAnsi="Monotype Corsiva"/>
            <w:noProof/>
            <w:sz w:val="28"/>
            <w:szCs w:val="28"/>
          </w:rPr>
          <w:t>25</w:t>
        </w:r>
        <w:r w:rsidRPr="008C6D5D">
          <w:rPr>
            <w:rFonts w:ascii="Monotype Corsiva" w:hAnsi="Monotype Corsiva"/>
            <w:sz w:val="28"/>
            <w:szCs w:val="28"/>
          </w:rPr>
          <w:fldChar w:fldCharType="end"/>
        </w:r>
      </w:p>
    </w:sdtContent>
  </w:sdt>
  <w:p w:rsidR="00CD7EEF" w:rsidRPr="008C6D5D" w:rsidRDefault="00CD7EEF" w:rsidP="008C6D5D">
    <w:pPr>
      <w:pStyle w:val="En-tte"/>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51" w:rsidRDefault="00D8495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DF3"/>
    <w:multiLevelType w:val="hybridMultilevel"/>
    <w:tmpl w:val="425EA5E2"/>
    <w:lvl w:ilvl="0" w:tplc="4D52BE34">
      <w:numFmt w:val="bullet"/>
      <w:lvlText w:val="•"/>
      <w:lvlJc w:val="left"/>
      <w:pPr>
        <w:ind w:left="720" w:hanging="360"/>
      </w:pPr>
      <w:rPr>
        <w:rFonts w:ascii="Times New Roman" w:eastAsiaTheme="minorEastAsia" w:hAnsi="Times New Roman" w:cs="Times New Roman" w:hint="default"/>
        <w:color w:val="3333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177245"/>
    <w:multiLevelType w:val="hybridMultilevel"/>
    <w:tmpl w:val="30E2D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E27560"/>
    <w:multiLevelType w:val="hybridMultilevel"/>
    <w:tmpl w:val="5F02359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1B0D8A"/>
    <w:multiLevelType w:val="hybridMultilevel"/>
    <w:tmpl w:val="E29048A6"/>
    <w:lvl w:ilvl="0" w:tplc="7E562D1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462D1D"/>
    <w:multiLevelType w:val="hybridMultilevel"/>
    <w:tmpl w:val="F39EB7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F61907"/>
    <w:multiLevelType w:val="hybridMultilevel"/>
    <w:tmpl w:val="B288A4E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6">
    <w:nsid w:val="42D8107C"/>
    <w:multiLevelType w:val="hybridMultilevel"/>
    <w:tmpl w:val="19924BBA"/>
    <w:lvl w:ilvl="0" w:tplc="040C000B">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7">
    <w:nsid w:val="44F10362"/>
    <w:multiLevelType w:val="hybridMultilevel"/>
    <w:tmpl w:val="EB18BAD2"/>
    <w:lvl w:ilvl="0" w:tplc="0E4CD034">
      <w:start w:val="1"/>
      <w:numFmt w:val="bullet"/>
      <w:lvlText w:val="-"/>
      <w:lvlJc w:val="left"/>
      <w:pPr>
        <w:ind w:left="720" w:hanging="360"/>
      </w:pPr>
      <w:rPr>
        <w:rFonts w:ascii="StoneSans" w:eastAsiaTheme="minorEastAsia" w:hAnsi="StoneSans" w:cs="Stone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1A6FC5"/>
    <w:multiLevelType w:val="hybridMultilevel"/>
    <w:tmpl w:val="FD86A972"/>
    <w:lvl w:ilvl="0" w:tplc="38269992">
      <w:numFmt w:val="bullet"/>
      <w:lvlText w:val="•"/>
      <w:lvlJc w:val="left"/>
      <w:pPr>
        <w:ind w:left="720" w:hanging="360"/>
      </w:pPr>
      <w:rPr>
        <w:rFonts w:ascii="Times New Roman" w:eastAsiaTheme="minorEastAsia" w:hAnsi="Times New Roman" w:cs="Times New Roman" w:hint="default"/>
        <w:color w:val="3333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F86E70"/>
    <w:multiLevelType w:val="hybridMultilevel"/>
    <w:tmpl w:val="D0423240"/>
    <w:lvl w:ilvl="0" w:tplc="0E4CD034">
      <w:start w:val="1"/>
      <w:numFmt w:val="bullet"/>
      <w:lvlText w:val="-"/>
      <w:lvlJc w:val="left"/>
      <w:pPr>
        <w:ind w:left="720" w:hanging="360"/>
      </w:pPr>
      <w:rPr>
        <w:rFonts w:ascii="StoneSans" w:eastAsiaTheme="minorEastAsia" w:hAnsi="StoneSans" w:cs="Stone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12C784F"/>
    <w:multiLevelType w:val="hybridMultilevel"/>
    <w:tmpl w:val="90E41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94F292B"/>
    <w:multiLevelType w:val="multilevel"/>
    <w:tmpl w:val="FBA6B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F04174C"/>
    <w:multiLevelType w:val="hybridMultilevel"/>
    <w:tmpl w:val="EF3A2CA6"/>
    <w:lvl w:ilvl="0" w:tplc="040C000B">
      <w:start w:val="1"/>
      <w:numFmt w:val="bullet"/>
      <w:lvlText w:val=""/>
      <w:lvlJc w:val="left"/>
      <w:pPr>
        <w:ind w:left="420" w:hanging="360"/>
      </w:pPr>
      <w:rPr>
        <w:rFonts w:ascii="Wingdings" w:hAnsi="Wingding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11"/>
  </w:num>
  <w:num w:numId="2">
    <w:abstractNumId w:val="12"/>
  </w:num>
  <w:num w:numId="3">
    <w:abstractNumId w:val="6"/>
  </w:num>
  <w:num w:numId="4">
    <w:abstractNumId w:val="5"/>
  </w:num>
  <w:num w:numId="5">
    <w:abstractNumId w:val="9"/>
  </w:num>
  <w:num w:numId="6">
    <w:abstractNumId w:val="3"/>
  </w:num>
  <w:num w:numId="7">
    <w:abstractNumId w:val="7"/>
  </w:num>
  <w:num w:numId="8">
    <w:abstractNumId w:val="8"/>
  </w:num>
  <w:num w:numId="9">
    <w:abstractNumId w:val="2"/>
  </w:num>
  <w:num w:numId="10">
    <w:abstractNumId w:val="0"/>
  </w:num>
  <w:num w:numId="11">
    <w:abstractNumId w:val="4"/>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6"/>
      <o:rules v:ext="edit">
        <o:r id="V:Rule2" type="connector" idref="#_x0000_s6147"/>
      </o:rules>
    </o:shapelayout>
  </w:hdrShapeDefaults>
  <w:footnotePr>
    <w:numRestart w:val="eachPage"/>
    <w:footnote w:id="0"/>
    <w:footnote w:id="1"/>
  </w:footnotePr>
  <w:endnotePr>
    <w:endnote w:id="0"/>
    <w:endnote w:id="1"/>
  </w:endnotePr>
  <w:compat>
    <w:useFELayout/>
  </w:compat>
  <w:rsids>
    <w:rsidRoot w:val="008753F6"/>
    <w:rsid w:val="000031F8"/>
    <w:rsid w:val="00016E1D"/>
    <w:rsid w:val="00027A00"/>
    <w:rsid w:val="000301C9"/>
    <w:rsid w:val="00052ACE"/>
    <w:rsid w:val="000655E6"/>
    <w:rsid w:val="00071494"/>
    <w:rsid w:val="0007373F"/>
    <w:rsid w:val="00081F21"/>
    <w:rsid w:val="000921D8"/>
    <w:rsid w:val="000924EE"/>
    <w:rsid w:val="00092E69"/>
    <w:rsid w:val="00097392"/>
    <w:rsid w:val="000A6EC3"/>
    <w:rsid w:val="000B1965"/>
    <w:rsid w:val="000D4E3B"/>
    <w:rsid w:val="00123681"/>
    <w:rsid w:val="00125A4B"/>
    <w:rsid w:val="0013296A"/>
    <w:rsid w:val="0014089C"/>
    <w:rsid w:val="001437E5"/>
    <w:rsid w:val="00151147"/>
    <w:rsid w:val="001617F6"/>
    <w:rsid w:val="00162F59"/>
    <w:rsid w:val="00163FC3"/>
    <w:rsid w:val="00166D06"/>
    <w:rsid w:val="00173B2D"/>
    <w:rsid w:val="00181C71"/>
    <w:rsid w:val="0018678A"/>
    <w:rsid w:val="00186C9E"/>
    <w:rsid w:val="00193384"/>
    <w:rsid w:val="001A1E31"/>
    <w:rsid w:val="001A6B62"/>
    <w:rsid w:val="001B3AB7"/>
    <w:rsid w:val="001C3E54"/>
    <w:rsid w:val="001C421B"/>
    <w:rsid w:val="001E435C"/>
    <w:rsid w:val="001F2B80"/>
    <w:rsid w:val="00216831"/>
    <w:rsid w:val="00220619"/>
    <w:rsid w:val="00222D71"/>
    <w:rsid w:val="002260A8"/>
    <w:rsid w:val="002329F5"/>
    <w:rsid w:val="0023668F"/>
    <w:rsid w:val="0024053B"/>
    <w:rsid w:val="0024522A"/>
    <w:rsid w:val="00273ADC"/>
    <w:rsid w:val="00276235"/>
    <w:rsid w:val="00290269"/>
    <w:rsid w:val="00290427"/>
    <w:rsid w:val="002A3A91"/>
    <w:rsid w:val="002A7830"/>
    <w:rsid w:val="002B674F"/>
    <w:rsid w:val="002C373E"/>
    <w:rsid w:val="002D70C2"/>
    <w:rsid w:val="002E0CF5"/>
    <w:rsid w:val="002E2DD8"/>
    <w:rsid w:val="002E3FBE"/>
    <w:rsid w:val="002E7D68"/>
    <w:rsid w:val="0030367A"/>
    <w:rsid w:val="00305BAC"/>
    <w:rsid w:val="00325224"/>
    <w:rsid w:val="00333D32"/>
    <w:rsid w:val="0035244A"/>
    <w:rsid w:val="00352843"/>
    <w:rsid w:val="003631C2"/>
    <w:rsid w:val="00383D7D"/>
    <w:rsid w:val="00385E8F"/>
    <w:rsid w:val="003A4397"/>
    <w:rsid w:val="003A441D"/>
    <w:rsid w:val="003C07A3"/>
    <w:rsid w:val="003C70FE"/>
    <w:rsid w:val="003D53B5"/>
    <w:rsid w:val="003D7FEC"/>
    <w:rsid w:val="003E4EF4"/>
    <w:rsid w:val="003F2DB5"/>
    <w:rsid w:val="00427A5F"/>
    <w:rsid w:val="00430B05"/>
    <w:rsid w:val="0045048E"/>
    <w:rsid w:val="00470504"/>
    <w:rsid w:val="00470F9C"/>
    <w:rsid w:val="00480723"/>
    <w:rsid w:val="0048355B"/>
    <w:rsid w:val="004853B1"/>
    <w:rsid w:val="00487F34"/>
    <w:rsid w:val="00493049"/>
    <w:rsid w:val="00494F6A"/>
    <w:rsid w:val="004957C2"/>
    <w:rsid w:val="004A0885"/>
    <w:rsid w:val="004A38C3"/>
    <w:rsid w:val="004A6D55"/>
    <w:rsid w:val="004B1158"/>
    <w:rsid w:val="004B194C"/>
    <w:rsid w:val="004B354A"/>
    <w:rsid w:val="004C12E5"/>
    <w:rsid w:val="004D6949"/>
    <w:rsid w:val="004D7C17"/>
    <w:rsid w:val="004F6C9F"/>
    <w:rsid w:val="00503165"/>
    <w:rsid w:val="00507EFC"/>
    <w:rsid w:val="005169EA"/>
    <w:rsid w:val="005176BC"/>
    <w:rsid w:val="00532945"/>
    <w:rsid w:val="00536949"/>
    <w:rsid w:val="00537C61"/>
    <w:rsid w:val="00544A9F"/>
    <w:rsid w:val="0054581A"/>
    <w:rsid w:val="00546D02"/>
    <w:rsid w:val="00561BDF"/>
    <w:rsid w:val="00566743"/>
    <w:rsid w:val="0057006E"/>
    <w:rsid w:val="00572C8C"/>
    <w:rsid w:val="00574B5A"/>
    <w:rsid w:val="00582219"/>
    <w:rsid w:val="005A31B4"/>
    <w:rsid w:val="005A39BB"/>
    <w:rsid w:val="005C1928"/>
    <w:rsid w:val="005C6EC0"/>
    <w:rsid w:val="005D36AF"/>
    <w:rsid w:val="005D387A"/>
    <w:rsid w:val="005D3EFB"/>
    <w:rsid w:val="005F412E"/>
    <w:rsid w:val="00612E65"/>
    <w:rsid w:val="0062119B"/>
    <w:rsid w:val="0062391E"/>
    <w:rsid w:val="00636458"/>
    <w:rsid w:val="0063657A"/>
    <w:rsid w:val="00637612"/>
    <w:rsid w:val="006511C7"/>
    <w:rsid w:val="00652FC2"/>
    <w:rsid w:val="006536C0"/>
    <w:rsid w:val="0068556B"/>
    <w:rsid w:val="00685C5E"/>
    <w:rsid w:val="006937FB"/>
    <w:rsid w:val="006C2A0C"/>
    <w:rsid w:val="006D2987"/>
    <w:rsid w:val="006F2B0E"/>
    <w:rsid w:val="006F498F"/>
    <w:rsid w:val="00703005"/>
    <w:rsid w:val="00706284"/>
    <w:rsid w:val="00713B49"/>
    <w:rsid w:val="00720325"/>
    <w:rsid w:val="00725F06"/>
    <w:rsid w:val="007423FE"/>
    <w:rsid w:val="007446A9"/>
    <w:rsid w:val="00752F9B"/>
    <w:rsid w:val="0076679D"/>
    <w:rsid w:val="00785188"/>
    <w:rsid w:val="00785A83"/>
    <w:rsid w:val="00785E1C"/>
    <w:rsid w:val="007A3D49"/>
    <w:rsid w:val="007A6E71"/>
    <w:rsid w:val="007B2B01"/>
    <w:rsid w:val="008009C7"/>
    <w:rsid w:val="0080413A"/>
    <w:rsid w:val="00817BB4"/>
    <w:rsid w:val="00823D02"/>
    <w:rsid w:val="00834F9E"/>
    <w:rsid w:val="008529E3"/>
    <w:rsid w:val="00857D64"/>
    <w:rsid w:val="00860086"/>
    <w:rsid w:val="008662FA"/>
    <w:rsid w:val="00871987"/>
    <w:rsid w:val="00872D09"/>
    <w:rsid w:val="008753F6"/>
    <w:rsid w:val="00881F51"/>
    <w:rsid w:val="00884334"/>
    <w:rsid w:val="00884B71"/>
    <w:rsid w:val="00885F2A"/>
    <w:rsid w:val="008975ED"/>
    <w:rsid w:val="008A304E"/>
    <w:rsid w:val="008B634A"/>
    <w:rsid w:val="008C4EF6"/>
    <w:rsid w:val="008C6D5D"/>
    <w:rsid w:val="008D13C5"/>
    <w:rsid w:val="008D7BF5"/>
    <w:rsid w:val="008E0379"/>
    <w:rsid w:val="008F0FC4"/>
    <w:rsid w:val="008F6FE3"/>
    <w:rsid w:val="009108F6"/>
    <w:rsid w:val="00933558"/>
    <w:rsid w:val="0094025F"/>
    <w:rsid w:val="009478FD"/>
    <w:rsid w:val="00952D15"/>
    <w:rsid w:val="00956280"/>
    <w:rsid w:val="00957CB8"/>
    <w:rsid w:val="00966DD0"/>
    <w:rsid w:val="00973D3A"/>
    <w:rsid w:val="009743D8"/>
    <w:rsid w:val="009747FD"/>
    <w:rsid w:val="009750D0"/>
    <w:rsid w:val="00985D2A"/>
    <w:rsid w:val="009913C0"/>
    <w:rsid w:val="00995BBA"/>
    <w:rsid w:val="009B70FC"/>
    <w:rsid w:val="009C1FA5"/>
    <w:rsid w:val="009C26ED"/>
    <w:rsid w:val="009C2BA2"/>
    <w:rsid w:val="009D71DC"/>
    <w:rsid w:val="009E1CA2"/>
    <w:rsid w:val="009E3F87"/>
    <w:rsid w:val="009E4F4C"/>
    <w:rsid w:val="009F00F6"/>
    <w:rsid w:val="009F6D40"/>
    <w:rsid w:val="00A04F19"/>
    <w:rsid w:val="00A158AC"/>
    <w:rsid w:val="00A22C42"/>
    <w:rsid w:val="00A32DEE"/>
    <w:rsid w:val="00A44268"/>
    <w:rsid w:val="00A4625B"/>
    <w:rsid w:val="00A552B8"/>
    <w:rsid w:val="00A563DB"/>
    <w:rsid w:val="00A819EB"/>
    <w:rsid w:val="00A85311"/>
    <w:rsid w:val="00AA088C"/>
    <w:rsid w:val="00AA160B"/>
    <w:rsid w:val="00AB0A73"/>
    <w:rsid w:val="00AB15F0"/>
    <w:rsid w:val="00AB6061"/>
    <w:rsid w:val="00AC346F"/>
    <w:rsid w:val="00AD37DB"/>
    <w:rsid w:val="00AD5A07"/>
    <w:rsid w:val="00AE64D2"/>
    <w:rsid w:val="00AE6C34"/>
    <w:rsid w:val="00AF743A"/>
    <w:rsid w:val="00B01C8B"/>
    <w:rsid w:val="00B1156F"/>
    <w:rsid w:val="00B15AD8"/>
    <w:rsid w:val="00B178CA"/>
    <w:rsid w:val="00B24644"/>
    <w:rsid w:val="00B27360"/>
    <w:rsid w:val="00B3555E"/>
    <w:rsid w:val="00B62A02"/>
    <w:rsid w:val="00B62B9D"/>
    <w:rsid w:val="00B776C5"/>
    <w:rsid w:val="00B8250E"/>
    <w:rsid w:val="00B917C9"/>
    <w:rsid w:val="00BA0976"/>
    <w:rsid w:val="00BD162B"/>
    <w:rsid w:val="00BE4362"/>
    <w:rsid w:val="00BF1288"/>
    <w:rsid w:val="00BF3035"/>
    <w:rsid w:val="00BF40D7"/>
    <w:rsid w:val="00BF416A"/>
    <w:rsid w:val="00C1263A"/>
    <w:rsid w:val="00C325AA"/>
    <w:rsid w:val="00C74408"/>
    <w:rsid w:val="00C806D8"/>
    <w:rsid w:val="00C90442"/>
    <w:rsid w:val="00C94C42"/>
    <w:rsid w:val="00CA5E37"/>
    <w:rsid w:val="00CB2447"/>
    <w:rsid w:val="00CB7D7B"/>
    <w:rsid w:val="00CC19A8"/>
    <w:rsid w:val="00CD3D4F"/>
    <w:rsid w:val="00CD5454"/>
    <w:rsid w:val="00CD7EEF"/>
    <w:rsid w:val="00CE2E17"/>
    <w:rsid w:val="00CF0BCF"/>
    <w:rsid w:val="00D03AE6"/>
    <w:rsid w:val="00D03FAC"/>
    <w:rsid w:val="00D138A5"/>
    <w:rsid w:val="00D15538"/>
    <w:rsid w:val="00D26F50"/>
    <w:rsid w:val="00D33C31"/>
    <w:rsid w:val="00D43CB3"/>
    <w:rsid w:val="00D44C11"/>
    <w:rsid w:val="00D45D0E"/>
    <w:rsid w:val="00D520BF"/>
    <w:rsid w:val="00D541BA"/>
    <w:rsid w:val="00D552D3"/>
    <w:rsid w:val="00D6061A"/>
    <w:rsid w:val="00D616D8"/>
    <w:rsid w:val="00D6509A"/>
    <w:rsid w:val="00D77703"/>
    <w:rsid w:val="00D823CE"/>
    <w:rsid w:val="00D84951"/>
    <w:rsid w:val="00D91AB0"/>
    <w:rsid w:val="00D92284"/>
    <w:rsid w:val="00D944B1"/>
    <w:rsid w:val="00DA0D1D"/>
    <w:rsid w:val="00DB446A"/>
    <w:rsid w:val="00DC043A"/>
    <w:rsid w:val="00DD0347"/>
    <w:rsid w:val="00DE05AC"/>
    <w:rsid w:val="00DE0E10"/>
    <w:rsid w:val="00DF149E"/>
    <w:rsid w:val="00E004CB"/>
    <w:rsid w:val="00E03D10"/>
    <w:rsid w:val="00E14D65"/>
    <w:rsid w:val="00E1729D"/>
    <w:rsid w:val="00E4112F"/>
    <w:rsid w:val="00E41DDD"/>
    <w:rsid w:val="00E528AE"/>
    <w:rsid w:val="00E54282"/>
    <w:rsid w:val="00E62F69"/>
    <w:rsid w:val="00E72160"/>
    <w:rsid w:val="00E7564C"/>
    <w:rsid w:val="00E8005D"/>
    <w:rsid w:val="00EA24C6"/>
    <w:rsid w:val="00EA7663"/>
    <w:rsid w:val="00EB0FE3"/>
    <w:rsid w:val="00EB2215"/>
    <w:rsid w:val="00EC73E2"/>
    <w:rsid w:val="00ED0345"/>
    <w:rsid w:val="00EE1264"/>
    <w:rsid w:val="00EE195D"/>
    <w:rsid w:val="00EE5CBA"/>
    <w:rsid w:val="00EF09B7"/>
    <w:rsid w:val="00EF103B"/>
    <w:rsid w:val="00EF1965"/>
    <w:rsid w:val="00EF790F"/>
    <w:rsid w:val="00F05460"/>
    <w:rsid w:val="00F065F1"/>
    <w:rsid w:val="00F067EC"/>
    <w:rsid w:val="00F315F9"/>
    <w:rsid w:val="00F37F32"/>
    <w:rsid w:val="00F54871"/>
    <w:rsid w:val="00F62942"/>
    <w:rsid w:val="00F83DA3"/>
    <w:rsid w:val="00F97218"/>
    <w:rsid w:val="00FA44FD"/>
    <w:rsid w:val="00FA6797"/>
    <w:rsid w:val="00FB27F0"/>
    <w:rsid w:val="00FB32BD"/>
    <w:rsid w:val="00FD1DF7"/>
    <w:rsid w:val="00FD1FDF"/>
    <w:rsid w:val="00FD2D2A"/>
    <w:rsid w:val="00FE19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0504"/>
    <w:pPr>
      <w:ind w:left="720"/>
      <w:contextualSpacing/>
    </w:pPr>
  </w:style>
  <w:style w:type="paragraph" w:styleId="Notedebasdepage">
    <w:name w:val="footnote text"/>
    <w:basedOn w:val="Normal"/>
    <w:link w:val="NotedebasdepageCar"/>
    <w:uiPriority w:val="99"/>
    <w:semiHidden/>
    <w:unhideWhenUsed/>
    <w:rsid w:val="00507E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7EFC"/>
    <w:rPr>
      <w:sz w:val="20"/>
      <w:szCs w:val="20"/>
    </w:rPr>
  </w:style>
  <w:style w:type="character" w:styleId="Appelnotedebasdep">
    <w:name w:val="footnote reference"/>
    <w:basedOn w:val="Policepardfaut"/>
    <w:uiPriority w:val="99"/>
    <w:unhideWhenUsed/>
    <w:rsid w:val="00325224"/>
    <w:rPr>
      <w:rFonts w:asciiTheme="majorBidi" w:hAnsiTheme="majorBidi" w:cstheme="majorBidi"/>
      <w:sz w:val="24"/>
      <w:szCs w:val="24"/>
      <w:vertAlign w:val="superscript"/>
    </w:rPr>
  </w:style>
  <w:style w:type="paragraph" w:styleId="Textedebulles">
    <w:name w:val="Balloon Text"/>
    <w:basedOn w:val="Normal"/>
    <w:link w:val="TextedebullesCar"/>
    <w:uiPriority w:val="99"/>
    <w:semiHidden/>
    <w:unhideWhenUsed/>
    <w:rsid w:val="008A30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304E"/>
    <w:rPr>
      <w:rFonts w:ascii="Tahoma" w:hAnsi="Tahoma" w:cs="Tahoma"/>
      <w:sz w:val="16"/>
      <w:szCs w:val="16"/>
    </w:rPr>
  </w:style>
  <w:style w:type="paragraph" w:styleId="En-tte">
    <w:name w:val="header"/>
    <w:basedOn w:val="Normal"/>
    <w:link w:val="En-tteCar"/>
    <w:uiPriority w:val="99"/>
    <w:unhideWhenUsed/>
    <w:rsid w:val="0035244A"/>
    <w:pPr>
      <w:tabs>
        <w:tab w:val="center" w:pos="4536"/>
        <w:tab w:val="right" w:pos="9072"/>
      </w:tabs>
      <w:spacing w:after="0" w:line="240" w:lineRule="auto"/>
    </w:pPr>
  </w:style>
  <w:style w:type="character" w:customStyle="1" w:styleId="En-tteCar">
    <w:name w:val="En-tête Car"/>
    <w:basedOn w:val="Policepardfaut"/>
    <w:link w:val="En-tte"/>
    <w:uiPriority w:val="99"/>
    <w:rsid w:val="0035244A"/>
  </w:style>
  <w:style w:type="paragraph" w:styleId="Pieddepage">
    <w:name w:val="footer"/>
    <w:basedOn w:val="Normal"/>
    <w:link w:val="PieddepageCar"/>
    <w:uiPriority w:val="99"/>
    <w:semiHidden/>
    <w:unhideWhenUsed/>
    <w:rsid w:val="0035244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5244A"/>
  </w:style>
  <w:style w:type="paragraph" w:customStyle="1" w:styleId="Ccstandard">
    <w:name w:val="Cc standard"/>
    <w:basedOn w:val="Normal"/>
    <w:rsid w:val="006F498F"/>
    <w:pPr>
      <w:overflowPunct w:val="0"/>
      <w:autoSpaceDE w:val="0"/>
      <w:autoSpaceDN w:val="0"/>
      <w:adjustRightInd w:val="0"/>
      <w:spacing w:after="0" w:line="280" w:lineRule="atLeast"/>
      <w:ind w:left="3100"/>
      <w:jc w:val="both"/>
      <w:textAlignment w:val="baseline"/>
    </w:pPr>
    <w:rPr>
      <w:rFonts w:ascii="Times" w:eastAsia="Times New Roman" w:hAnsi="Times" w:cs="Times New Roman"/>
      <w:sz w:val="24"/>
      <w:szCs w:val="20"/>
    </w:rPr>
  </w:style>
  <w:style w:type="table" w:styleId="Grillemoyenne3-Accent4">
    <w:name w:val="Medium Grid 3 Accent 4"/>
    <w:basedOn w:val="TableauNormal"/>
    <w:uiPriority w:val="69"/>
    <w:rsid w:val="002D70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claire-Accent4">
    <w:name w:val="Light Grid Accent 4"/>
    <w:basedOn w:val="TableauNormal"/>
    <w:uiPriority w:val="62"/>
    <w:rsid w:val="002D70C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ramemoyenne1-Accent4">
    <w:name w:val="Medium Shading 1 Accent 4"/>
    <w:basedOn w:val="TableauNormal"/>
    <w:uiPriority w:val="63"/>
    <w:rsid w:val="00B62B9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rilledutableau">
    <w:name w:val="Table Grid"/>
    <w:basedOn w:val="TableauNormal"/>
    <w:uiPriority w:val="59"/>
    <w:rsid w:val="00AE6C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moyenne1-Accent2">
    <w:name w:val="Medium Shading 1 Accent 2"/>
    <w:basedOn w:val="TableauNormal"/>
    <w:uiPriority w:val="63"/>
    <w:rsid w:val="003F2DB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ramemoyenne1-Accent11">
    <w:name w:val="Trame moyenne 1 - Accent 11"/>
    <w:basedOn w:val="TableauNormal"/>
    <w:uiPriority w:val="63"/>
    <w:rsid w:val="003F2DB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Lienhypertexte">
    <w:name w:val="Hyperlink"/>
    <w:basedOn w:val="Policepardfaut"/>
    <w:uiPriority w:val="99"/>
    <w:unhideWhenUsed/>
    <w:rsid w:val="00186C9E"/>
    <w:rPr>
      <w:color w:val="0000FF" w:themeColor="hyperlink"/>
      <w:u w:val="single"/>
    </w:rPr>
  </w:style>
  <w:style w:type="paragraph" w:styleId="Notedefin">
    <w:name w:val="endnote text"/>
    <w:basedOn w:val="Normal"/>
    <w:link w:val="NotedefinCar"/>
    <w:uiPriority w:val="99"/>
    <w:semiHidden/>
    <w:unhideWhenUsed/>
    <w:rsid w:val="002C373E"/>
    <w:pPr>
      <w:spacing w:after="0" w:line="240" w:lineRule="auto"/>
    </w:pPr>
    <w:rPr>
      <w:sz w:val="20"/>
      <w:szCs w:val="20"/>
    </w:rPr>
  </w:style>
  <w:style w:type="character" w:customStyle="1" w:styleId="NotedefinCar">
    <w:name w:val="Note de fin Car"/>
    <w:basedOn w:val="Policepardfaut"/>
    <w:link w:val="Notedefin"/>
    <w:uiPriority w:val="99"/>
    <w:semiHidden/>
    <w:rsid w:val="002C373E"/>
    <w:rPr>
      <w:sz w:val="20"/>
      <w:szCs w:val="20"/>
    </w:rPr>
  </w:style>
  <w:style w:type="character" w:styleId="Appeldenotedefin">
    <w:name w:val="endnote reference"/>
    <w:basedOn w:val="Policepardfaut"/>
    <w:uiPriority w:val="99"/>
    <w:semiHidden/>
    <w:unhideWhenUsed/>
    <w:rsid w:val="002C373E"/>
    <w:rPr>
      <w:vertAlign w:val="superscript"/>
    </w:rPr>
  </w:style>
</w:styles>
</file>

<file path=word/webSettings.xml><?xml version="1.0" encoding="utf-8"?>
<w:webSettings xmlns:r="http://schemas.openxmlformats.org/officeDocument/2006/relationships" xmlns:w="http://schemas.openxmlformats.org/wordprocessingml/2006/main">
  <w:divs>
    <w:div w:id="1256940065">
      <w:bodyDiv w:val="1"/>
      <w:marLeft w:val="0"/>
      <w:marRight w:val="0"/>
      <w:marTop w:val="0"/>
      <w:marBottom w:val="0"/>
      <w:divBdr>
        <w:top w:val="none" w:sz="0" w:space="0" w:color="auto"/>
        <w:left w:val="none" w:sz="0" w:space="0" w:color="auto"/>
        <w:bottom w:val="none" w:sz="0" w:space="0" w:color="auto"/>
        <w:right w:val="none" w:sz="0" w:space="0" w:color="auto"/>
      </w:divBdr>
      <w:divsChild>
        <w:div w:id="4412713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fr.wikipedia.org/wiki/International_Accounting_Standards_Board" TargetMode="External"/><Relationship Id="rId2" Type="http://schemas.openxmlformats.org/officeDocument/2006/relationships/hyperlink" Target="http://fr.wikipedia.org/wiki/Comptabilit%C3%A9" TargetMode="External"/><Relationship Id="rId1" Type="http://schemas.openxmlformats.org/officeDocument/2006/relationships/hyperlink" Target="http://fr.wikipedia.org/wiki/Norme" TargetMode="External"/><Relationship Id="rId6" Type="http://schemas.openxmlformats.org/officeDocument/2006/relationships/hyperlink" Target="http://fr.wikipedia.org/wiki/%C3%89tats_financiers" TargetMode="External"/><Relationship Id="rId5" Type="http://schemas.openxmlformats.org/officeDocument/2006/relationships/hyperlink" Target="http://fr.wikipedia.org/wiki/International_Accounting_Standards_Board" TargetMode="External"/><Relationship Id="rId4" Type="http://schemas.openxmlformats.org/officeDocument/2006/relationships/hyperlink" Target="http://fr.wikipedia.org/wiki/International_Accounting_Standards_Boar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63C69-F0DD-4DF7-8ED8-DB198121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1</Pages>
  <Words>4789</Words>
  <Characters>26345</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qlubicwin7</Company>
  <LinksUpToDate>false</LinksUpToDate>
  <CharactersWithSpaces>31072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qlubic7</dc:creator>
  <cp:lastModifiedBy>qlubic7</cp:lastModifiedBy>
  <cp:revision>86</cp:revision>
  <dcterms:created xsi:type="dcterms:W3CDTF">2012-07-02T14:33:00Z</dcterms:created>
  <dcterms:modified xsi:type="dcterms:W3CDTF">2014-02-15T21:46:00Z</dcterms:modified>
</cp:coreProperties>
</file>