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D3F" w:rsidRDefault="00731D3F" w:rsidP="00731D3F">
      <w:pPr>
        <w:rPr>
          <w:rFonts w:asciiTheme="majorBidi" w:hAnsiTheme="majorBidi" w:cstheme="majorBidi"/>
          <w:b/>
          <w:bCs/>
          <w:caps/>
          <w:sz w:val="36"/>
          <w:szCs w:val="36"/>
        </w:rPr>
      </w:pPr>
      <w:r w:rsidRPr="00B8532B">
        <w:rPr>
          <w:rFonts w:asciiTheme="majorBidi" w:hAnsiTheme="majorBidi" w:cstheme="majorBidi"/>
          <w:b/>
          <w:bCs/>
          <w:caps/>
          <w:sz w:val="36"/>
          <w:szCs w:val="36"/>
        </w:rPr>
        <w:t xml:space="preserve">Chapitre </w:t>
      </w:r>
      <w:r>
        <w:rPr>
          <w:rFonts w:asciiTheme="majorBidi" w:hAnsiTheme="majorBidi" w:cstheme="majorBidi"/>
          <w:b/>
          <w:bCs/>
          <w:caps/>
          <w:sz w:val="36"/>
          <w:szCs w:val="36"/>
        </w:rPr>
        <w:t>II</w:t>
      </w:r>
      <w:r w:rsidR="00506AD2">
        <w:rPr>
          <w:rFonts w:asciiTheme="majorBidi" w:hAnsiTheme="majorBidi" w:cstheme="majorBidi"/>
          <w:b/>
          <w:bCs/>
          <w:caps/>
          <w:sz w:val="36"/>
          <w:szCs w:val="36"/>
        </w:rPr>
        <w:t>I</w:t>
      </w:r>
    </w:p>
    <w:p w:rsidR="001A2ECA" w:rsidRDefault="001A2ECA" w:rsidP="00731D3F">
      <w:pPr>
        <w:rPr>
          <w:rFonts w:asciiTheme="majorBidi" w:hAnsiTheme="majorBidi" w:cstheme="majorBidi"/>
          <w:b/>
          <w:bCs/>
          <w:caps/>
          <w:sz w:val="36"/>
          <w:szCs w:val="36"/>
        </w:rPr>
      </w:pPr>
    </w:p>
    <w:p w:rsidR="001A2ECA" w:rsidRDefault="00506AD2" w:rsidP="00FB1206">
      <w:pPr>
        <w:ind w:right="-900" w:hanging="1054"/>
        <w:jc w:val="center"/>
        <w:rPr>
          <w:rFonts w:asciiTheme="majorBidi" w:hAnsiTheme="majorBidi" w:cstheme="majorBidi"/>
          <w:caps/>
          <w:sz w:val="36"/>
          <w:szCs w:val="36"/>
        </w:rPr>
      </w:pPr>
      <w:r>
        <w:rPr>
          <w:rFonts w:asciiTheme="majorBidi" w:hAnsiTheme="majorBidi" w:cstheme="majorBidi"/>
          <w:b/>
          <w:bCs/>
          <w:caps/>
          <w:sz w:val="36"/>
          <w:szCs w:val="36"/>
        </w:rPr>
        <w:t xml:space="preserve">  </w:t>
      </w:r>
      <w:r w:rsidR="00731D3F" w:rsidRPr="00B8532B">
        <w:rPr>
          <w:rFonts w:asciiTheme="majorBidi" w:hAnsiTheme="majorBidi" w:cstheme="majorBidi"/>
          <w:b/>
          <w:bCs/>
          <w:caps/>
          <w:sz w:val="36"/>
          <w:szCs w:val="36"/>
        </w:rPr>
        <w:t xml:space="preserve"> </w:t>
      </w:r>
      <w:r w:rsidR="00731D3F">
        <w:rPr>
          <w:rFonts w:asciiTheme="majorBidi" w:hAnsiTheme="majorBidi" w:cstheme="majorBidi"/>
          <w:caps/>
          <w:sz w:val="36"/>
          <w:szCs w:val="36"/>
        </w:rPr>
        <w:t xml:space="preserve">transposition des recommandations du GAFI </w:t>
      </w:r>
    </w:p>
    <w:p w:rsidR="00EE5286" w:rsidRDefault="00731D3F" w:rsidP="00421C17">
      <w:pPr>
        <w:tabs>
          <w:tab w:val="left" w:pos="851"/>
        </w:tabs>
        <w:ind w:right="-900"/>
        <w:jc w:val="center"/>
        <w:rPr>
          <w:rFonts w:asciiTheme="majorBidi" w:hAnsiTheme="majorBidi" w:cstheme="majorBidi"/>
          <w:caps/>
          <w:sz w:val="36"/>
          <w:szCs w:val="36"/>
        </w:rPr>
      </w:pPr>
      <w:r>
        <w:rPr>
          <w:rFonts w:asciiTheme="majorBidi" w:hAnsiTheme="majorBidi" w:cstheme="majorBidi"/>
          <w:caps/>
          <w:sz w:val="36"/>
          <w:szCs w:val="36"/>
        </w:rPr>
        <w:t>dans la reglementation algerienne</w:t>
      </w:r>
    </w:p>
    <w:p w:rsidR="009800A1" w:rsidRDefault="009800A1" w:rsidP="00421C17">
      <w:pPr>
        <w:tabs>
          <w:tab w:val="left" w:pos="851"/>
        </w:tabs>
        <w:ind w:right="-900"/>
        <w:jc w:val="center"/>
        <w:rPr>
          <w:rFonts w:asciiTheme="majorBidi" w:hAnsiTheme="majorBidi" w:cstheme="majorBidi"/>
          <w:caps/>
          <w:sz w:val="36"/>
          <w:szCs w:val="36"/>
        </w:rPr>
      </w:pPr>
    </w:p>
    <w:p w:rsidR="00193FD7" w:rsidRPr="00731D3F" w:rsidRDefault="00421C17" w:rsidP="00645272">
      <w:pPr>
        <w:pStyle w:val="PARTIE"/>
        <w:tabs>
          <w:tab w:val="left" w:pos="284"/>
          <w:tab w:val="left" w:pos="567"/>
        </w:tabs>
        <w:spacing w:before="360" w:line="360" w:lineRule="auto"/>
        <w:ind w:left="0"/>
        <w:jc w:val="both"/>
        <w:outlineLvl w:val="0"/>
        <w:rPr>
          <w:rFonts w:asciiTheme="majorBidi" w:eastAsiaTheme="minorHAnsi" w:hAnsiTheme="majorBidi" w:cstheme="majorBidi"/>
          <w:b w:val="0"/>
          <w:bCs w:val="0"/>
          <w:color w:val="auto"/>
          <w:sz w:val="24"/>
          <w:szCs w:val="24"/>
          <w:lang w:eastAsia="en-US"/>
        </w:rPr>
      </w:pPr>
      <w:r>
        <w:rPr>
          <w:rFonts w:asciiTheme="majorBidi" w:eastAsiaTheme="minorHAnsi" w:hAnsiTheme="majorBidi" w:cstheme="majorBidi"/>
          <w:b w:val="0"/>
          <w:bCs w:val="0"/>
          <w:color w:val="auto"/>
          <w:sz w:val="24"/>
          <w:szCs w:val="24"/>
          <w:lang w:eastAsia="en-US"/>
        </w:rPr>
        <w:tab/>
      </w:r>
      <w:r w:rsidR="00FB1206">
        <w:rPr>
          <w:rFonts w:asciiTheme="majorBidi" w:eastAsiaTheme="minorHAnsi" w:hAnsiTheme="majorBidi" w:cstheme="majorBidi"/>
          <w:b w:val="0"/>
          <w:bCs w:val="0"/>
          <w:color w:val="auto"/>
          <w:sz w:val="24"/>
          <w:szCs w:val="24"/>
          <w:lang w:eastAsia="en-US"/>
        </w:rPr>
        <w:tab/>
      </w:r>
      <w:r w:rsidR="000C618A" w:rsidRPr="00731D3F">
        <w:rPr>
          <w:rFonts w:asciiTheme="majorBidi" w:eastAsiaTheme="minorHAnsi" w:hAnsiTheme="majorBidi" w:cstheme="majorBidi"/>
          <w:b w:val="0"/>
          <w:bCs w:val="0"/>
          <w:color w:val="auto"/>
          <w:sz w:val="24"/>
          <w:szCs w:val="24"/>
          <w:lang w:eastAsia="en-US"/>
        </w:rPr>
        <w:t xml:space="preserve">Dans un univers mondialisé comme le notre, se conformer </w:t>
      </w:r>
      <w:r w:rsidR="009740E5" w:rsidRPr="00731D3F">
        <w:rPr>
          <w:rFonts w:asciiTheme="majorBidi" w:eastAsiaTheme="minorHAnsi" w:hAnsiTheme="majorBidi" w:cstheme="majorBidi"/>
          <w:b w:val="0"/>
          <w:bCs w:val="0"/>
          <w:color w:val="auto"/>
          <w:sz w:val="24"/>
          <w:szCs w:val="24"/>
          <w:lang w:eastAsia="en-US"/>
        </w:rPr>
        <w:t>aux règles normatives internationales</w:t>
      </w:r>
      <w:r w:rsidR="000C618A" w:rsidRPr="00731D3F">
        <w:rPr>
          <w:rFonts w:asciiTheme="majorBidi" w:eastAsiaTheme="minorHAnsi" w:hAnsiTheme="majorBidi" w:cstheme="majorBidi"/>
          <w:b w:val="0"/>
          <w:bCs w:val="0"/>
          <w:color w:val="auto"/>
          <w:sz w:val="24"/>
          <w:szCs w:val="24"/>
          <w:lang w:eastAsia="en-US"/>
        </w:rPr>
        <w:t xml:space="preserve"> </w:t>
      </w:r>
      <w:r w:rsidR="002C3406">
        <w:rPr>
          <w:rFonts w:asciiTheme="majorBidi" w:eastAsiaTheme="minorHAnsi" w:hAnsiTheme="majorBidi" w:cstheme="majorBidi"/>
          <w:b w:val="0"/>
          <w:bCs w:val="0"/>
          <w:color w:val="auto"/>
          <w:sz w:val="24"/>
          <w:szCs w:val="24"/>
          <w:lang w:eastAsia="en-US"/>
        </w:rPr>
        <w:t>est</w:t>
      </w:r>
      <w:r w:rsidR="009740E5" w:rsidRPr="00731D3F">
        <w:rPr>
          <w:rFonts w:asciiTheme="majorBidi" w:eastAsiaTheme="minorHAnsi" w:hAnsiTheme="majorBidi" w:cstheme="majorBidi"/>
          <w:b w:val="0"/>
          <w:bCs w:val="0"/>
          <w:color w:val="auto"/>
          <w:sz w:val="24"/>
          <w:szCs w:val="24"/>
          <w:lang w:eastAsia="en-US"/>
        </w:rPr>
        <w:t xml:space="preserve"> le </w:t>
      </w:r>
      <w:r w:rsidR="002C3406">
        <w:rPr>
          <w:rFonts w:asciiTheme="majorBidi" w:eastAsiaTheme="minorHAnsi" w:hAnsiTheme="majorBidi" w:cstheme="majorBidi"/>
          <w:b w:val="0"/>
          <w:bCs w:val="0"/>
          <w:color w:val="auto"/>
          <w:sz w:val="24"/>
          <w:szCs w:val="24"/>
          <w:lang w:eastAsia="en-US"/>
        </w:rPr>
        <w:t xml:space="preserve">souci </w:t>
      </w:r>
      <w:r w:rsidR="009740E5" w:rsidRPr="00731D3F">
        <w:rPr>
          <w:rFonts w:asciiTheme="majorBidi" w:eastAsiaTheme="minorHAnsi" w:hAnsiTheme="majorBidi" w:cstheme="majorBidi"/>
          <w:b w:val="0"/>
          <w:bCs w:val="0"/>
          <w:color w:val="auto"/>
          <w:sz w:val="24"/>
          <w:szCs w:val="24"/>
          <w:lang w:eastAsia="en-US"/>
        </w:rPr>
        <w:t xml:space="preserve">de </w:t>
      </w:r>
      <w:r w:rsidR="002C3406">
        <w:rPr>
          <w:rFonts w:asciiTheme="majorBidi" w:eastAsiaTheme="minorHAnsi" w:hAnsiTheme="majorBidi" w:cstheme="majorBidi"/>
          <w:b w:val="0"/>
          <w:bCs w:val="0"/>
          <w:color w:val="auto"/>
          <w:sz w:val="24"/>
          <w:szCs w:val="24"/>
          <w:lang w:eastAsia="en-US"/>
        </w:rPr>
        <w:t>tous</w:t>
      </w:r>
      <w:r w:rsidR="00413CB1" w:rsidRPr="00731D3F">
        <w:rPr>
          <w:rFonts w:asciiTheme="majorBidi" w:eastAsiaTheme="minorHAnsi" w:hAnsiTheme="majorBidi" w:cstheme="majorBidi"/>
          <w:b w:val="0"/>
          <w:bCs w:val="0"/>
          <w:color w:val="auto"/>
          <w:sz w:val="24"/>
          <w:szCs w:val="24"/>
          <w:lang w:eastAsia="en-US"/>
        </w:rPr>
        <w:t xml:space="preserve"> </w:t>
      </w:r>
      <w:r w:rsidR="002C3406">
        <w:rPr>
          <w:rFonts w:asciiTheme="majorBidi" w:eastAsiaTheme="minorHAnsi" w:hAnsiTheme="majorBidi" w:cstheme="majorBidi"/>
          <w:b w:val="0"/>
          <w:bCs w:val="0"/>
          <w:color w:val="auto"/>
          <w:sz w:val="24"/>
          <w:szCs w:val="24"/>
          <w:lang w:eastAsia="en-US"/>
        </w:rPr>
        <w:t xml:space="preserve">les Etats qui souhaitent </w:t>
      </w:r>
      <w:r w:rsidR="00413CB1" w:rsidRPr="00731D3F">
        <w:rPr>
          <w:rFonts w:asciiTheme="majorBidi" w:eastAsiaTheme="minorHAnsi" w:hAnsiTheme="majorBidi" w:cstheme="majorBidi"/>
          <w:b w:val="0"/>
          <w:bCs w:val="0"/>
          <w:color w:val="auto"/>
          <w:sz w:val="24"/>
          <w:szCs w:val="24"/>
          <w:lang w:eastAsia="en-US"/>
        </w:rPr>
        <w:t>avoir une bonne appréciation des faiseurs d’</w:t>
      </w:r>
      <w:r w:rsidR="00E35964">
        <w:rPr>
          <w:rFonts w:asciiTheme="majorBidi" w:eastAsiaTheme="minorHAnsi" w:hAnsiTheme="majorBidi" w:cstheme="majorBidi"/>
          <w:b w:val="0"/>
          <w:bCs w:val="0"/>
          <w:color w:val="auto"/>
          <w:sz w:val="24"/>
          <w:szCs w:val="24"/>
          <w:lang w:eastAsia="en-US"/>
        </w:rPr>
        <w:t xml:space="preserve">opinions. Ces derniers </w:t>
      </w:r>
      <w:r w:rsidR="00631129" w:rsidRPr="00731D3F">
        <w:rPr>
          <w:rFonts w:asciiTheme="majorBidi" w:eastAsiaTheme="minorHAnsi" w:hAnsiTheme="majorBidi" w:cstheme="majorBidi"/>
          <w:b w:val="0"/>
          <w:bCs w:val="0"/>
          <w:color w:val="auto"/>
          <w:sz w:val="24"/>
          <w:szCs w:val="24"/>
          <w:lang w:eastAsia="en-US"/>
        </w:rPr>
        <w:t>reconnaissent</w:t>
      </w:r>
      <w:r w:rsidR="00FB1206">
        <w:rPr>
          <w:rFonts w:asciiTheme="majorBidi" w:eastAsiaTheme="minorHAnsi" w:hAnsiTheme="majorBidi" w:cstheme="majorBidi"/>
          <w:b w:val="0"/>
          <w:bCs w:val="0"/>
          <w:color w:val="auto"/>
          <w:sz w:val="24"/>
          <w:szCs w:val="24"/>
          <w:lang w:eastAsia="en-US"/>
        </w:rPr>
        <w:t xml:space="preserve"> le fait que c</w:t>
      </w:r>
      <w:r w:rsidR="00631129" w:rsidRPr="00731D3F">
        <w:rPr>
          <w:rFonts w:asciiTheme="majorBidi" w:eastAsiaTheme="minorHAnsi" w:hAnsiTheme="majorBidi" w:cstheme="majorBidi"/>
          <w:b w:val="0"/>
          <w:bCs w:val="0"/>
          <w:color w:val="auto"/>
          <w:sz w:val="24"/>
          <w:szCs w:val="24"/>
          <w:lang w:eastAsia="en-US"/>
        </w:rPr>
        <w:t xml:space="preserve">es pays </w:t>
      </w:r>
      <w:r w:rsidR="00FB1206">
        <w:rPr>
          <w:rFonts w:asciiTheme="majorBidi" w:eastAsiaTheme="minorHAnsi" w:hAnsiTheme="majorBidi" w:cstheme="majorBidi"/>
          <w:b w:val="0"/>
          <w:bCs w:val="0"/>
          <w:color w:val="auto"/>
          <w:sz w:val="24"/>
          <w:szCs w:val="24"/>
          <w:lang w:eastAsia="en-US"/>
        </w:rPr>
        <w:t xml:space="preserve">possèdent </w:t>
      </w:r>
      <w:r w:rsidR="00631129" w:rsidRPr="00731D3F">
        <w:rPr>
          <w:rFonts w:asciiTheme="majorBidi" w:eastAsiaTheme="minorHAnsi" w:hAnsiTheme="majorBidi" w:cstheme="majorBidi"/>
          <w:b w:val="0"/>
          <w:bCs w:val="0"/>
          <w:color w:val="auto"/>
          <w:sz w:val="24"/>
          <w:szCs w:val="24"/>
          <w:lang w:eastAsia="en-US"/>
        </w:rPr>
        <w:t>des systèmes juridiques différents et que, dés lors, aucun pays n’est en mesure d’adopter des lois locales ident</w:t>
      </w:r>
      <w:r w:rsidR="00645272">
        <w:rPr>
          <w:rFonts w:asciiTheme="majorBidi" w:eastAsiaTheme="minorHAnsi" w:hAnsiTheme="majorBidi" w:cstheme="majorBidi"/>
          <w:b w:val="0"/>
          <w:bCs w:val="0"/>
          <w:color w:val="auto"/>
          <w:sz w:val="24"/>
          <w:szCs w:val="24"/>
          <w:lang w:eastAsia="en-US"/>
        </w:rPr>
        <w:t>iques à celles d’un autre pays. S</w:t>
      </w:r>
      <w:r w:rsidR="00E35964">
        <w:rPr>
          <w:rFonts w:asciiTheme="majorBidi" w:eastAsiaTheme="minorHAnsi" w:hAnsiTheme="majorBidi" w:cstheme="majorBidi"/>
          <w:b w:val="0"/>
          <w:bCs w:val="0"/>
          <w:color w:val="auto"/>
          <w:sz w:val="24"/>
          <w:szCs w:val="24"/>
          <w:lang w:eastAsia="en-US"/>
        </w:rPr>
        <w:t xml:space="preserve">eulement, </w:t>
      </w:r>
      <w:r w:rsidR="000D2239" w:rsidRPr="00731D3F">
        <w:rPr>
          <w:rFonts w:asciiTheme="majorBidi" w:eastAsiaTheme="minorHAnsi" w:hAnsiTheme="majorBidi" w:cstheme="majorBidi"/>
          <w:b w:val="0"/>
          <w:bCs w:val="0"/>
          <w:color w:val="auto"/>
          <w:sz w:val="24"/>
          <w:szCs w:val="24"/>
          <w:lang w:eastAsia="en-US"/>
        </w:rPr>
        <w:t>l’Algérie</w:t>
      </w:r>
      <w:r w:rsidR="00FB1206">
        <w:rPr>
          <w:rFonts w:asciiTheme="majorBidi" w:eastAsiaTheme="minorHAnsi" w:hAnsiTheme="majorBidi" w:cstheme="majorBidi"/>
          <w:b w:val="0"/>
          <w:bCs w:val="0"/>
          <w:color w:val="auto"/>
          <w:sz w:val="24"/>
          <w:szCs w:val="24"/>
          <w:lang w:eastAsia="en-US"/>
        </w:rPr>
        <w:t xml:space="preserve"> à l’instar </w:t>
      </w:r>
      <w:r w:rsidR="00E35964">
        <w:rPr>
          <w:rFonts w:asciiTheme="majorBidi" w:eastAsiaTheme="minorHAnsi" w:hAnsiTheme="majorBidi" w:cstheme="majorBidi"/>
          <w:b w:val="0"/>
          <w:bCs w:val="0"/>
          <w:color w:val="auto"/>
          <w:sz w:val="24"/>
          <w:szCs w:val="24"/>
          <w:lang w:eastAsia="en-US"/>
        </w:rPr>
        <w:t xml:space="preserve">de ces </w:t>
      </w:r>
      <w:r w:rsidR="00FB1206">
        <w:rPr>
          <w:rFonts w:asciiTheme="majorBidi" w:eastAsiaTheme="minorHAnsi" w:hAnsiTheme="majorBidi" w:cstheme="majorBidi"/>
          <w:b w:val="0"/>
          <w:bCs w:val="0"/>
          <w:color w:val="auto"/>
          <w:sz w:val="24"/>
          <w:szCs w:val="24"/>
          <w:lang w:eastAsia="en-US"/>
        </w:rPr>
        <w:t xml:space="preserve">pays est </w:t>
      </w:r>
      <w:r w:rsidR="000D2239" w:rsidRPr="00731D3F">
        <w:rPr>
          <w:rFonts w:asciiTheme="majorBidi" w:eastAsiaTheme="minorHAnsi" w:hAnsiTheme="majorBidi" w:cstheme="majorBidi"/>
          <w:b w:val="0"/>
          <w:bCs w:val="0"/>
          <w:color w:val="auto"/>
          <w:sz w:val="24"/>
          <w:szCs w:val="24"/>
          <w:lang w:eastAsia="en-US"/>
        </w:rPr>
        <w:t>appelé</w:t>
      </w:r>
      <w:r w:rsidR="00FB1206">
        <w:rPr>
          <w:rFonts w:asciiTheme="majorBidi" w:eastAsiaTheme="minorHAnsi" w:hAnsiTheme="majorBidi" w:cstheme="majorBidi"/>
          <w:b w:val="0"/>
          <w:bCs w:val="0"/>
          <w:color w:val="auto"/>
          <w:sz w:val="24"/>
          <w:szCs w:val="24"/>
          <w:lang w:eastAsia="en-US"/>
        </w:rPr>
        <w:t>e</w:t>
      </w:r>
      <w:r w:rsidR="000D2239" w:rsidRPr="00731D3F">
        <w:rPr>
          <w:rFonts w:asciiTheme="majorBidi" w:eastAsiaTheme="minorHAnsi" w:hAnsiTheme="majorBidi" w:cstheme="majorBidi"/>
          <w:b w:val="0"/>
          <w:bCs w:val="0"/>
          <w:color w:val="auto"/>
          <w:sz w:val="24"/>
          <w:szCs w:val="24"/>
          <w:lang w:eastAsia="en-US"/>
        </w:rPr>
        <w:t xml:space="preserve"> à prendre </w:t>
      </w:r>
      <w:r w:rsidR="003C1EBA" w:rsidRPr="00731D3F">
        <w:rPr>
          <w:rFonts w:asciiTheme="majorBidi" w:eastAsiaTheme="minorHAnsi" w:hAnsiTheme="majorBidi" w:cstheme="majorBidi"/>
          <w:b w:val="0"/>
          <w:bCs w:val="0"/>
          <w:color w:val="auto"/>
          <w:sz w:val="24"/>
          <w:szCs w:val="24"/>
          <w:lang w:eastAsia="en-US"/>
        </w:rPr>
        <w:t xml:space="preserve">un certain nombre de mesures </w:t>
      </w:r>
      <w:r w:rsidR="000D2239" w:rsidRPr="00731D3F">
        <w:rPr>
          <w:rFonts w:asciiTheme="majorBidi" w:eastAsiaTheme="minorHAnsi" w:hAnsiTheme="majorBidi" w:cstheme="majorBidi"/>
          <w:b w:val="0"/>
          <w:bCs w:val="0"/>
          <w:color w:val="auto"/>
          <w:sz w:val="24"/>
          <w:szCs w:val="24"/>
          <w:lang w:eastAsia="en-US"/>
        </w:rPr>
        <w:t xml:space="preserve">pour prouver </w:t>
      </w:r>
      <w:r w:rsidR="00E35964">
        <w:rPr>
          <w:rFonts w:asciiTheme="majorBidi" w:eastAsiaTheme="minorHAnsi" w:hAnsiTheme="majorBidi" w:cstheme="majorBidi"/>
          <w:b w:val="0"/>
          <w:bCs w:val="0"/>
          <w:color w:val="auto"/>
          <w:sz w:val="24"/>
          <w:szCs w:val="24"/>
          <w:lang w:eastAsia="en-US"/>
        </w:rPr>
        <w:t>son engagement dans cette lutte mondiale</w:t>
      </w:r>
      <w:r w:rsidR="00C51DE7">
        <w:rPr>
          <w:rFonts w:asciiTheme="majorBidi" w:eastAsiaTheme="minorHAnsi" w:hAnsiTheme="majorBidi" w:cstheme="majorBidi"/>
          <w:b w:val="0"/>
          <w:bCs w:val="0"/>
          <w:color w:val="auto"/>
          <w:sz w:val="24"/>
          <w:szCs w:val="24"/>
          <w:lang w:eastAsia="en-US"/>
        </w:rPr>
        <w:t>.</w:t>
      </w:r>
      <w:r w:rsidR="00E35964">
        <w:rPr>
          <w:rFonts w:asciiTheme="majorBidi" w:eastAsiaTheme="minorHAnsi" w:hAnsiTheme="majorBidi" w:cstheme="majorBidi"/>
          <w:b w:val="0"/>
          <w:bCs w:val="0"/>
          <w:color w:val="auto"/>
          <w:sz w:val="24"/>
          <w:szCs w:val="24"/>
          <w:lang w:eastAsia="en-US"/>
        </w:rPr>
        <w:t xml:space="preserve"> </w:t>
      </w:r>
    </w:p>
    <w:p w:rsidR="00193FD7" w:rsidRPr="00731D3F" w:rsidRDefault="00421C17" w:rsidP="00645272">
      <w:pPr>
        <w:pStyle w:val="PARTIE"/>
        <w:tabs>
          <w:tab w:val="left" w:pos="284"/>
          <w:tab w:val="left" w:pos="567"/>
        </w:tabs>
        <w:spacing w:before="360" w:line="360" w:lineRule="auto"/>
        <w:ind w:left="0"/>
        <w:jc w:val="both"/>
        <w:outlineLvl w:val="0"/>
        <w:rPr>
          <w:rFonts w:asciiTheme="majorBidi" w:eastAsiaTheme="minorHAnsi" w:hAnsiTheme="majorBidi" w:cstheme="majorBidi"/>
          <w:b w:val="0"/>
          <w:bCs w:val="0"/>
          <w:color w:val="auto"/>
          <w:sz w:val="24"/>
          <w:szCs w:val="24"/>
          <w:lang w:eastAsia="en-US"/>
        </w:rPr>
      </w:pPr>
      <w:r>
        <w:rPr>
          <w:rFonts w:asciiTheme="majorBidi" w:eastAsiaTheme="minorHAnsi" w:hAnsiTheme="majorBidi" w:cstheme="majorBidi"/>
          <w:b w:val="0"/>
          <w:bCs w:val="0"/>
          <w:color w:val="auto"/>
          <w:sz w:val="24"/>
          <w:szCs w:val="24"/>
          <w:lang w:eastAsia="en-US"/>
        </w:rPr>
        <w:tab/>
      </w:r>
      <w:r w:rsidR="00E35964">
        <w:rPr>
          <w:rFonts w:asciiTheme="majorBidi" w:eastAsiaTheme="minorHAnsi" w:hAnsiTheme="majorBidi" w:cstheme="majorBidi"/>
          <w:b w:val="0"/>
          <w:bCs w:val="0"/>
          <w:color w:val="auto"/>
          <w:sz w:val="24"/>
          <w:szCs w:val="24"/>
          <w:lang w:eastAsia="en-US"/>
        </w:rPr>
        <w:tab/>
      </w:r>
      <w:r w:rsidR="00EE5286">
        <w:rPr>
          <w:rFonts w:asciiTheme="majorBidi" w:eastAsiaTheme="minorHAnsi" w:hAnsiTheme="majorBidi" w:cstheme="majorBidi"/>
          <w:b w:val="0"/>
          <w:bCs w:val="0"/>
          <w:color w:val="auto"/>
          <w:sz w:val="24"/>
          <w:szCs w:val="24"/>
          <w:lang w:eastAsia="en-US"/>
        </w:rPr>
        <w:t>A cet effet, l</w:t>
      </w:r>
      <w:r w:rsidR="00F22E0F">
        <w:rPr>
          <w:rFonts w:asciiTheme="majorBidi" w:eastAsiaTheme="minorHAnsi" w:hAnsiTheme="majorBidi" w:cstheme="majorBidi"/>
          <w:b w:val="0"/>
          <w:bCs w:val="0"/>
          <w:color w:val="auto"/>
          <w:sz w:val="24"/>
          <w:szCs w:val="24"/>
          <w:lang w:eastAsia="en-US"/>
        </w:rPr>
        <w:t xml:space="preserve">es mesures qui </w:t>
      </w:r>
      <w:r w:rsidR="003807F0">
        <w:rPr>
          <w:rFonts w:asciiTheme="majorBidi" w:eastAsiaTheme="minorHAnsi" w:hAnsiTheme="majorBidi" w:cstheme="majorBidi"/>
          <w:b w:val="0"/>
          <w:bCs w:val="0"/>
          <w:color w:val="auto"/>
          <w:sz w:val="24"/>
          <w:szCs w:val="24"/>
          <w:lang w:eastAsia="en-US"/>
        </w:rPr>
        <w:t xml:space="preserve">peuvent être prises pour la constitution </w:t>
      </w:r>
      <w:r w:rsidR="00C51DE7">
        <w:rPr>
          <w:rFonts w:asciiTheme="majorBidi" w:eastAsiaTheme="minorHAnsi" w:hAnsiTheme="majorBidi" w:cstheme="majorBidi"/>
          <w:b w:val="0"/>
          <w:bCs w:val="0"/>
          <w:color w:val="auto"/>
          <w:sz w:val="24"/>
          <w:szCs w:val="24"/>
          <w:lang w:eastAsia="en-US"/>
        </w:rPr>
        <w:t xml:space="preserve">d’un </w:t>
      </w:r>
      <w:r w:rsidR="003807F0">
        <w:rPr>
          <w:rFonts w:asciiTheme="majorBidi" w:eastAsiaTheme="minorHAnsi" w:hAnsiTheme="majorBidi" w:cstheme="majorBidi"/>
          <w:b w:val="0"/>
          <w:bCs w:val="0"/>
          <w:color w:val="auto"/>
          <w:sz w:val="24"/>
          <w:szCs w:val="24"/>
          <w:lang w:eastAsia="en-US"/>
        </w:rPr>
        <w:t>arsenal juridique relatif à la lutte contre le blanchiment d’argent et le financement du terrorisme doivent impérativement prendre comme modèle l</w:t>
      </w:r>
      <w:r w:rsidR="00631129" w:rsidRPr="00731D3F">
        <w:rPr>
          <w:rFonts w:asciiTheme="majorBidi" w:eastAsiaTheme="minorHAnsi" w:hAnsiTheme="majorBidi" w:cstheme="majorBidi"/>
          <w:b w:val="0"/>
          <w:bCs w:val="0"/>
          <w:color w:val="auto"/>
          <w:sz w:val="24"/>
          <w:szCs w:val="24"/>
          <w:lang w:eastAsia="en-US"/>
        </w:rPr>
        <w:t xml:space="preserve">es </w:t>
      </w:r>
      <w:r w:rsidR="00193FD7" w:rsidRPr="00731D3F">
        <w:rPr>
          <w:rFonts w:asciiTheme="majorBidi" w:eastAsiaTheme="minorHAnsi" w:hAnsiTheme="majorBidi" w:cstheme="majorBidi"/>
          <w:b w:val="0"/>
          <w:bCs w:val="0"/>
          <w:color w:val="auto"/>
          <w:sz w:val="24"/>
          <w:szCs w:val="24"/>
          <w:lang w:eastAsia="en-US"/>
        </w:rPr>
        <w:t>recommandations</w:t>
      </w:r>
      <w:r w:rsidR="00575838" w:rsidRPr="00731D3F">
        <w:rPr>
          <w:rFonts w:asciiTheme="majorBidi" w:eastAsiaTheme="minorHAnsi" w:hAnsiTheme="majorBidi" w:cstheme="majorBidi"/>
          <w:b w:val="0"/>
          <w:bCs w:val="0"/>
          <w:color w:val="auto"/>
          <w:sz w:val="24"/>
          <w:szCs w:val="24"/>
          <w:lang w:eastAsia="en-US"/>
        </w:rPr>
        <w:t xml:space="preserve"> du GAFI </w:t>
      </w:r>
      <w:r w:rsidR="003807F0">
        <w:rPr>
          <w:rFonts w:asciiTheme="majorBidi" w:eastAsiaTheme="minorHAnsi" w:hAnsiTheme="majorBidi" w:cstheme="majorBidi"/>
          <w:b w:val="0"/>
          <w:bCs w:val="0"/>
          <w:color w:val="auto"/>
          <w:sz w:val="24"/>
          <w:szCs w:val="24"/>
          <w:lang w:eastAsia="en-US"/>
        </w:rPr>
        <w:t xml:space="preserve">qui </w:t>
      </w:r>
      <w:r w:rsidR="00575838" w:rsidRPr="00731D3F">
        <w:rPr>
          <w:rFonts w:asciiTheme="majorBidi" w:eastAsiaTheme="minorHAnsi" w:hAnsiTheme="majorBidi" w:cstheme="majorBidi"/>
          <w:b w:val="0"/>
          <w:bCs w:val="0"/>
          <w:color w:val="auto"/>
          <w:sz w:val="24"/>
          <w:szCs w:val="24"/>
          <w:lang w:eastAsia="en-US"/>
        </w:rPr>
        <w:t xml:space="preserve">sont en </w:t>
      </w:r>
      <w:r w:rsidR="00193FD7" w:rsidRPr="00731D3F">
        <w:rPr>
          <w:rFonts w:asciiTheme="majorBidi" w:eastAsiaTheme="minorHAnsi" w:hAnsiTheme="majorBidi" w:cstheme="majorBidi"/>
          <w:b w:val="0"/>
          <w:bCs w:val="0"/>
          <w:color w:val="auto"/>
          <w:sz w:val="24"/>
          <w:szCs w:val="24"/>
          <w:lang w:eastAsia="en-US"/>
        </w:rPr>
        <w:t>réalité bien plus que de</w:t>
      </w:r>
      <w:r w:rsidR="00645272">
        <w:rPr>
          <w:rFonts w:asciiTheme="majorBidi" w:eastAsiaTheme="minorHAnsi" w:hAnsiTheme="majorBidi" w:cstheme="majorBidi"/>
          <w:b w:val="0"/>
          <w:bCs w:val="0"/>
          <w:color w:val="auto"/>
          <w:sz w:val="24"/>
          <w:szCs w:val="24"/>
          <w:lang w:eastAsia="en-US"/>
        </w:rPr>
        <w:t xml:space="preserve"> </w:t>
      </w:r>
      <w:r w:rsidR="00193FD7" w:rsidRPr="00731D3F">
        <w:rPr>
          <w:rFonts w:asciiTheme="majorBidi" w:eastAsiaTheme="minorHAnsi" w:hAnsiTheme="majorBidi" w:cstheme="majorBidi"/>
          <w:b w:val="0"/>
          <w:bCs w:val="0"/>
          <w:color w:val="auto"/>
          <w:sz w:val="24"/>
          <w:szCs w:val="24"/>
          <w:lang w:eastAsia="en-US"/>
        </w:rPr>
        <w:t xml:space="preserve">simples </w:t>
      </w:r>
      <w:r w:rsidR="00E35964">
        <w:rPr>
          <w:rFonts w:asciiTheme="majorBidi" w:eastAsiaTheme="minorHAnsi" w:hAnsiTheme="majorBidi" w:cstheme="majorBidi"/>
          <w:b w:val="0"/>
          <w:bCs w:val="0"/>
          <w:color w:val="auto"/>
          <w:sz w:val="24"/>
          <w:szCs w:val="24"/>
          <w:lang w:eastAsia="en-US"/>
        </w:rPr>
        <w:t>suggestions</w:t>
      </w:r>
      <w:r w:rsidR="003807F0">
        <w:rPr>
          <w:rFonts w:asciiTheme="majorBidi" w:eastAsiaTheme="minorHAnsi" w:hAnsiTheme="majorBidi" w:cstheme="majorBidi"/>
          <w:b w:val="0"/>
          <w:bCs w:val="0"/>
          <w:color w:val="auto"/>
          <w:sz w:val="24"/>
          <w:szCs w:val="24"/>
          <w:lang w:eastAsia="en-US"/>
        </w:rPr>
        <w:t xml:space="preserve"> car</w:t>
      </w:r>
      <w:r w:rsidR="00193FD7" w:rsidRPr="00731D3F">
        <w:rPr>
          <w:rFonts w:asciiTheme="majorBidi" w:eastAsiaTheme="minorHAnsi" w:hAnsiTheme="majorBidi" w:cstheme="majorBidi"/>
          <w:b w:val="0"/>
          <w:bCs w:val="0"/>
          <w:color w:val="auto"/>
          <w:sz w:val="24"/>
          <w:szCs w:val="24"/>
          <w:lang w:eastAsia="en-US"/>
        </w:rPr>
        <w:t xml:space="preserve"> elles s’imposent à tout </w:t>
      </w:r>
      <w:r w:rsidR="00EE5286">
        <w:rPr>
          <w:rFonts w:asciiTheme="majorBidi" w:eastAsiaTheme="minorHAnsi" w:hAnsiTheme="majorBidi" w:cstheme="majorBidi"/>
          <w:b w:val="0"/>
          <w:bCs w:val="0"/>
          <w:color w:val="auto"/>
          <w:sz w:val="24"/>
          <w:szCs w:val="24"/>
          <w:lang w:eastAsia="en-US"/>
        </w:rPr>
        <w:t xml:space="preserve">les </w:t>
      </w:r>
      <w:r w:rsidR="00193FD7" w:rsidRPr="00731D3F">
        <w:rPr>
          <w:rFonts w:asciiTheme="majorBidi" w:eastAsiaTheme="minorHAnsi" w:hAnsiTheme="majorBidi" w:cstheme="majorBidi"/>
          <w:b w:val="0"/>
          <w:bCs w:val="0"/>
          <w:color w:val="auto"/>
          <w:sz w:val="24"/>
          <w:szCs w:val="24"/>
          <w:lang w:eastAsia="en-US"/>
        </w:rPr>
        <w:t>pays, et pas se</w:t>
      </w:r>
      <w:r w:rsidR="00C51DE7">
        <w:rPr>
          <w:rFonts w:asciiTheme="majorBidi" w:eastAsiaTheme="minorHAnsi" w:hAnsiTheme="majorBidi" w:cstheme="majorBidi"/>
          <w:b w:val="0"/>
          <w:bCs w:val="0"/>
          <w:color w:val="auto"/>
          <w:sz w:val="24"/>
          <w:szCs w:val="24"/>
          <w:lang w:eastAsia="en-US"/>
        </w:rPr>
        <w:t>ulement aux pays membres de ce Groupe.</w:t>
      </w:r>
    </w:p>
    <w:p w:rsidR="00990B39" w:rsidRPr="00731D3F" w:rsidRDefault="00421C17" w:rsidP="00645272">
      <w:pPr>
        <w:pStyle w:val="PARTIE"/>
        <w:tabs>
          <w:tab w:val="clear" w:pos="1080"/>
          <w:tab w:val="left" w:pos="284"/>
          <w:tab w:val="left" w:pos="567"/>
        </w:tabs>
        <w:spacing w:before="0" w:after="0" w:line="360" w:lineRule="auto"/>
        <w:ind w:left="0"/>
        <w:jc w:val="both"/>
        <w:outlineLvl w:val="0"/>
        <w:rPr>
          <w:rFonts w:asciiTheme="majorBidi" w:hAnsiTheme="majorBidi" w:cstheme="majorBidi"/>
          <w:b w:val="0"/>
          <w:color w:val="auto"/>
          <w:sz w:val="24"/>
          <w:szCs w:val="24"/>
        </w:rPr>
      </w:pPr>
      <w:r>
        <w:rPr>
          <w:rFonts w:asciiTheme="majorBidi" w:hAnsiTheme="majorBidi" w:cstheme="majorBidi"/>
          <w:b w:val="0"/>
          <w:color w:val="auto"/>
          <w:sz w:val="24"/>
          <w:szCs w:val="24"/>
        </w:rPr>
        <w:tab/>
      </w:r>
      <w:r w:rsidR="003807F0">
        <w:rPr>
          <w:rFonts w:asciiTheme="majorBidi" w:hAnsiTheme="majorBidi" w:cstheme="majorBidi"/>
          <w:b w:val="0"/>
          <w:color w:val="auto"/>
          <w:sz w:val="24"/>
          <w:szCs w:val="24"/>
        </w:rPr>
        <w:tab/>
      </w:r>
      <w:r w:rsidR="000C618A" w:rsidRPr="00731D3F">
        <w:rPr>
          <w:rFonts w:asciiTheme="majorBidi" w:hAnsiTheme="majorBidi" w:cstheme="majorBidi"/>
          <w:b w:val="0"/>
          <w:color w:val="auto"/>
          <w:sz w:val="24"/>
          <w:szCs w:val="24"/>
        </w:rPr>
        <w:t xml:space="preserve">Le but de ce chapitre </w:t>
      </w:r>
      <w:r w:rsidR="00645272">
        <w:rPr>
          <w:rFonts w:asciiTheme="majorBidi" w:hAnsiTheme="majorBidi" w:cstheme="majorBidi"/>
          <w:b w:val="0"/>
          <w:color w:val="auto"/>
          <w:sz w:val="24"/>
          <w:szCs w:val="24"/>
        </w:rPr>
        <w:t>est</w:t>
      </w:r>
      <w:r w:rsidR="000C618A" w:rsidRPr="00731D3F">
        <w:rPr>
          <w:rFonts w:asciiTheme="majorBidi" w:hAnsiTheme="majorBidi" w:cstheme="majorBidi"/>
          <w:b w:val="0"/>
          <w:color w:val="auto"/>
          <w:sz w:val="24"/>
          <w:szCs w:val="24"/>
        </w:rPr>
        <w:t xml:space="preserve"> </w:t>
      </w:r>
      <w:r w:rsidR="0053373E" w:rsidRPr="00731D3F">
        <w:rPr>
          <w:rFonts w:asciiTheme="majorBidi" w:hAnsiTheme="majorBidi" w:cstheme="majorBidi"/>
          <w:b w:val="0"/>
          <w:color w:val="auto"/>
          <w:sz w:val="24"/>
          <w:szCs w:val="24"/>
        </w:rPr>
        <w:t>de vérifier la transposition des quarante (40) recommandations du GAFI dans le dispositif national de lutte</w:t>
      </w:r>
      <w:r w:rsidR="0075278E" w:rsidRPr="00731D3F">
        <w:rPr>
          <w:rFonts w:asciiTheme="majorBidi" w:hAnsiTheme="majorBidi" w:cstheme="majorBidi"/>
          <w:b w:val="0"/>
          <w:color w:val="auto"/>
          <w:sz w:val="24"/>
          <w:szCs w:val="24"/>
        </w:rPr>
        <w:t xml:space="preserve"> contre le blanchiment d’argent. Cette</w:t>
      </w:r>
      <w:r w:rsidR="00192282" w:rsidRPr="00731D3F">
        <w:rPr>
          <w:rFonts w:asciiTheme="majorBidi" w:hAnsiTheme="majorBidi" w:cstheme="majorBidi"/>
          <w:b w:val="0"/>
          <w:color w:val="auto"/>
          <w:sz w:val="24"/>
          <w:szCs w:val="24"/>
        </w:rPr>
        <w:t xml:space="preserve"> vérification se </w:t>
      </w:r>
      <w:r w:rsidR="0075278E" w:rsidRPr="00731D3F">
        <w:rPr>
          <w:rFonts w:asciiTheme="majorBidi" w:hAnsiTheme="majorBidi" w:cstheme="majorBidi"/>
          <w:b w:val="0"/>
          <w:color w:val="auto"/>
          <w:sz w:val="24"/>
          <w:szCs w:val="24"/>
        </w:rPr>
        <w:t>focalisera principalement sur les recommandations qui</w:t>
      </w:r>
      <w:r w:rsidR="003807F0">
        <w:rPr>
          <w:rFonts w:asciiTheme="majorBidi" w:hAnsiTheme="majorBidi" w:cstheme="majorBidi"/>
          <w:b w:val="0"/>
          <w:color w:val="auto"/>
          <w:sz w:val="24"/>
          <w:szCs w:val="24"/>
        </w:rPr>
        <w:t xml:space="preserve"> traitent </w:t>
      </w:r>
      <w:r w:rsidR="00EE5286">
        <w:rPr>
          <w:rFonts w:asciiTheme="majorBidi" w:hAnsiTheme="majorBidi" w:cstheme="majorBidi"/>
          <w:b w:val="0"/>
          <w:color w:val="auto"/>
          <w:sz w:val="24"/>
          <w:szCs w:val="24"/>
        </w:rPr>
        <w:t>les opérations bancaires sujettes de notre étude.</w:t>
      </w:r>
      <w:r w:rsidR="00990B39" w:rsidRPr="00731D3F">
        <w:rPr>
          <w:rFonts w:asciiTheme="majorBidi" w:hAnsiTheme="majorBidi" w:cstheme="majorBidi"/>
          <w:b w:val="0"/>
          <w:color w:val="auto"/>
          <w:sz w:val="24"/>
          <w:szCs w:val="24"/>
        </w:rPr>
        <w:t xml:space="preserve"> </w:t>
      </w:r>
      <w:r w:rsidR="00EE5286">
        <w:rPr>
          <w:rFonts w:asciiTheme="majorBidi" w:hAnsiTheme="majorBidi" w:cstheme="majorBidi"/>
          <w:b w:val="0"/>
          <w:color w:val="auto"/>
          <w:sz w:val="24"/>
          <w:szCs w:val="24"/>
        </w:rPr>
        <w:t xml:space="preserve">Les principales obligations qui vont être </w:t>
      </w:r>
      <w:r w:rsidR="00C51DE7">
        <w:rPr>
          <w:rFonts w:asciiTheme="majorBidi" w:hAnsiTheme="majorBidi" w:cstheme="majorBidi"/>
          <w:b w:val="0"/>
          <w:color w:val="auto"/>
          <w:sz w:val="24"/>
          <w:szCs w:val="24"/>
        </w:rPr>
        <w:t>développées et vérifiées</w:t>
      </w:r>
      <w:r w:rsidR="00EE5286">
        <w:rPr>
          <w:rFonts w:asciiTheme="majorBidi" w:hAnsiTheme="majorBidi" w:cstheme="majorBidi"/>
          <w:b w:val="0"/>
          <w:color w:val="auto"/>
          <w:sz w:val="24"/>
          <w:szCs w:val="24"/>
        </w:rPr>
        <w:t xml:space="preserve"> sont</w:t>
      </w:r>
      <w:r w:rsidR="00C51DE7">
        <w:rPr>
          <w:rFonts w:asciiTheme="majorBidi" w:hAnsiTheme="majorBidi" w:cstheme="majorBidi"/>
          <w:b w:val="0"/>
          <w:color w:val="auto"/>
          <w:sz w:val="24"/>
          <w:szCs w:val="24"/>
        </w:rPr>
        <w:t xml:space="preserve"> </w:t>
      </w:r>
      <w:r w:rsidR="00EE5286">
        <w:rPr>
          <w:rFonts w:asciiTheme="majorBidi" w:hAnsiTheme="majorBidi" w:cstheme="majorBidi"/>
          <w:b w:val="0"/>
          <w:color w:val="auto"/>
          <w:sz w:val="24"/>
          <w:szCs w:val="24"/>
        </w:rPr>
        <w:t xml:space="preserve"> citées </w:t>
      </w:r>
      <w:r w:rsidR="00990B39" w:rsidRPr="00731D3F">
        <w:rPr>
          <w:rFonts w:asciiTheme="majorBidi" w:hAnsiTheme="majorBidi" w:cstheme="majorBidi"/>
          <w:b w:val="0"/>
          <w:color w:val="auto"/>
          <w:sz w:val="24"/>
          <w:szCs w:val="24"/>
        </w:rPr>
        <w:t>ci-après :</w:t>
      </w:r>
    </w:p>
    <w:p w:rsidR="00990B39" w:rsidRPr="00731D3F" w:rsidRDefault="00EE5286" w:rsidP="00EE5286">
      <w:pPr>
        <w:pStyle w:val="Sous-titre"/>
        <w:numPr>
          <w:ilvl w:val="0"/>
          <w:numId w:val="8"/>
        </w:numPr>
        <w:tabs>
          <w:tab w:val="left" w:pos="0"/>
        </w:tabs>
        <w:spacing w:line="360" w:lineRule="auto"/>
        <w:jc w:val="left"/>
        <w:rPr>
          <w:rFonts w:asciiTheme="majorBidi" w:hAnsiTheme="majorBidi" w:cstheme="majorBidi"/>
          <w:bCs/>
          <w:lang w:eastAsia="fr-FR"/>
        </w:rPr>
      </w:pPr>
      <w:r>
        <w:rPr>
          <w:rFonts w:asciiTheme="majorBidi" w:hAnsiTheme="majorBidi" w:cstheme="majorBidi"/>
          <w:bCs/>
          <w:lang w:eastAsia="fr-FR"/>
        </w:rPr>
        <w:t>Le d</w:t>
      </w:r>
      <w:r w:rsidR="00990B39" w:rsidRPr="00731D3F">
        <w:rPr>
          <w:rFonts w:asciiTheme="majorBidi" w:hAnsiTheme="majorBidi" w:cstheme="majorBidi"/>
          <w:bCs/>
          <w:lang w:eastAsia="fr-FR"/>
        </w:rPr>
        <w:t>evoir de vigilance (due diligence) relatif à la clientèle</w:t>
      </w:r>
      <w:r w:rsidR="00531360">
        <w:rPr>
          <w:rFonts w:asciiTheme="majorBidi" w:hAnsiTheme="majorBidi" w:cstheme="majorBidi"/>
          <w:bCs/>
          <w:lang w:eastAsia="fr-FR"/>
        </w:rPr>
        <w:t> ;</w:t>
      </w:r>
    </w:p>
    <w:p w:rsidR="00990B39" w:rsidRPr="00731D3F" w:rsidRDefault="00EE5286" w:rsidP="00093C9E">
      <w:pPr>
        <w:pStyle w:val="Paragraphedeliste"/>
        <w:numPr>
          <w:ilvl w:val="0"/>
          <w:numId w:val="8"/>
        </w:numPr>
        <w:spacing w:line="360" w:lineRule="auto"/>
        <w:rPr>
          <w:rFonts w:asciiTheme="majorBidi" w:eastAsia="Times New Roman" w:hAnsiTheme="majorBidi" w:cstheme="majorBidi"/>
          <w:bCs/>
          <w:sz w:val="24"/>
          <w:szCs w:val="24"/>
          <w:lang w:eastAsia="fr-FR"/>
        </w:rPr>
      </w:pPr>
      <w:r>
        <w:rPr>
          <w:rFonts w:asciiTheme="majorBidi" w:eastAsia="Times New Roman" w:hAnsiTheme="majorBidi" w:cstheme="majorBidi"/>
          <w:bCs/>
          <w:sz w:val="24"/>
          <w:szCs w:val="24"/>
          <w:lang w:eastAsia="fr-FR"/>
        </w:rPr>
        <w:t>Le d</w:t>
      </w:r>
      <w:r w:rsidR="00990B39" w:rsidRPr="00731D3F">
        <w:rPr>
          <w:rFonts w:asciiTheme="majorBidi" w:eastAsia="Times New Roman" w:hAnsiTheme="majorBidi" w:cstheme="majorBidi"/>
          <w:bCs/>
          <w:sz w:val="24"/>
          <w:szCs w:val="24"/>
          <w:lang w:eastAsia="fr-FR"/>
        </w:rPr>
        <w:t>evoir de conservation des documents</w:t>
      </w:r>
      <w:r w:rsidR="00531360">
        <w:rPr>
          <w:rFonts w:asciiTheme="majorBidi" w:eastAsia="Times New Roman" w:hAnsiTheme="majorBidi" w:cstheme="majorBidi"/>
          <w:bCs/>
          <w:sz w:val="24"/>
          <w:szCs w:val="24"/>
          <w:lang w:eastAsia="fr-FR"/>
        </w:rPr>
        <w:t> ;</w:t>
      </w:r>
      <w:r w:rsidR="00990B39" w:rsidRPr="00731D3F">
        <w:rPr>
          <w:rFonts w:asciiTheme="majorBidi" w:eastAsia="Times New Roman" w:hAnsiTheme="majorBidi" w:cstheme="majorBidi"/>
          <w:bCs/>
          <w:sz w:val="24"/>
          <w:szCs w:val="24"/>
          <w:lang w:eastAsia="fr-FR"/>
        </w:rPr>
        <w:t> </w:t>
      </w:r>
    </w:p>
    <w:p w:rsidR="00E35964" w:rsidRPr="00E35964" w:rsidRDefault="00EE5286" w:rsidP="00FA4318">
      <w:pPr>
        <w:pStyle w:val="Paragraphedeliste"/>
        <w:numPr>
          <w:ilvl w:val="0"/>
          <w:numId w:val="8"/>
        </w:numPr>
        <w:spacing w:line="360" w:lineRule="auto"/>
        <w:rPr>
          <w:rFonts w:asciiTheme="majorBidi" w:eastAsia="Times New Roman" w:hAnsiTheme="majorBidi" w:cstheme="majorBidi"/>
          <w:bCs/>
          <w:sz w:val="23"/>
          <w:szCs w:val="23"/>
          <w:lang w:eastAsia="fr-FR"/>
        </w:rPr>
      </w:pPr>
      <w:r>
        <w:rPr>
          <w:rFonts w:asciiTheme="majorBidi" w:eastAsia="Times New Roman" w:hAnsiTheme="majorBidi" w:cstheme="majorBidi"/>
          <w:bCs/>
          <w:sz w:val="24"/>
          <w:szCs w:val="24"/>
          <w:lang w:eastAsia="fr-FR"/>
        </w:rPr>
        <w:t>Le d</w:t>
      </w:r>
      <w:r w:rsidR="00FA4318" w:rsidRPr="00731D3F">
        <w:rPr>
          <w:rFonts w:asciiTheme="majorBidi" w:eastAsia="Times New Roman" w:hAnsiTheme="majorBidi" w:cstheme="majorBidi"/>
          <w:bCs/>
          <w:sz w:val="24"/>
          <w:szCs w:val="24"/>
          <w:lang w:eastAsia="fr-FR"/>
        </w:rPr>
        <w:t>evoir de f</w:t>
      </w:r>
      <w:r w:rsidR="00990B39" w:rsidRPr="00731D3F">
        <w:rPr>
          <w:rFonts w:asciiTheme="majorBidi" w:eastAsia="Times New Roman" w:hAnsiTheme="majorBidi" w:cstheme="majorBidi"/>
          <w:bCs/>
          <w:sz w:val="24"/>
          <w:szCs w:val="24"/>
          <w:lang w:eastAsia="fr-FR"/>
        </w:rPr>
        <w:t xml:space="preserve">ormation continue, </w:t>
      </w:r>
      <w:r w:rsidR="00645272">
        <w:rPr>
          <w:rFonts w:asciiTheme="majorBidi" w:eastAsia="Times New Roman" w:hAnsiTheme="majorBidi" w:cstheme="majorBidi"/>
          <w:bCs/>
          <w:sz w:val="24"/>
          <w:szCs w:val="24"/>
          <w:lang w:eastAsia="fr-FR"/>
        </w:rPr>
        <w:t>d’</w:t>
      </w:r>
      <w:r w:rsidR="00990B39" w:rsidRPr="00731D3F">
        <w:rPr>
          <w:rFonts w:asciiTheme="majorBidi" w:eastAsia="Times New Roman" w:hAnsiTheme="majorBidi" w:cstheme="majorBidi"/>
          <w:bCs/>
          <w:sz w:val="24"/>
          <w:szCs w:val="24"/>
          <w:lang w:eastAsia="fr-FR"/>
        </w:rPr>
        <w:t xml:space="preserve">information et </w:t>
      </w:r>
      <w:r w:rsidR="00645272">
        <w:rPr>
          <w:rFonts w:asciiTheme="majorBidi" w:eastAsia="Times New Roman" w:hAnsiTheme="majorBidi" w:cstheme="majorBidi"/>
          <w:bCs/>
          <w:sz w:val="24"/>
          <w:szCs w:val="24"/>
          <w:lang w:eastAsia="fr-FR"/>
        </w:rPr>
        <w:t xml:space="preserve">de </w:t>
      </w:r>
      <w:r w:rsidR="00990B39" w:rsidRPr="00731D3F">
        <w:rPr>
          <w:rFonts w:asciiTheme="majorBidi" w:eastAsia="Times New Roman" w:hAnsiTheme="majorBidi" w:cstheme="majorBidi"/>
          <w:bCs/>
          <w:sz w:val="24"/>
          <w:szCs w:val="24"/>
          <w:lang w:eastAsia="fr-FR"/>
        </w:rPr>
        <w:t>conformité</w:t>
      </w:r>
      <w:r w:rsidR="00531360">
        <w:rPr>
          <w:rFonts w:asciiTheme="majorBidi" w:eastAsia="Times New Roman" w:hAnsiTheme="majorBidi" w:cstheme="majorBidi"/>
          <w:bCs/>
          <w:sz w:val="24"/>
          <w:szCs w:val="24"/>
          <w:lang w:eastAsia="fr-FR"/>
        </w:rPr>
        <w:t>.</w:t>
      </w:r>
    </w:p>
    <w:p w:rsidR="00E35964" w:rsidRPr="00E35964" w:rsidRDefault="00E35964" w:rsidP="00E35964">
      <w:pPr>
        <w:pStyle w:val="Paragraphedeliste"/>
        <w:spacing w:line="360" w:lineRule="auto"/>
        <w:rPr>
          <w:rFonts w:asciiTheme="majorBidi" w:eastAsia="Times New Roman" w:hAnsiTheme="majorBidi" w:cstheme="majorBidi"/>
          <w:bCs/>
          <w:sz w:val="23"/>
          <w:szCs w:val="23"/>
          <w:lang w:eastAsia="fr-FR"/>
        </w:rPr>
      </w:pPr>
    </w:p>
    <w:p w:rsidR="00780C14" w:rsidRDefault="00780C14" w:rsidP="00093C9E">
      <w:pPr>
        <w:spacing w:line="360" w:lineRule="auto"/>
        <w:rPr>
          <w:rFonts w:asciiTheme="majorBidi" w:hAnsiTheme="majorBidi" w:cstheme="majorBidi"/>
          <w:sz w:val="24"/>
          <w:szCs w:val="24"/>
          <w:lang w:eastAsia="en-US"/>
        </w:rPr>
      </w:pPr>
    </w:p>
    <w:p w:rsidR="00EE5286" w:rsidRDefault="00EE5286" w:rsidP="00093C9E">
      <w:pPr>
        <w:spacing w:line="360" w:lineRule="auto"/>
        <w:rPr>
          <w:rFonts w:asciiTheme="majorBidi" w:hAnsiTheme="majorBidi" w:cstheme="majorBidi"/>
          <w:sz w:val="24"/>
          <w:szCs w:val="24"/>
          <w:lang w:eastAsia="en-US"/>
        </w:rPr>
      </w:pPr>
    </w:p>
    <w:p w:rsidR="009800A1" w:rsidRDefault="009800A1" w:rsidP="00CA64E2">
      <w:pPr>
        <w:spacing w:line="360" w:lineRule="auto"/>
        <w:jc w:val="center"/>
        <w:rPr>
          <w:rFonts w:asciiTheme="majorBidi" w:hAnsiTheme="majorBidi" w:cstheme="majorBidi"/>
          <w:b/>
          <w:bCs/>
          <w:caps/>
          <w:color w:val="000000"/>
          <w:sz w:val="28"/>
          <w:szCs w:val="28"/>
        </w:rPr>
      </w:pPr>
      <w:bookmarkStart w:id="0" w:name="_Toc246078294"/>
    </w:p>
    <w:p w:rsidR="00780C14" w:rsidRPr="00CA64E2" w:rsidRDefault="00421C17" w:rsidP="00CA64E2">
      <w:pPr>
        <w:spacing w:line="360" w:lineRule="auto"/>
        <w:jc w:val="center"/>
        <w:rPr>
          <w:rFonts w:asciiTheme="majorBidi" w:hAnsiTheme="majorBidi" w:cstheme="majorBidi"/>
          <w:b/>
          <w:bCs/>
          <w:caps/>
          <w:color w:val="000000"/>
          <w:sz w:val="28"/>
          <w:szCs w:val="28"/>
        </w:rPr>
      </w:pPr>
      <w:r>
        <w:rPr>
          <w:rFonts w:asciiTheme="majorBidi" w:hAnsiTheme="majorBidi" w:cstheme="majorBidi"/>
          <w:b/>
          <w:bCs/>
          <w:caps/>
          <w:color w:val="000000"/>
          <w:sz w:val="28"/>
          <w:szCs w:val="28"/>
        </w:rPr>
        <w:t>SECTION I :</w:t>
      </w:r>
      <w:r w:rsidR="00780C14" w:rsidRPr="00CA64E2">
        <w:rPr>
          <w:rFonts w:asciiTheme="majorBidi" w:hAnsiTheme="majorBidi" w:cstheme="majorBidi"/>
          <w:b/>
          <w:bCs/>
          <w:caps/>
          <w:color w:val="000000"/>
          <w:sz w:val="28"/>
          <w:szCs w:val="28"/>
        </w:rPr>
        <w:t xml:space="preserve"> Devoir de vigilance (due diligence) relatif à la clientèle</w:t>
      </w:r>
      <w:bookmarkEnd w:id="0"/>
    </w:p>
    <w:p w:rsidR="00780C14" w:rsidRPr="00E812F3" w:rsidRDefault="00421C17" w:rsidP="00E53180">
      <w:pPr>
        <w:pStyle w:val="Notedebasdepage"/>
        <w:tabs>
          <w:tab w:val="left" w:pos="567"/>
        </w:tabs>
        <w:spacing w:line="360" w:lineRule="auto"/>
        <w:jc w:val="both"/>
        <w:rPr>
          <w:rFonts w:asciiTheme="majorBidi" w:hAnsiTheme="majorBidi" w:cstheme="majorBidi"/>
          <w:sz w:val="24"/>
          <w:szCs w:val="24"/>
        </w:rPr>
      </w:pPr>
      <w:r>
        <w:rPr>
          <w:rFonts w:asciiTheme="majorBidi" w:hAnsiTheme="majorBidi" w:cstheme="majorBidi"/>
          <w:sz w:val="24"/>
          <w:szCs w:val="24"/>
        </w:rPr>
        <w:tab/>
      </w:r>
      <w:r w:rsidR="00780C14" w:rsidRPr="00E812F3">
        <w:rPr>
          <w:rFonts w:asciiTheme="majorBidi" w:hAnsiTheme="majorBidi" w:cstheme="majorBidi"/>
          <w:sz w:val="24"/>
          <w:szCs w:val="24"/>
        </w:rPr>
        <w:t xml:space="preserve">Le </w:t>
      </w:r>
      <w:r w:rsidR="00780C14" w:rsidRPr="00E812F3">
        <w:rPr>
          <w:rFonts w:asciiTheme="majorBidi" w:hAnsiTheme="majorBidi" w:cstheme="majorBidi"/>
          <w:i/>
          <w:iCs/>
          <w:sz w:val="24"/>
          <w:szCs w:val="24"/>
        </w:rPr>
        <w:t>due diligence</w:t>
      </w:r>
      <w:r w:rsidR="00582F8E" w:rsidRPr="00E812F3">
        <w:rPr>
          <w:rStyle w:val="Appelnotedebasdep"/>
          <w:rFonts w:asciiTheme="majorBidi" w:hAnsiTheme="majorBidi" w:cstheme="majorBidi"/>
          <w:i/>
          <w:iCs/>
          <w:sz w:val="24"/>
          <w:szCs w:val="24"/>
        </w:rPr>
        <w:footnoteReference w:id="2"/>
      </w:r>
      <w:r w:rsidR="00780C14" w:rsidRPr="00E812F3">
        <w:rPr>
          <w:rFonts w:asciiTheme="majorBidi" w:hAnsiTheme="majorBidi" w:cstheme="majorBidi"/>
          <w:sz w:val="24"/>
          <w:szCs w:val="24"/>
        </w:rPr>
        <w:t xml:space="preserve"> </w:t>
      </w:r>
      <w:r w:rsidR="008562BB" w:rsidRPr="00E812F3">
        <w:rPr>
          <w:rFonts w:asciiTheme="majorBidi" w:hAnsiTheme="majorBidi" w:cstheme="majorBidi"/>
          <w:sz w:val="24"/>
          <w:szCs w:val="24"/>
        </w:rPr>
        <w:t>« </w:t>
      </w:r>
      <w:r w:rsidR="00780C14" w:rsidRPr="00E812F3">
        <w:rPr>
          <w:rFonts w:asciiTheme="majorBidi" w:hAnsiTheme="majorBidi" w:cstheme="majorBidi"/>
          <w:sz w:val="24"/>
          <w:szCs w:val="24"/>
        </w:rPr>
        <w:t xml:space="preserve">est un concept anglo-saxon </w:t>
      </w:r>
      <w:r w:rsidR="00582F8E" w:rsidRPr="00E812F3">
        <w:rPr>
          <w:rFonts w:asciiTheme="majorBidi" w:hAnsiTheme="majorBidi" w:cstheme="majorBidi"/>
          <w:sz w:val="24"/>
          <w:szCs w:val="24"/>
        </w:rPr>
        <w:t xml:space="preserve">utilisé pour un certain nombre de concepts impliquant soit une enquête sur une entreprise ou sur une personne avant </w:t>
      </w:r>
      <w:r w:rsidR="003F0157" w:rsidRPr="00E812F3">
        <w:rPr>
          <w:rFonts w:asciiTheme="majorBidi" w:hAnsiTheme="majorBidi" w:cstheme="majorBidi"/>
          <w:sz w:val="24"/>
          <w:szCs w:val="24"/>
        </w:rPr>
        <w:t>la signature d’un</w:t>
      </w:r>
      <w:r w:rsidR="00582F8E" w:rsidRPr="00E812F3">
        <w:rPr>
          <w:rFonts w:asciiTheme="majorBidi" w:hAnsiTheme="majorBidi" w:cstheme="majorBidi"/>
          <w:sz w:val="24"/>
          <w:szCs w:val="24"/>
        </w:rPr>
        <w:t xml:space="preserve"> contrat</w:t>
      </w:r>
      <w:r w:rsidR="003F0157" w:rsidRPr="00E812F3">
        <w:rPr>
          <w:rFonts w:asciiTheme="majorBidi" w:hAnsiTheme="majorBidi" w:cstheme="majorBidi"/>
          <w:sz w:val="24"/>
          <w:szCs w:val="24"/>
        </w:rPr>
        <w:t xml:space="preserve"> qui nécessite </w:t>
      </w:r>
      <w:r w:rsidR="00582F8E" w:rsidRPr="00E812F3">
        <w:rPr>
          <w:rFonts w:asciiTheme="majorBidi" w:hAnsiTheme="majorBidi" w:cstheme="majorBidi"/>
          <w:sz w:val="24"/>
          <w:szCs w:val="24"/>
        </w:rPr>
        <w:t>un certain niveau d’attention</w:t>
      </w:r>
      <w:r w:rsidR="008562BB" w:rsidRPr="00E812F3">
        <w:rPr>
          <w:rFonts w:asciiTheme="majorBidi" w:hAnsiTheme="majorBidi" w:cstheme="majorBidi"/>
          <w:sz w:val="24"/>
          <w:szCs w:val="24"/>
        </w:rPr>
        <w:t> »</w:t>
      </w:r>
      <w:r w:rsidR="00582F8E" w:rsidRPr="00E812F3">
        <w:rPr>
          <w:rFonts w:asciiTheme="majorBidi" w:hAnsiTheme="majorBidi" w:cstheme="majorBidi"/>
          <w:sz w:val="24"/>
          <w:szCs w:val="24"/>
        </w:rPr>
        <w:t>.</w:t>
      </w:r>
      <w:r w:rsidR="00780C14" w:rsidRPr="00E812F3">
        <w:rPr>
          <w:rFonts w:asciiTheme="majorBidi" w:hAnsiTheme="majorBidi" w:cstheme="majorBidi"/>
          <w:sz w:val="24"/>
          <w:szCs w:val="24"/>
        </w:rPr>
        <w:t xml:space="preserve"> C’est pour quoi les banques sont tenues de se disposer des procédures de contrôle approprié. L’aspect majeur des contrôles effectués par les banques réside dans un devoir de diligence adéquat au sujet de la clientèle nouvelle et existante. Si ce devoir de diligence fait défaut, les banques peuvent être amenées à subir un préjudice financier substantiel lié au risque d’atteinte à la réputation, au risque opérationnel, au risque juridique et au risque de concentration , </w:t>
      </w:r>
      <w:r w:rsidR="008562BB" w:rsidRPr="00E812F3">
        <w:rPr>
          <w:rFonts w:asciiTheme="majorBidi" w:hAnsiTheme="majorBidi" w:cstheme="majorBidi"/>
          <w:sz w:val="24"/>
          <w:szCs w:val="24"/>
        </w:rPr>
        <w:t xml:space="preserve">les risques qui ne </w:t>
      </w:r>
      <w:r w:rsidR="00780C14" w:rsidRPr="00E812F3">
        <w:rPr>
          <w:rFonts w:asciiTheme="majorBidi" w:hAnsiTheme="majorBidi" w:cstheme="majorBidi"/>
          <w:sz w:val="24"/>
          <w:szCs w:val="24"/>
        </w:rPr>
        <w:t xml:space="preserve"> </w:t>
      </w:r>
      <w:r w:rsidR="00D754A6" w:rsidRPr="00E812F3">
        <w:rPr>
          <w:rFonts w:asciiTheme="majorBidi" w:hAnsiTheme="majorBidi" w:cstheme="majorBidi"/>
          <w:sz w:val="24"/>
          <w:szCs w:val="24"/>
        </w:rPr>
        <w:t>seraient</w:t>
      </w:r>
      <w:r w:rsidR="00780C14" w:rsidRPr="00E812F3">
        <w:rPr>
          <w:rFonts w:asciiTheme="majorBidi" w:hAnsiTheme="majorBidi" w:cstheme="majorBidi"/>
          <w:sz w:val="24"/>
          <w:szCs w:val="24"/>
        </w:rPr>
        <w:t xml:space="preserve"> maitrisés </w:t>
      </w:r>
      <w:r w:rsidR="008562BB" w:rsidRPr="00E812F3">
        <w:rPr>
          <w:rFonts w:asciiTheme="majorBidi" w:hAnsiTheme="majorBidi" w:cstheme="majorBidi"/>
          <w:sz w:val="24"/>
          <w:szCs w:val="24"/>
        </w:rPr>
        <w:t xml:space="preserve">qu’a travers une </w:t>
      </w:r>
      <w:r w:rsidR="00780C14" w:rsidRPr="00E812F3">
        <w:rPr>
          <w:rFonts w:asciiTheme="majorBidi" w:hAnsiTheme="majorBidi" w:cstheme="majorBidi"/>
          <w:sz w:val="24"/>
          <w:szCs w:val="24"/>
        </w:rPr>
        <w:t xml:space="preserve">politique saine  en matière de connaissance de la  clientèle (CC ou KYC : </w:t>
      </w:r>
      <w:r w:rsidR="00780C14" w:rsidRPr="00E812F3">
        <w:rPr>
          <w:rFonts w:asciiTheme="majorBidi" w:hAnsiTheme="majorBidi" w:cstheme="majorBidi"/>
          <w:i/>
          <w:iCs/>
          <w:sz w:val="24"/>
          <w:szCs w:val="24"/>
        </w:rPr>
        <w:t>Know Your Customer</w:t>
      </w:r>
      <w:r w:rsidR="00780C14" w:rsidRPr="00E812F3">
        <w:rPr>
          <w:rFonts w:asciiTheme="majorBidi" w:hAnsiTheme="majorBidi" w:cstheme="majorBidi"/>
          <w:sz w:val="24"/>
          <w:szCs w:val="24"/>
        </w:rPr>
        <w:t>).</w:t>
      </w:r>
    </w:p>
    <w:p w:rsidR="00780C14" w:rsidRPr="00E812F3" w:rsidRDefault="00780C14" w:rsidP="00E812F3">
      <w:pPr>
        <w:autoSpaceDE w:val="0"/>
        <w:autoSpaceDN w:val="0"/>
        <w:adjustRightInd w:val="0"/>
        <w:spacing w:after="0" w:line="360" w:lineRule="auto"/>
        <w:jc w:val="both"/>
        <w:rPr>
          <w:rFonts w:asciiTheme="majorBidi" w:hAnsiTheme="majorBidi" w:cstheme="majorBidi"/>
          <w:sz w:val="24"/>
          <w:szCs w:val="24"/>
        </w:rPr>
      </w:pPr>
    </w:p>
    <w:p w:rsidR="00780C14" w:rsidRPr="00CA64E2" w:rsidRDefault="00FB24D5" w:rsidP="00CA64E2">
      <w:pPr>
        <w:pStyle w:val="Paragraphedeliste"/>
        <w:numPr>
          <w:ilvl w:val="0"/>
          <w:numId w:val="13"/>
        </w:numPr>
        <w:tabs>
          <w:tab w:val="left" w:pos="284"/>
        </w:tabs>
        <w:autoSpaceDE w:val="0"/>
        <w:autoSpaceDN w:val="0"/>
        <w:adjustRightInd w:val="0"/>
        <w:spacing w:line="360" w:lineRule="auto"/>
        <w:ind w:left="0" w:firstLine="0"/>
        <w:jc w:val="both"/>
        <w:rPr>
          <w:rStyle w:val="Emphaseintense"/>
          <w:rFonts w:asciiTheme="majorBidi" w:hAnsiTheme="majorBidi" w:cstheme="majorBidi"/>
          <w:i w:val="0"/>
          <w:iCs w:val="0"/>
          <w:color w:val="auto"/>
          <w:sz w:val="24"/>
          <w:szCs w:val="24"/>
        </w:rPr>
      </w:pPr>
      <w:bookmarkStart w:id="1" w:name="_Ref242689696"/>
      <w:r>
        <w:rPr>
          <w:rStyle w:val="Emphaseintense"/>
          <w:rFonts w:asciiTheme="majorBidi" w:hAnsiTheme="majorBidi" w:cstheme="majorBidi"/>
          <w:i w:val="0"/>
          <w:iCs w:val="0"/>
          <w:color w:val="auto"/>
          <w:sz w:val="24"/>
          <w:szCs w:val="24"/>
        </w:rPr>
        <w:t xml:space="preserve">LA </w:t>
      </w:r>
      <w:r w:rsidR="00421C17" w:rsidRPr="00CA64E2">
        <w:rPr>
          <w:rStyle w:val="Emphaseintense"/>
          <w:rFonts w:asciiTheme="majorBidi" w:hAnsiTheme="majorBidi" w:cstheme="majorBidi"/>
          <w:i w:val="0"/>
          <w:iCs w:val="0"/>
          <w:color w:val="auto"/>
          <w:sz w:val="24"/>
          <w:szCs w:val="24"/>
        </w:rPr>
        <w:t>CONNAISSANCE DE LA CLIENTELE ET DES OPERATIONS</w:t>
      </w:r>
      <w:bookmarkEnd w:id="1"/>
      <w:r w:rsidR="00421C17" w:rsidRPr="00CA64E2">
        <w:rPr>
          <w:rStyle w:val="Emphaseintense"/>
          <w:rFonts w:asciiTheme="majorBidi" w:hAnsiTheme="majorBidi" w:cstheme="majorBidi"/>
          <w:i w:val="0"/>
          <w:iCs w:val="0"/>
          <w:color w:val="auto"/>
          <w:sz w:val="24"/>
          <w:szCs w:val="24"/>
        </w:rPr>
        <w:t> </w:t>
      </w:r>
    </w:p>
    <w:p w:rsidR="00780C14" w:rsidRPr="00E812F3" w:rsidRDefault="00421C17" w:rsidP="00CA64E2">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ab/>
      </w:r>
      <w:r w:rsidR="00E53180">
        <w:rPr>
          <w:rFonts w:asciiTheme="majorBidi" w:hAnsiTheme="majorBidi" w:cstheme="majorBidi"/>
          <w:sz w:val="24"/>
          <w:szCs w:val="24"/>
        </w:rPr>
        <w:tab/>
      </w:r>
      <w:r w:rsidR="00780C14" w:rsidRPr="00E812F3">
        <w:rPr>
          <w:rFonts w:asciiTheme="majorBidi" w:hAnsiTheme="majorBidi" w:cstheme="majorBidi"/>
          <w:sz w:val="24"/>
          <w:szCs w:val="24"/>
        </w:rPr>
        <w:t>Avant de procéder à la détermination des obligations des banques en terme de vigilance telles que prévues par la réglementation algérienne, Il serait utile de connaître la signification du  terme « client »</w:t>
      </w:r>
      <w:r w:rsidR="00CA64E2">
        <w:rPr>
          <w:rFonts w:asciiTheme="majorBidi" w:hAnsiTheme="majorBidi" w:cstheme="majorBidi"/>
          <w:sz w:val="24"/>
          <w:szCs w:val="24"/>
        </w:rPr>
        <w:t>. Il est défini</w:t>
      </w:r>
      <w:r w:rsidR="00780C14" w:rsidRPr="00E812F3">
        <w:rPr>
          <w:rFonts w:asciiTheme="majorBidi" w:hAnsiTheme="majorBidi" w:cstheme="majorBidi"/>
          <w:sz w:val="24"/>
          <w:szCs w:val="24"/>
        </w:rPr>
        <w:t xml:space="preserve"> </w:t>
      </w:r>
      <w:r w:rsidR="00492D42" w:rsidRPr="00E812F3">
        <w:rPr>
          <w:rFonts w:asciiTheme="majorBidi" w:hAnsiTheme="majorBidi" w:cstheme="majorBidi"/>
          <w:sz w:val="24"/>
          <w:szCs w:val="24"/>
        </w:rPr>
        <w:t xml:space="preserve">par le législateur algérien </w:t>
      </w:r>
      <w:r w:rsidR="00780C14" w:rsidRPr="00E812F3">
        <w:rPr>
          <w:rFonts w:asciiTheme="majorBidi" w:hAnsiTheme="majorBidi" w:cstheme="majorBidi"/>
          <w:sz w:val="24"/>
          <w:szCs w:val="24"/>
        </w:rPr>
        <w:t>comme</w:t>
      </w:r>
      <w:r w:rsidR="00CA64E2">
        <w:rPr>
          <w:rStyle w:val="Appelnotedebasdep"/>
          <w:rFonts w:asciiTheme="majorBidi" w:hAnsiTheme="majorBidi" w:cstheme="majorBidi"/>
          <w:sz w:val="24"/>
          <w:szCs w:val="24"/>
        </w:rPr>
        <w:footnoteReference w:id="3"/>
      </w:r>
      <w:r w:rsidR="00780C14" w:rsidRPr="00E812F3">
        <w:rPr>
          <w:rFonts w:asciiTheme="majorBidi" w:hAnsiTheme="majorBidi" w:cstheme="majorBidi"/>
          <w:sz w:val="24"/>
          <w:szCs w:val="24"/>
        </w:rPr>
        <w:t>:</w:t>
      </w:r>
    </w:p>
    <w:p w:rsidR="00780C14" w:rsidRPr="00E812F3" w:rsidRDefault="00780C14" w:rsidP="00E812F3">
      <w:pPr>
        <w:autoSpaceDE w:val="0"/>
        <w:autoSpaceDN w:val="0"/>
        <w:adjustRightInd w:val="0"/>
        <w:spacing w:after="0" w:line="360" w:lineRule="auto"/>
        <w:jc w:val="both"/>
        <w:rPr>
          <w:rFonts w:asciiTheme="majorBidi" w:hAnsiTheme="majorBidi" w:cstheme="majorBidi"/>
          <w:sz w:val="24"/>
          <w:szCs w:val="24"/>
        </w:rPr>
      </w:pPr>
      <w:r w:rsidRPr="00E812F3">
        <w:rPr>
          <w:rFonts w:asciiTheme="majorBidi" w:hAnsiTheme="majorBidi" w:cstheme="majorBidi"/>
          <w:sz w:val="24"/>
          <w:szCs w:val="24"/>
        </w:rPr>
        <w:t>• toute personne ou entité titulaire d’un compte auprès de la banque ou au nom de laquelle un compte est ouvert (propriétaire effectif du compte) ;</w:t>
      </w:r>
    </w:p>
    <w:p w:rsidR="00780C14" w:rsidRPr="00E812F3" w:rsidRDefault="00780C14" w:rsidP="00E812F3">
      <w:pPr>
        <w:autoSpaceDE w:val="0"/>
        <w:autoSpaceDN w:val="0"/>
        <w:adjustRightInd w:val="0"/>
        <w:spacing w:after="0" w:line="360" w:lineRule="auto"/>
        <w:jc w:val="both"/>
        <w:rPr>
          <w:rFonts w:asciiTheme="majorBidi" w:hAnsiTheme="majorBidi" w:cstheme="majorBidi"/>
          <w:sz w:val="24"/>
          <w:szCs w:val="24"/>
        </w:rPr>
      </w:pPr>
      <w:r w:rsidRPr="00E812F3">
        <w:rPr>
          <w:rFonts w:asciiTheme="majorBidi" w:hAnsiTheme="majorBidi" w:cstheme="majorBidi"/>
          <w:sz w:val="24"/>
          <w:szCs w:val="24"/>
        </w:rPr>
        <w:t>• les bénéficiaires de transactions effectuées par des intermédiaires professionnels ;</w:t>
      </w:r>
    </w:p>
    <w:p w:rsidR="00780C14" w:rsidRPr="00E812F3" w:rsidRDefault="00780C14" w:rsidP="00E812F3">
      <w:pPr>
        <w:autoSpaceDE w:val="0"/>
        <w:autoSpaceDN w:val="0"/>
        <w:adjustRightInd w:val="0"/>
        <w:spacing w:after="0" w:line="360" w:lineRule="auto"/>
        <w:jc w:val="both"/>
        <w:rPr>
          <w:rFonts w:asciiTheme="majorBidi" w:hAnsiTheme="majorBidi" w:cstheme="majorBidi"/>
          <w:sz w:val="24"/>
          <w:szCs w:val="24"/>
        </w:rPr>
      </w:pPr>
      <w:r w:rsidRPr="00E812F3">
        <w:rPr>
          <w:rFonts w:asciiTheme="majorBidi" w:hAnsiTheme="majorBidi" w:cstheme="majorBidi"/>
          <w:sz w:val="24"/>
          <w:szCs w:val="24"/>
        </w:rPr>
        <w:t>• les clients occasionnels ;</w:t>
      </w:r>
    </w:p>
    <w:p w:rsidR="00780C14" w:rsidRPr="00E812F3" w:rsidRDefault="00780C14" w:rsidP="00E812F3">
      <w:pPr>
        <w:autoSpaceDE w:val="0"/>
        <w:autoSpaceDN w:val="0"/>
        <w:adjustRightInd w:val="0"/>
        <w:spacing w:after="0" w:line="360" w:lineRule="auto"/>
        <w:jc w:val="both"/>
        <w:rPr>
          <w:rFonts w:asciiTheme="majorBidi" w:hAnsiTheme="majorBidi" w:cstheme="majorBidi"/>
          <w:sz w:val="24"/>
          <w:szCs w:val="24"/>
        </w:rPr>
      </w:pPr>
      <w:r w:rsidRPr="00E812F3">
        <w:rPr>
          <w:rFonts w:asciiTheme="majorBidi" w:hAnsiTheme="majorBidi" w:cstheme="majorBidi"/>
          <w:sz w:val="24"/>
          <w:szCs w:val="24"/>
        </w:rPr>
        <w:t>• les mandataires et les agents agissant pour le compte d’autrui ;</w:t>
      </w:r>
    </w:p>
    <w:p w:rsidR="00780C14" w:rsidRPr="00E812F3" w:rsidRDefault="00780C14" w:rsidP="00E812F3">
      <w:pPr>
        <w:autoSpaceDE w:val="0"/>
        <w:autoSpaceDN w:val="0"/>
        <w:adjustRightInd w:val="0"/>
        <w:spacing w:line="360" w:lineRule="auto"/>
        <w:jc w:val="both"/>
        <w:rPr>
          <w:rFonts w:asciiTheme="majorBidi" w:hAnsiTheme="majorBidi" w:cstheme="majorBidi"/>
          <w:sz w:val="24"/>
          <w:szCs w:val="24"/>
        </w:rPr>
      </w:pPr>
      <w:r w:rsidRPr="00E812F3">
        <w:rPr>
          <w:rFonts w:asciiTheme="majorBidi" w:hAnsiTheme="majorBidi" w:cstheme="majorBidi"/>
          <w:sz w:val="24"/>
          <w:szCs w:val="24"/>
        </w:rPr>
        <w:t>• toute personne ou entité associée à une transaction financière effectuée par l’intermédiaire d’une banque, d’un établissement financier ou les services financiers d’Algérie-poste.</w:t>
      </w:r>
    </w:p>
    <w:p w:rsidR="00780C14" w:rsidRPr="00177978" w:rsidRDefault="00421C17" w:rsidP="00E53180">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bCs/>
          <w:sz w:val="24"/>
          <w:szCs w:val="24"/>
        </w:rPr>
        <w:lastRenderedPageBreak/>
        <w:tab/>
      </w:r>
      <w:r w:rsidR="00B55205">
        <w:rPr>
          <w:rFonts w:asciiTheme="majorBidi" w:hAnsiTheme="majorBidi" w:cstheme="majorBidi"/>
          <w:bCs/>
          <w:sz w:val="24"/>
          <w:szCs w:val="24"/>
        </w:rPr>
        <w:tab/>
      </w:r>
      <w:r w:rsidR="00780C14" w:rsidRPr="00E812F3">
        <w:rPr>
          <w:rFonts w:asciiTheme="majorBidi" w:hAnsiTheme="majorBidi" w:cstheme="majorBidi"/>
          <w:bCs/>
          <w:sz w:val="24"/>
          <w:szCs w:val="24"/>
        </w:rPr>
        <w:t xml:space="preserve">Selon la recommandation </w:t>
      </w:r>
      <w:r w:rsidR="006D5FBD">
        <w:rPr>
          <w:rFonts w:asciiTheme="majorBidi" w:hAnsiTheme="majorBidi" w:cstheme="majorBidi"/>
          <w:bCs/>
          <w:sz w:val="24"/>
          <w:szCs w:val="24"/>
        </w:rPr>
        <w:t>(</w:t>
      </w:r>
      <w:r w:rsidR="00780C14" w:rsidRPr="00E812F3">
        <w:rPr>
          <w:rFonts w:asciiTheme="majorBidi" w:hAnsiTheme="majorBidi" w:cstheme="majorBidi"/>
          <w:bCs/>
          <w:sz w:val="24"/>
          <w:szCs w:val="24"/>
        </w:rPr>
        <w:t>5</w:t>
      </w:r>
      <w:r w:rsidR="006D5FBD">
        <w:rPr>
          <w:rFonts w:asciiTheme="majorBidi" w:hAnsiTheme="majorBidi" w:cstheme="majorBidi"/>
          <w:bCs/>
          <w:sz w:val="24"/>
          <w:szCs w:val="24"/>
        </w:rPr>
        <w:t>)</w:t>
      </w:r>
      <w:r w:rsidR="00780C14" w:rsidRPr="00E812F3">
        <w:rPr>
          <w:rFonts w:asciiTheme="majorBidi" w:hAnsiTheme="majorBidi" w:cstheme="majorBidi"/>
          <w:bCs/>
          <w:sz w:val="24"/>
          <w:szCs w:val="24"/>
        </w:rPr>
        <w:t xml:space="preserve"> du GAFI, les institutions financières ne devraient pas tenir de comptes anonymes, ni de c</w:t>
      </w:r>
      <w:r w:rsidR="00780C14" w:rsidRPr="00E812F3">
        <w:rPr>
          <w:rFonts w:asciiTheme="majorBidi" w:hAnsiTheme="majorBidi" w:cstheme="majorBidi"/>
          <w:sz w:val="24"/>
          <w:szCs w:val="24"/>
        </w:rPr>
        <w:t>omptes sous des noms manifestement fictifs, elles devraient prendre les mesures de vigilance à l’égard de la clientèle, notamment en identifiant et en vérifiant l'identité de leurs clients</w:t>
      </w:r>
      <w:r w:rsidR="00E53180">
        <w:rPr>
          <w:rFonts w:asciiTheme="majorBidi" w:hAnsiTheme="majorBidi" w:cstheme="majorBidi"/>
          <w:sz w:val="24"/>
          <w:szCs w:val="24"/>
        </w:rPr>
        <w:t>, p</w:t>
      </w:r>
      <w:r w:rsidR="006D5FBD">
        <w:rPr>
          <w:rFonts w:asciiTheme="majorBidi" w:hAnsiTheme="majorBidi" w:cstheme="majorBidi"/>
          <w:sz w:val="24"/>
          <w:szCs w:val="24"/>
        </w:rPr>
        <w:t>ourtant</w:t>
      </w:r>
      <w:r w:rsidR="00E53180">
        <w:rPr>
          <w:rFonts w:asciiTheme="majorBidi" w:hAnsiTheme="majorBidi" w:cstheme="majorBidi"/>
          <w:sz w:val="24"/>
          <w:szCs w:val="24"/>
        </w:rPr>
        <w:t>,</w:t>
      </w:r>
      <w:r w:rsidR="006D5FBD">
        <w:rPr>
          <w:rFonts w:asciiTheme="majorBidi" w:hAnsiTheme="majorBidi" w:cstheme="majorBidi"/>
          <w:sz w:val="24"/>
          <w:szCs w:val="24"/>
        </w:rPr>
        <w:t xml:space="preserve"> </w:t>
      </w:r>
      <w:r w:rsidR="00780C14" w:rsidRPr="00177978">
        <w:rPr>
          <w:rFonts w:asciiTheme="majorBidi" w:hAnsiTheme="majorBidi" w:cstheme="majorBidi"/>
          <w:sz w:val="24"/>
          <w:szCs w:val="24"/>
        </w:rPr>
        <w:t>la loi n°05-01 ne prévoit pas explicitement l’interdiction de tenir des comptes anonymes ou des comptes sous des noms manifestement fictifs.</w:t>
      </w:r>
      <w:r w:rsidR="00177978" w:rsidRPr="00177978">
        <w:rPr>
          <w:rFonts w:asciiTheme="majorBidi" w:hAnsiTheme="majorBidi" w:cstheme="majorBidi"/>
          <w:sz w:val="24"/>
          <w:szCs w:val="24"/>
        </w:rPr>
        <w:t xml:space="preserve"> </w:t>
      </w:r>
      <w:r w:rsidR="00780C14" w:rsidRPr="00177978">
        <w:rPr>
          <w:rFonts w:asciiTheme="majorBidi" w:hAnsiTheme="majorBidi" w:cstheme="majorBidi"/>
          <w:sz w:val="24"/>
          <w:szCs w:val="24"/>
        </w:rPr>
        <w:t xml:space="preserve">Le seul article qui fait </w:t>
      </w:r>
      <w:r w:rsidR="006D5FBD" w:rsidRPr="00177978">
        <w:rPr>
          <w:rFonts w:asciiTheme="majorBidi" w:hAnsiTheme="majorBidi" w:cstheme="majorBidi"/>
          <w:sz w:val="24"/>
          <w:szCs w:val="24"/>
        </w:rPr>
        <w:t>allusion</w:t>
      </w:r>
      <w:r w:rsidR="00780C14" w:rsidRPr="00177978">
        <w:rPr>
          <w:rFonts w:asciiTheme="majorBidi" w:hAnsiTheme="majorBidi" w:cstheme="majorBidi"/>
          <w:sz w:val="24"/>
          <w:szCs w:val="24"/>
        </w:rPr>
        <w:t xml:space="preserve"> aux comptes fictifs est l’article 7 </w:t>
      </w:r>
      <w:r w:rsidR="003B0CBB" w:rsidRPr="00177978">
        <w:rPr>
          <w:rFonts w:asciiTheme="majorBidi" w:hAnsiTheme="majorBidi" w:cstheme="majorBidi"/>
          <w:sz w:val="24"/>
          <w:szCs w:val="24"/>
        </w:rPr>
        <w:t>qui exige la</w:t>
      </w:r>
      <w:r w:rsidR="00780C14" w:rsidRPr="00177978">
        <w:rPr>
          <w:rFonts w:asciiTheme="majorBidi" w:hAnsiTheme="majorBidi" w:cstheme="majorBidi"/>
          <w:sz w:val="24"/>
          <w:szCs w:val="24"/>
        </w:rPr>
        <w:t xml:space="preserve"> vérification  de l’identité du client. </w:t>
      </w:r>
    </w:p>
    <w:p w:rsidR="00780C14" w:rsidRPr="00E812F3" w:rsidRDefault="00421C17" w:rsidP="00177978">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B55205">
        <w:rPr>
          <w:rFonts w:asciiTheme="majorBidi" w:hAnsiTheme="majorBidi" w:cstheme="majorBidi"/>
          <w:sz w:val="24"/>
          <w:szCs w:val="24"/>
        </w:rPr>
        <w:tab/>
      </w:r>
      <w:r w:rsidR="00780C14" w:rsidRPr="00E812F3">
        <w:rPr>
          <w:rFonts w:asciiTheme="majorBidi" w:hAnsiTheme="majorBidi" w:cstheme="majorBidi"/>
          <w:sz w:val="24"/>
          <w:szCs w:val="24"/>
        </w:rPr>
        <w:t>Il est à noter qu’en Algérie les comptes à numéro</w:t>
      </w:r>
      <w:r w:rsidR="00780C14" w:rsidRPr="00E812F3">
        <w:rPr>
          <w:rStyle w:val="Appelnotedebasdep"/>
          <w:rFonts w:asciiTheme="majorBidi" w:hAnsiTheme="majorBidi" w:cstheme="majorBidi"/>
          <w:sz w:val="24"/>
          <w:szCs w:val="24"/>
        </w:rPr>
        <w:footnoteReference w:id="4"/>
      </w:r>
      <w:r w:rsidR="00780C14" w:rsidRPr="00E812F3">
        <w:rPr>
          <w:rFonts w:asciiTheme="majorBidi" w:hAnsiTheme="majorBidi" w:cstheme="majorBidi"/>
          <w:sz w:val="24"/>
          <w:szCs w:val="24"/>
        </w:rPr>
        <w:t xml:space="preserve"> sont interdits, </w:t>
      </w:r>
      <w:r w:rsidR="00177978">
        <w:rPr>
          <w:rFonts w:asciiTheme="majorBidi" w:hAnsiTheme="majorBidi" w:cstheme="majorBidi"/>
          <w:sz w:val="24"/>
          <w:szCs w:val="24"/>
        </w:rPr>
        <w:t xml:space="preserve">par contre </w:t>
      </w:r>
      <w:r w:rsidR="00780C14" w:rsidRPr="00E812F3">
        <w:rPr>
          <w:rFonts w:asciiTheme="majorBidi" w:hAnsiTheme="majorBidi" w:cstheme="majorBidi"/>
          <w:sz w:val="24"/>
          <w:szCs w:val="24"/>
        </w:rPr>
        <w:t xml:space="preserve">l’émission et la circulation des bons de caisse au porteur </w:t>
      </w:r>
      <w:r w:rsidR="00177978">
        <w:rPr>
          <w:rFonts w:asciiTheme="majorBidi" w:hAnsiTheme="majorBidi" w:cstheme="majorBidi"/>
          <w:sz w:val="24"/>
          <w:szCs w:val="24"/>
        </w:rPr>
        <w:t xml:space="preserve">est </w:t>
      </w:r>
      <w:r w:rsidR="00780C14" w:rsidRPr="00E812F3">
        <w:rPr>
          <w:rFonts w:asciiTheme="majorBidi" w:hAnsiTheme="majorBidi" w:cstheme="majorBidi"/>
          <w:sz w:val="24"/>
          <w:szCs w:val="24"/>
        </w:rPr>
        <w:t>autorisée, sous condition de tenir un  registre nominatif des souscripteurs de ces  bons de caisse.</w:t>
      </w:r>
    </w:p>
    <w:p w:rsidR="00780C14" w:rsidRPr="00E812F3" w:rsidRDefault="00421C17" w:rsidP="00B55205">
      <w:pPr>
        <w:autoSpaceDE w:val="0"/>
        <w:autoSpaceDN w:val="0"/>
        <w:adjustRightInd w:val="0"/>
        <w:spacing w:before="360" w:after="240" w:line="360" w:lineRule="auto"/>
        <w:jc w:val="both"/>
        <w:rPr>
          <w:rStyle w:val="Style13pt"/>
          <w:rFonts w:asciiTheme="majorBidi" w:hAnsiTheme="majorBidi" w:cstheme="majorBidi"/>
          <w:szCs w:val="24"/>
        </w:rPr>
      </w:pPr>
      <w:bookmarkStart w:id="2" w:name="_Toc214819871"/>
      <w:bookmarkStart w:id="3" w:name="_Toc215034459"/>
      <w:r>
        <w:rPr>
          <w:rStyle w:val="Style13pt"/>
          <w:rFonts w:asciiTheme="majorBidi" w:hAnsiTheme="majorBidi" w:cstheme="majorBidi"/>
          <w:szCs w:val="24"/>
        </w:rPr>
        <w:tab/>
      </w:r>
      <w:r w:rsidR="00B55205">
        <w:rPr>
          <w:rStyle w:val="Style13pt"/>
          <w:rFonts w:asciiTheme="majorBidi" w:hAnsiTheme="majorBidi" w:cstheme="majorBidi"/>
          <w:szCs w:val="24"/>
        </w:rPr>
        <w:tab/>
        <w:t>La due diligence exige que</w:t>
      </w:r>
      <w:r w:rsidR="00780C14" w:rsidRPr="00E812F3">
        <w:rPr>
          <w:rStyle w:val="Style13pt"/>
          <w:rFonts w:asciiTheme="majorBidi" w:hAnsiTheme="majorBidi" w:cstheme="majorBidi"/>
          <w:szCs w:val="24"/>
        </w:rPr>
        <w:t xml:space="preserve"> des pièces et des renseigneme</w:t>
      </w:r>
      <w:r w:rsidR="00B55205">
        <w:rPr>
          <w:rStyle w:val="Style13pt"/>
          <w:rFonts w:asciiTheme="majorBidi" w:hAnsiTheme="majorBidi" w:cstheme="majorBidi"/>
          <w:szCs w:val="24"/>
        </w:rPr>
        <w:t>nts soient</w:t>
      </w:r>
      <w:r w:rsidR="00177978">
        <w:rPr>
          <w:rStyle w:val="Style13pt"/>
          <w:rFonts w:asciiTheme="majorBidi" w:hAnsiTheme="majorBidi" w:cstheme="majorBidi"/>
          <w:szCs w:val="24"/>
        </w:rPr>
        <w:t xml:space="preserve"> exigés par les banques,</w:t>
      </w:r>
      <w:r w:rsidR="00B55205">
        <w:rPr>
          <w:rStyle w:val="Style13pt"/>
          <w:rFonts w:asciiTheme="majorBidi" w:hAnsiTheme="majorBidi" w:cstheme="majorBidi"/>
          <w:szCs w:val="24"/>
        </w:rPr>
        <w:t xml:space="preserve"> leurs nature </w:t>
      </w:r>
      <w:r w:rsidR="00780C14" w:rsidRPr="00E812F3">
        <w:rPr>
          <w:rStyle w:val="Style13pt"/>
          <w:rFonts w:asciiTheme="majorBidi" w:hAnsiTheme="majorBidi" w:cstheme="majorBidi"/>
          <w:szCs w:val="24"/>
        </w:rPr>
        <w:t>diffère d’un client à un autre, selon qu’il s’agit d’une personne physique, d’une personne morale, d’un bénéficiaire effectif, ou encore d’une banque correspondante.</w:t>
      </w:r>
    </w:p>
    <w:p w:rsidR="00780C14" w:rsidRPr="00177978" w:rsidRDefault="00FB24D5" w:rsidP="00FB24D5">
      <w:pPr>
        <w:pStyle w:val="Paragraphedeliste"/>
        <w:numPr>
          <w:ilvl w:val="1"/>
          <w:numId w:val="13"/>
        </w:numPr>
        <w:tabs>
          <w:tab w:val="left" w:pos="0"/>
          <w:tab w:val="left" w:pos="426"/>
        </w:tabs>
        <w:autoSpaceDE w:val="0"/>
        <w:autoSpaceDN w:val="0"/>
        <w:adjustRightInd w:val="0"/>
        <w:spacing w:line="360" w:lineRule="auto"/>
        <w:ind w:left="0" w:firstLine="0"/>
        <w:jc w:val="both"/>
        <w:rPr>
          <w:rStyle w:val="Emphaseintense"/>
          <w:rFonts w:asciiTheme="majorBidi" w:hAnsiTheme="majorBidi" w:cstheme="majorBidi"/>
          <w:i w:val="0"/>
          <w:iCs w:val="0"/>
          <w:color w:val="auto"/>
          <w:sz w:val="24"/>
          <w:szCs w:val="24"/>
        </w:rPr>
      </w:pPr>
      <w:r>
        <w:rPr>
          <w:rStyle w:val="Emphaseintense"/>
          <w:rFonts w:asciiTheme="majorBidi" w:hAnsiTheme="majorBidi" w:cstheme="majorBidi"/>
          <w:i w:val="0"/>
          <w:iCs w:val="0"/>
          <w:color w:val="auto"/>
          <w:sz w:val="24"/>
          <w:szCs w:val="24"/>
        </w:rPr>
        <w:t>Les p</w:t>
      </w:r>
      <w:r w:rsidR="00780C14" w:rsidRPr="00177978">
        <w:rPr>
          <w:rStyle w:val="Emphaseintense"/>
          <w:rFonts w:asciiTheme="majorBidi" w:hAnsiTheme="majorBidi" w:cstheme="majorBidi"/>
          <w:i w:val="0"/>
          <w:iCs w:val="0"/>
          <w:color w:val="auto"/>
          <w:sz w:val="24"/>
          <w:szCs w:val="24"/>
        </w:rPr>
        <w:t xml:space="preserve">ersonnes physiques et </w:t>
      </w:r>
      <w:r>
        <w:rPr>
          <w:rStyle w:val="Emphaseintense"/>
          <w:rFonts w:asciiTheme="majorBidi" w:hAnsiTheme="majorBidi" w:cstheme="majorBidi"/>
          <w:i w:val="0"/>
          <w:iCs w:val="0"/>
          <w:color w:val="auto"/>
          <w:sz w:val="24"/>
          <w:szCs w:val="24"/>
        </w:rPr>
        <w:t>les</w:t>
      </w:r>
      <w:r w:rsidR="00780C14" w:rsidRPr="00177978">
        <w:rPr>
          <w:rStyle w:val="Emphaseintense"/>
          <w:rFonts w:asciiTheme="majorBidi" w:hAnsiTheme="majorBidi" w:cstheme="majorBidi"/>
          <w:i w:val="0"/>
          <w:iCs w:val="0"/>
          <w:color w:val="auto"/>
          <w:sz w:val="24"/>
          <w:szCs w:val="24"/>
        </w:rPr>
        <w:t xml:space="preserve"> personnes morales</w:t>
      </w:r>
      <w:bookmarkEnd w:id="2"/>
      <w:bookmarkEnd w:id="3"/>
    </w:p>
    <w:p w:rsidR="00780C14" w:rsidRPr="00E812F3" w:rsidRDefault="00421C17" w:rsidP="00E812F3">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ab/>
      </w:r>
      <w:r w:rsidR="00B55205">
        <w:rPr>
          <w:rFonts w:asciiTheme="majorBidi" w:hAnsiTheme="majorBidi" w:cstheme="majorBidi"/>
          <w:sz w:val="24"/>
          <w:szCs w:val="24"/>
        </w:rPr>
        <w:tab/>
      </w:r>
      <w:r w:rsidR="00167DCD" w:rsidRPr="00E812F3">
        <w:rPr>
          <w:rFonts w:asciiTheme="majorBidi" w:hAnsiTheme="majorBidi" w:cstheme="majorBidi"/>
          <w:sz w:val="24"/>
          <w:szCs w:val="24"/>
        </w:rPr>
        <w:t>L</w:t>
      </w:r>
      <w:r w:rsidR="00780C14" w:rsidRPr="00E812F3">
        <w:rPr>
          <w:rFonts w:asciiTheme="majorBidi" w:hAnsiTheme="majorBidi" w:cstheme="majorBidi"/>
          <w:sz w:val="24"/>
          <w:szCs w:val="24"/>
        </w:rPr>
        <w:t>a vérification de l’identité d’une personne physique se fait par la présentation d’un document officiel original en cours de validi</w:t>
      </w:r>
      <w:r w:rsidR="00B55205">
        <w:rPr>
          <w:rFonts w:asciiTheme="majorBidi" w:hAnsiTheme="majorBidi" w:cstheme="majorBidi"/>
          <w:sz w:val="24"/>
          <w:szCs w:val="24"/>
        </w:rPr>
        <w:t>té, comportant une photographie</w:t>
      </w:r>
      <w:r w:rsidR="00780C14" w:rsidRPr="00E812F3">
        <w:rPr>
          <w:rFonts w:asciiTheme="majorBidi" w:hAnsiTheme="majorBidi" w:cstheme="majorBidi"/>
          <w:sz w:val="24"/>
          <w:szCs w:val="24"/>
        </w:rPr>
        <w:t>.</w:t>
      </w:r>
      <w:r w:rsidR="00B55205">
        <w:rPr>
          <w:rFonts w:asciiTheme="majorBidi" w:hAnsiTheme="majorBidi" w:cstheme="majorBidi"/>
          <w:sz w:val="24"/>
          <w:szCs w:val="24"/>
        </w:rPr>
        <w:t xml:space="preserve"> </w:t>
      </w:r>
      <w:r w:rsidR="00780C14" w:rsidRPr="00E812F3">
        <w:rPr>
          <w:rFonts w:asciiTheme="majorBidi" w:hAnsiTheme="majorBidi" w:cstheme="majorBidi"/>
          <w:sz w:val="24"/>
          <w:szCs w:val="24"/>
        </w:rPr>
        <w:t>En outre</w:t>
      </w:r>
      <w:r w:rsidR="00167DCD" w:rsidRPr="00E812F3">
        <w:rPr>
          <w:rFonts w:asciiTheme="majorBidi" w:hAnsiTheme="majorBidi" w:cstheme="majorBidi"/>
          <w:sz w:val="24"/>
          <w:szCs w:val="24"/>
        </w:rPr>
        <w:t>,</w:t>
      </w:r>
      <w:r w:rsidR="00780C14" w:rsidRPr="00E812F3">
        <w:rPr>
          <w:rFonts w:asciiTheme="majorBidi" w:hAnsiTheme="majorBidi" w:cstheme="majorBidi"/>
          <w:sz w:val="24"/>
          <w:szCs w:val="24"/>
        </w:rPr>
        <w:t xml:space="preserve"> </w:t>
      </w:r>
      <w:r w:rsidR="00167DCD" w:rsidRPr="00E812F3">
        <w:rPr>
          <w:rFonts w:asciiTheme="majorBidi" w:hAnsiTheme="majorBidi" w:cstheme="majorBidi"/>
          <w:sz w:val="24"/>
          <w:szCs w:val="24"/>
        </w:rPr>
        <w:t>la banque est tenue</w:t>
      </w:r>
      <w:r w:rsidR="00780C14" w:rsidRPr="00E812F3">
        <w:rPr>
          <w:rFonts w:asciiTheme="majorBidi" w:hAnsiTheme="majorBidi" w:cstheme="majorBidi"/>
          <w:sz w:val="24"/>
          <w:szCs w:val="24"/>
        </w:rPr>
        <w:t xml:space="preserve"> de recueillir les informations sur la filiation de l’intéressé et de son adresse et ce, par la présentation d’un document officiel en établissant la preuve</w:t>
      </w:r>
      <w:r w:rsidR="00780C14" w:rsidRPr="00E812F3">
        <w:rPr>
          <w:rStyle w:val="Appelnotedebasdep"/>
          <w:rFonts w:asciiTheme="majorBidi" w:hAnsiTheme="majorBidi" w:cstheme="majorBidi"/>
          <w:sz w:val="24"/>
          <w:szCs w:val="24"/>
        </w:rPr>
        <w:footnoteReference w:id="5"/>
      </w:r>
      <w:r w:rsidR="00780C14" w:rsidRPr="00E812F3">
        <w:rPr>
          <w:rFonts w:asciiTheme="majorBidi" w:hAnsiTheme="majorBidi" w:cstheme="majorBidi"/>
          <w:sz w:val="24"/>
          <w:szCs w:val="24"/>
        </w:rPr>
        <w:t>.</w:t>
      </w:r>
    </w:p>
    <w:p w:rsidR="00421C17" w:rsidRDefault="00421C17" w:rsidP="00B55205">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ab/>
      </w:r>
      <w:r w:rsidR="00B55205">
        <w:rPr>
          <w:rFonts w:asciiTheme="majorBidi" w:hAnsiTheme="majorBidi" w:cstheme="majorBidi"/>
          <w:sz w:val="24"/>
          <w:szCs w:val="24"/>
        </w:rPr>
        <w:tab/>
      </w:r>
      <w:r w:rsidR="00780C14" w:rsidRPr="00E812F3">
        <w:rPr>
          <w:rFonts w:asciiTheme="majorBidi" w:hAnsiTheme="majorBidi" w:cstheme="majorBidi"/>
          <w:sz w:val="24"/>
          <w:szCs w:val="24"/>
        </w:rPr>
        <w:t xml:space="preserve">En ce qui concerne les personnes morales, l’identification est effectuée grâce à la production de l’original des statuts et de tout document établissant la preuve que la personne morale a été légalement enregistrée au registre du commerce et </w:t>
      </w:r>
      <w:r w:rsidR="00167DCD" w:rsidRPr="00E812F3">
        <w:rPr>
          <w:rFonts w:asciiTheme="majorBidi" w:hAnsiTheme="majorBidi" w:cstheme="majorBidi"/>
          <w:sz w:val="24"/>
          <w:szCs w:val="24"/>
        </w:rPr>
        <w:t>qu’elle a une existence réelle.</w:t>
      </w:r>
    </w:p>
    <w:p w:rsidR="00780C14" w:rsidRPr="00E812F3" w:rsidRDefault="00167DCD" w:rsidP="00B55205">
      <w:pPr>
        <w:autoSpaceDE w:val="0"/>
        <w:autoSpaceDN w:val="0"/>
        <w:adjustRightInd w:val="0"/>
        <w:spacing w:after="0" w:line="360" w:lineRule="auto"/>
        <w:jc w:val="both"/>
        <w:rPr>
          <w:rFonts w:asciiTheme="majorBidi" w:hAnsiTheme="majorBidi" w:cstheme="majorBidi"/>
          <w:sz w:val="24"/>
          <w:szCs w:val="24"/>
        </w:rPr>
      </w:pPr>
      <w:r w:rsidRPr="00E812F3">
        <w:rPr>
          <w:rFonts w:asciiTheme="majorBidi" w:hAnsiTheme="majorBidi" w:cstheme="majorBidi"/>
          <w:sz w:val="24"/>
          <w:szCs w:val="24"/>
        </w:rPr>
        <w:t xml:space="preserve"> </w:t>
      </w:r>
      <w:r w:rsidR="00421C17">
        <w:rPr>
          <w:rFonts w:asciiTheme="majorBidi" w:hAnsiTheme="majorBidi" w:cstheme="majorBidi"/>
          <w:sz w:val="24"/>
          <w:szCs w:val="24"/>
        </w:rPr>
        <w:tab/>
      </w:r>
      <w:r w:rsidR="00B55205">
        <w:rPr>
          <w:rFonts w:asciiTheme="majorBidi" w:hAnsiTheme="majorBidi" w:cstheme="majorBidi"/>
          <w:sz w:val="24"/>
          <w:szCs w:val="24"/>
        </w:rPr>
        <w:tab/>
      </w:r>
      <w:r w:rsidR="00780C14" w:rsidRPr="00E812F3">
        <w:rPr>
          <w:rFonts w:asciiTheme="majorBidi" w:hAnsiTheme="majorBidi" w:cstheme="majorBidi"/>
          <w:sz w:val="24"/>
          <w:szCs w:val="24"/>
        </w:rPr>
        <w:t xml:space="preserve">La vérification de l’adresse se fait par la présentation d’un document officiel en établissant la preuve et par le retour d’un accusé de réception retourné d’une correspondance (lettre d’avis d’ouverture de compte ou de courtoisie) transmise à l’adresse déclarée, sachant </w:t>
      </w:r>
      <w:r w:rsidR="00D65398" w:rsidRPr="00E812F3">
        <w:rPr>
          <w:rFonts w:asciiTheme="majorBidi" w:hAnsiTheme="majorBidi" w:cstheme="majorBidi"/>
          <w:sz w:val="24"/>
          <w:szCs w:val="24"/>
        </w:rPr>
        <w:t>qu’une</w:t>
      </w:r>
      <w:r w:rsidR="00780C14" w:rsidRPr="00E812F3">
        <w:rPr>
          <w:rFonts w:asciiTheme="majorBidi" w:hAnsiTheme="majorBidi" w:cstheme="majorBidi"/>
          <w:sz w:val="24"/>
          <w:szCs w:val="24"/>
        </w:rPr>
        <w:t xml:space="preserve"> copie des éléments de preuve d’identité et d’adresse doit être conservée avec la mise à </w:t>
      </w:r>
      <w:r w:rsidR="00780C14" w:rsidRPr="00E812F3">
        <w:rPr>
          <w:rFonts w:asciiTheme="majorBidi" w:hAnsiTheme="majorBidi" w:cstheme="majorBidi"/>
          <w:sz w:val="24"/>
          <w:szCs w:val="24"/>
        </w:rPr>
        <w:lastRenderedPageBreak/>
        <w:t xml:space="preserve">jour annuelle et à chaque modification des  renseignements recueillis et si par exemple après l’ouverture d’un compte, apparaissent des problèmes de vérification et de mise à jour, les banques, les établissements financiers et les services financiers d’Algérie-poste doivent clôturer le compte, en informant la </w:t>
      </w:r>
      <w:r w:rsidR="00B55205">
        <w:rPr>
          <w:rFonts w:asciiTheme="majorBidi" w:hAnsiTheme="majorBidi" w:cstheme="majorBidi"/>
          <w:sz w:val="24"/>
          <w:szCs w:val="24"/>
        </w:rPr>
        <w:t>CTRF</w:t>
      </w:r>
      <w:r w:rsidR="00780C14" w:rsidRPr="00E812F3">
        <w:rPr>
          <w:rFonts w:asciiTheme="majorBidi" w:hAnsiTheme="majorBidi" w:cstheme="majorBidi"/>
          <w:sz w:val="24"/>
          <w:szCs w:val="24"/>
        </w:rPr>
        <w:t xml:space="preserve"> et la commission bancaire, et restituer le solde ,sauf stipulation contraire d’une autorité compétente</w:t>
      </w:r>
      <w:r w:rsidRPr="00E812F3">
        <w:rPr>
          <w:rStyle w:val="Appelnotedebasdep"/>
          <w:rFonts w:asciiTheme="majorBidi" w:hAnsiTheme="majorBidi" w:cstheme="majorBidi"/>
          <w:sz w:val="24"/>
          <w:szCs w:val="24"/>
        </w:rPr>
        <w:footnoteReference w:id="6"/>
      </w:r>
      <w:r w:rsidR="00780C14" w:rsidRPr="00E812F3">
        <w:rPr>
          <w:rFonts w:asciiTheme="majorBidi" w:hAnsiTheme="majorBidi" w:cstheme="majorBidi"/>
          <w:sz w:val="24"/>
          <w:szCs w:val="24"/>
        </w:rPr>
        <w:t xml:space="preserve">. </w:t>
      </w:r>
    </w:p>
    <w:p w:rsidR="00177978" w:rsidRDefault="00B55205" w:rsidP="00B55205">
      <w:pPr>
        <w:pStyle w:val="Paragraphedeliste"/>
        <w:numPr>
          <w:ilvl w:val="1"/>
          <w:numId w:val="13"/>
        </w:numPr>
        <w:tabs>
          <w:tab w:val="left" w:pos="426"/>
        </w:tabs>
        <w:autoSpaceDE w:val="0"/>
        <w:autoSpaceDN w:val="0"/>
        <w:adjustRightInd w:val="0"/>
        <w:spacing w:before="360" w:after="240" w:line="360" w:lineRule="auto"/>
        <w:ind w:right="43" w:hanging="720"/>
        <w:jc w:val="both"/>
        <w:outlineLvl w:val="3"/>
        <w:rPr>
          <w:rStyle w:val="Emphaseintense"/>
          <w:rFonts w:asciiTheme="majorBidi" w:hAnsiTheme="majorBidi" w:cstheme="majorBidi"/>
          <w:i w:val="0"/>
          <w:iCs w:val="0"/>
          <w:color w:val="auto"/>
          <w:sz w:val="24"/>
          <w:szCs w:val="24"/>
        </w:rPr>
      </w:pPr>
      <w:bookmarkStart w:id="4" w:name="_Toc213679727"/>
      <w:bookmarkStart w:id="5" w:name="_Toc214819873"/>
      <w:bookmarkStart w:id="6" w:name="_Toc215034460"/>
      <w:r>
        <w:rPr>
          <w:rStyle w:val="Emphaseintense"/>
          <w:rFonts w:asciiTheme="majorBidi" w:hAnsiTheme="majorBidi" w:cstheme="majorBidi"/>
          <w:i w:val="0"/>
          <w:iCs w:val="0"/>
          <w:color w:val="auto"/>
          <w:sz w:val="24"/>
          <w:szCs w:val="24"/>
        </w:rPr>
        <w:t>Le b</w:t>
      </w:r>
      <w:r w:rsidR="00780C14" w:rsidRPr="00177978">
        <w:rPr>
          <w:rStyle w:val="Emphaseintense"/>
          <w:rFonts w:asciiTheme="majorBidi" w:hAnsiTheme="majorBidi" w:cstheme="majorBidi"/>
          <w:i w:val="0"/>
          <w:iCs w:val="0"/>
          <w:color w:val="auto"/>
          <w:sz w:val="24"/>
          <w:szCs w:val="24"/>
        </w:rPr>
        <w:t>énéficiaire effectif</w:t>
      </w:r>
      <w:bookmarkEnd w:id="4"/>
      <w:bookmarkEnd w:id="5"/>
      <w:bookmarkEnd w:id="6"/>
      <w:r w:rsidR="00780C14" w:rsidRPr="00177978">
        <w:rPr>
          <w:rStyle w:val="Emphaseintense"/>
          <w:rFonts w:asciiTheme="majorBidi" w:hAnsiTheme="majorBidi" w:cstheme="majorBidi"/>
          <w:i w:val="0"/>
          <w:iCs w:val="0"/>
          <w:color w:val="auto"/>
          <w:sz w:val="24"/>
          <w:szCs w:val="24"/>
          <w:vertAlign w:val="superscript"/>
        </w:rPr>
        <w:footnoteReference w:id="7"/>
      </w:r>
    </w:p>
    <w:p w:rsidR="00D04872" w:rsidRPr="00177978" w:rsidRDefault="00421C17" w:rsidP="00B55205">
      <w:pPr>
        <w:tabs>
          <w:tab w:val="left" w:pos="426"/>
        </w:tabs>
        <w:autoSpaceDE w:val="0"/>
        <w:autoSpaceDN w:val="0"/>
        <w:adjustRightInd w:val="0"/>
        <w:spacing w:before="360" w:after="240" w:line="360" w:lineRule="auto"/>
        <w:ind w:right="43"/>
        <w:jc w:val="both"/>
        <w:outlineLvl w:val="3"/>
        <w:rPr>
          <w:rStyle w:val="Style13pt"/>
          <w:rFonts w:asciiTheme="majorBidi" w:hAnsiTheme="majorBidi" w:cstheme="majorBidi"/>
          <w:b/>
          <w:bCs/>
          <w:szCs w:val="24"/>
        </w:rPr>
      </w:pPr>
      <w:r>
        <w:rPr>
          <w:rFonts w:asciiTheme="majorBidi" w:hAnsiTheme="majorBidi" w:cstheme="majorBidi"/>
          <w:sz w:val="24"/>
          <w:szCs w:val="24"/>
        </w:rPr>
        <w:tab/>
      </w:r>
      <w:r w:rsidR="00B55205">
        <w:rPr>
          <w:rFonts w:asciiTheme="majorBidi" w:hAnsiTheme="majorBidi" w:cstheme="majorBidi"/>
          <w:sz w:val="24"/>
          <w:szCs w:val="24"/>
        </w:rPr>
        <w:tab/>
      </w:r>
      <w:r w:rsidR="005E465A">
        <w:rPr>
          <w:rFonts w:asciiTheme="majorBidi" w:hAnsiTheme="majorBidi" w:cstheme="majorBidi"/>
          <w:sz w:val="24"/>
          <w:szCs w:val="24"/>
        </w:rPr>
        <w:t>À</w:t>
      </w:r>
      <w:r w:rsidR="00780C14" w:rsidRPr="00177978">
        <w:rPr>
          <w:rFonts w:asciiTheme="majorBidi" w:hAnsiTheme="majorBidi" w:cstheme="majorBidi"/>
          <w:sz w:val="24"/>
          <w:szCs w:val="24"/>
        </w:rPr>
        <w:t xml:space="preserve"> chaque fois qu’un doute subsiste sur l’iden</w:t>
      </w:r>
      <w:r w:rsidR="00B55205">
        <w:rPr>
          <w:rFonts w:asciiTheme="majorBidi" w:hAnsiTheme="majorBidi" w:cstheme="majorBidi"/>
          <w:sz w:val="24"/>
          <w:szCs w:val="24"/>
        </w:rPr>
        <w:t xml:space="preserve">tité véritable du client qui </w:t>
      </w:r>
      <w:r w:rsidR="00780C14" w:rsidRPr="00177978">
        <w:rPr>
          <w:rFonts w:asciiTheme="majorBidi" w:hAnsiTheme="majorBidi" w:cstheme="majorBidi"/>
          <w:sz w:val="24"/>
          <w:szCs w:val="24"/>
        </w:rPr>
        <w:t>n’agirait pas pour son propre compte, l’organisme financier</w:t>
      </w:r>
      <w:r w:rsidR="005E465A">
        <w:rPr>
          <w:rFonts w:asciiTheme="majorBidi" w:hAnsiTheme="majorBidi" w:cstheme="majorBidi"/>
          <w:sz w:val="24"/>
          <w:szCs w:val="24"/>
        </w:rPr>
        <w:t xml:space="preserve"> </w:t>
      </w:r>
      <w:r w:rsidR="00780C14" w:rsidRPr="00177978">
        <w:rPr>
          <w:rFonts w:asciiTheme="majorBidi" w:hAnsiTheme="majorBidi" w:cstheme="majorBidi"/>
          <w:sz w:val="24"/>
          <w:szCs w:val="24"/>
        </w:rPr>
        <w:t xml:space="preserve">doit se renseigner par tous moyens sur l’identité de la personne pour le compte de laquelle il agit, </w:t>
      </w:r>
      <w:r w:rsidR="00177978">
        <w:rPr>
          <w:rStyle w:val="Style13pt"/>
          <w:rFonts w:asciiTheme="majorBidi" w:hAnsiTheme="majorBidi" w:cstheme="majorBidi"/>
          <w:szCs w:val="24"/>
        </w:rPr>
        <w:t>i</w:t>
      </w:r>
      <w:r w:rsidR="00780C14" w:rsidRPr="00177978">
        <w:rPr>
          <w:rStyle w:val="Style13pt"/>
          <w:rFonts w:asciiTheme="majorBidi" w:hAnsiTheme="majorBidi" w:cstheme="majorBidi"/>
          <w:szCs w:val="24"/>
        </w:rPr>
        <w:t>l est alors important de vérifie</w:t>
      </w:r>
      <w:r w:rsidR="00D04872" w:rsidRPr="00177978">
        <w:rPr>
          <w:rStyle w:val="Style13pt"/>
          <w:rFonts w:asciiTheme="majorBidi" w:hAnsiTheme="majorBidi" w:cstheme="majorBidi"/>
          <w:szCs w:val="24"/>
        </w:rPr>
        <w:t xml:space="preserve">r son identité, son activité, </w:t>
      </w:r>
      <w:r w:rsidR="00780C14" w:rsidRPr="00177978">
        <w:rPr>
          <w:rStyle w:val="Style13pt"/>
          <w:rFonts w:asciiTheme="majorBidi" w:hAnsiTheme="majorBidi" w:cstheme="majorBidi"/>
          <w:szCs w:val="24"/>
        </w:rPr>
        <w:t>son adresse et les pouvoirs de celui qui agit pour son compte</w:t>
      </w:r>
      <w:r w:rsidR="005E465A">
        <w:rPr>
          <w:rStyle w:val="Appelnotedebasdep"/>
          <w:rFonts w:asciiTheme="majorBidi" w:hAnsiTheme="majorBidi" w:cstheme="majorBidi"/>
          <w:sz w:val="24"/>
          <w:szCs w:val="24"/>
        </w:rPr>
        <w:footnoteReference w:id="8"/>
      </w:r>
      <w:r w:rsidR="00780C14" w:rsidRPr="00177978">
        <w:rPr>
          <w:rStyle w:val="Style13pt"/>
          <w:rFonts w:asciiTheme="majorBidi" w:hAnsiTheme="majorBidi" w:cstheme="majorBidi"/>
          <w:szCs w:val="24"/>
        </w:rPr>
        <w:t xml:space="preserve">, ce qui permet en cas d’enquête de disposer des éléments utiles favorisant le déroulement des investigations et permettant un gain </w:t>
      </w:r>
      <w:r w:rsidR="00D04872" w:rsidRPr="00177978">
        <w:rPr>
          <w:rStyle w:val="Style13pt"/>
          <w:rFonts w:asciiTheme="majorBidi" w:hAnsiTheme="majorBidi" w:cstheme="majorBidi"/>
          <w:szCs w:val="24"/>
        </w:rPr>
        <w:t>en terme de temps de recherche.</w:t>
      </w:r>
    </w:p>
    <w:p w:rsidR="00780C14" w:rsidRPr="00E812F3" w:rsidRDefault="00421C17" w:rsidP="006C3EF9">
      <w:pPr>
        <w:autoSpaceDE w:val="0"/>
        <w:autoSpaceDN w:val="0"/>
        <w:adjustRightInd w:val="0"/>
        <w:spacing w:line="360" w:lineRule="auto"/>
        <w:jc w:val="both"/>
        <w:rPr>
          <w:rStyle w:val="TextedebullesCar"/>
          <w:rFonts w:asciiTheme="majorBidi" w:hAnsiTheme="majorBidi" w:cstheme="majorBidi"/>
          <w:sz w:val="24"/>
          <w:szCs w:val="24"/>
        </w:rPr>
      </w:pPr>
      <w:r>
        <w:rPr>
          <w:rStyle w:val="Style13pt"/>
          <w:rFonts w:asciiTheme="majorBidi" w:hAnsiTheme="majorBidi" w:cstheme="majorBidi"/>
          <w:szCs w:val="24"/>
        </w:rPr>
        <w:tab/>
      </w:r>
      <w:r w:rsidR="00B55205">
        <w:rPr>
          <w:rStyle w:val="Style13pt"/>
          <w:rFonts w:asciiTheme="majorBidi" w:hAnsiTheme="majorBidi" w:cstheme="majorBidi"/>
          <w:szCs w:val="24"/>
        </w:rPr>
        <w:tab/>
      </w:r>
      <w:r w:rsidR="00D04872" w:rsidRPr="00E812F3">
        <w:rPr>
          <w:rStyle w:val="Style13pt"/>
          <w:rFonts w:asciiTheme="majorBidi" w:hAnsiTheme="majorBidi" w:cstheme="majorBidi"/>
          <w:szCs w:val="24"/>
        </w:rPr>
        <w:t xml:space="preserve">Par ailleurs, </w:t>
      </w:r>
      <w:r w:rsidR="00780C14" w:rsidRPr="00E812F3">
        <w:rPr>
          <w:rStyle w:val="Style13pt"/>
          <w:rFonts w:asciiTheme="majorBidi" w:hAnsiTheme="majorBidi" w:cstheme="majorBidi"/>
          <w:szCs w:val="24"/>
        </w:rPr>
        <w:t xml:space="preserve">si </w:t>
      </w:r>
      <w:r w:rsidR="00780C14" w:rsidRPr="00E812F3">
        <w:rPr>
          <w:rFonts w:asciiTheme="majorBidi" w:hAnsiTheme="majorBidi" w:cstheme="majorBidi"/>
          <w:sz w:val="24"/>
          <w:szCs w:val="24"/>
        </w:rPr>
        <w:t xml:space="preserve">après vérification, </w:t>
      </w:r>
      <w:r w:rsidR="00D04872" w:rsidRPr="00E812F3">
        <w:rPr>
          <w:rFonts w:asciiTheme="majorBidi" w:hAnsiTheme="majorBidi" w:cstheme="majorBidi"/>
          <w:sz w:val="24"/>
          <w:szCs w:val="24"/>
        </w:rPr>
        <w:t xml:space="preserve">il s’avère que </w:t>
      </w:r>
      <w:r w:rsidR="00780C14" w:rsidRPr="00E812F3">
        <w:rPr>
          <w:rFonts w:asciiTheme="majorBidi" w:hAnsiTheme="majorBidi" w:cstheme="majorBidi"/>
          <w:sz w:val="24"/>
          <w:szCs w:val="24"/>
        </w:rPr>
        <w:t xml:space="preserve">l’organisme financier ne peut pas se conformer aux obligations découlant de la procédure d’identification prévue dans </w:t>
      </w:r>
      <w:r w:rsidR="00D04872" w:rsidRPr="00E812F3">
        <w:rPr>
          <w:rFonts w:asciiTheme="majorBidi" w:hAnsiTheme="majorBidi" w:cstheme="majorBidi"/>
          <w:sz w:val="24"/>
          <w:szCs w:val="24"/>
        </w:rPr>
        <w:t xml:space="preserve">la réglementation </w:t>
      </w:r>
      <w:r w:rsidR="00780C14" w:rsidRPr="00E812F3">
        <w:rPr>
          <w:rFonts w:asciiTheme="majorBidi" w:hAnsiTheme="majorBidi" w:cstheme="majorBidi"/>
          <w:sz w:val="24"/>
          <w:szCs w:val="24"/>
        </w:rPr>
        <w:t xml:space="preserve">ou s’il y a des doutes sur la véritable identité du client ou de l’ayant droit économique, l’organisme financier </w:t>
      </w:r>
      <w:r w:rsidR="00D04872" w:rsidRPr="00E812F3">
        <w:rPr>
          <w:rFonts w:asciiTheme="majorBidi" w:hAnsiTheme="majorBidi" w:cstheme="majorBidi"/>
          <w:sz w:val="24"/>
          <w:szCs w:val="24"/>
        </w:rPr>
        <w:t xml:space="preserve">est dans l’obligation de ne </w:t>
      </w:r>
      <w:r w:rsidR="00780C14" w:rsidRPr="00E812F3">
        <w:rPr>
          <w:rFonts w:asciiTheme="majorBidi" w:hAnsiTheme="majorBidi" w:cstheme="majorBidi"/>
          <w:sz w:val="24"/>
          <w:szCs w:val="24"/>
        </w:rPr>
        <w:t xml:space="preserve"> pas ouvrir de compte, nouer ou poursuivre des relations d’affaires ou effectuer </w:t>
      </w:r>
      <w:r w:rsidR="00D04872" w:rsidRPr="00E812F3">
        <w:rPr>
          <w:rFonts w:asciiTheme="majorBidi" w:hAnsiTheme="majorBidi" w:cstheme="majorBidi"/>
          <w:sz w:val="24"/>
          <w:szCs w:val="24"/>
        </w:rPr>
        <w:t>n’importe quelle</w:t>
      </w:r>
      <w:r w:rsidR="00780C14" w:rsidRPr="00E812F3">
        <w:rPr>
          <w:rFonts w:asciiTheme="majorBidi" w:hAnsiTheme="majorBidi" w:cstheme="majorBidi"/>
          <w:sz w:val="24"/>
          <w:szCs w:val="24"/>
        </w:rPr>
        <w:t xml:space="preserve"> opération</w:t>
      </w:r>
      <w:r w:rsidR="00D04872" w:rsidRPr="00E812F3">
        <w:rPr>
          <w:rStyle w:val="Appelnotedebasdep"/>
          <w:rFonts w:asciiTheme="majorBidi" w:hAnsiTheme="majorBidi" w:cstheme="majorBidi"/>
          <w:sz w:val="24"/>
          <w:szCs w:val="24"/>
        </w:rPr>
        <w:footnoteReference w:id="9"/>
      </w:r>
      <w:r w:rsidR="00780C14" w:rsidRPr="00E812F3">
        <w:rPr>
          <w:rFonts w:asciiTheme="majorBidi" w:hAnsiTheme="majorBidi" w:cstheme="majorBidi"/>
          <w:sz w:val="24"/>
          <w:szCs w:val="24"/>
        </w:rPr>
        <w:t xml:space="preserve">. L’organisme financier </w:t>
      </w:r>
      <w:r w:rsidR="006C3EF9">
        <w:rPr>
          <w:rFonts w:asciiTheme="majorBidi" w:hAnsiTheme="majorBidi" w:cstheme="majorBidi"/>
          <w:sz w:val="24"/>
          <w:szCs w:val="24"/>
        </w:rPr>
        <w:t xml:space="preserve">doit </w:t>
      </w:r>
      <w:r w:rsidR="00780C14" w:rsidRPr="00E812F3">
        <w:rPr>
          <w:rFonts w:asciiTheme="majorBidi" w:hAnsiTheme="majorBidi" w:cstheme="majorBidi"/>
          <w:sz w:val="24"/>
          <w:szCs w:val="24"/>
        </w:rPr>
        <w:t>suspend</w:t>
      </w:r>
      <w:r w:rsidR="006C3EF9">
        <w:rPr>
          <w:rFonts w:asciiTheme="majorBidi" w:hAnsiTheme="majorBidi" w:cstheme="majorBidi"/>
          <w:sz w:val="24"/>
          <w:szCs w:val="24"/>
        </w:rPr>
        <w:t xml:space="preserve">re </w:t>
      </w:r>
      <w:r w:rsidR="00780C14" w:rsidRPr="00E812F3">
        <w:rPr>
          <w:rFonts w:asciiTheme="majorBidi" w:hAnsiTheme="majorBidi" w:cstheme="majorBidi"/>
          <w:sz w:val="24"/>
          <w:szCs w:val="24"/>
        </w:rPr>
        <w:t xml:space="preserve">la relation et </w:t>
      </w:r>
      <w:r w:rsidR="006C3EF9" w:rsidRPr="00E812F3">
        <w:rPr>
          <w:rFonts w:asciiTheme="majorBidi" w:hAnsiTheme="majorBidi" w:cstheme="majorBidi"/>
          <w:sz w:val="24"/>
          <w:szCs w:val="24"/>
        </w:rPr>
        <w:t>procéde</w:t>
      </w:r>
      <w:r w:rsidR="006C3EF9">
        <w:rPr>
          <w:rFonts w:asciiTheme="majorBidi" w:hAnsiTheme="majorBidi" w:cstheme="majorBidi"/>
          <w:sz w:val="24"/>
          <w:szCs w:val="24"/>
        </w:rPr>
        <w:t>r</w:t>
      </w:r>
      <w:r w:rsidR="00780C14" w:rsidRPr="00E812F3">
        <w:rPr>
          <w:rFonts w:asciiTheme="majorBidi" w:hAnsiTheme="majorBidi" w:cstheme="majorBidi"/>
          <w:sz w:val="24"/>
          <w:szCs w:val="24"/>
        </w:rPr>
        <w:t xml:space="preserve"> à la déclaration de soupçon suivant la pr</w:t>
      </w:r>
      <w:r w:rsidR="00625FB8" w:rsidRPr="00E812F3">
        <w:rPr>
          <w:rFonts w:asciiTheme="majorBidi" w:hAnsiTheme="majorBidi" w:cstheme="majorBidi"/>
          <w:sz w:val="24"/>
          <w:szCs w:val="24"/>
        </w:rPr>
        <w:t>océdure édictée par la loi 05-01</w:t>
      </w:r>
      <w:r w:rsidR="00780C14" w:rsidRPr="00E812F3">
        <w:rPr>
          <w:rFonts w:asciiTheme="majorBidi" w:hAnsiTheme="majorBidi" w:cstheme="majorBidi"/>
          <w:sz w:val="24"/>
          <w:szCs w:val="24"/>
        </w:rPr>
        <w:t>.</w:t>
      </w:r>
      <w:r w:rsidR="00780C14" w:rsidRPr="00E812F3">
        <w:rPr>
          <w:rStyle w:val="TextedebullesCar"/>
          <w:rFonts w:asciiTheme="majorBidi" w:hAnsiTheme="majorBidi" w:cstheme="majorBidi"/>
          <w:sz w:val="24"/>
          <w:szCs w:val="24"/>
        </w:rPr>
        <w:t xml:space="preserve">   </w:t>
      </w:r>
    </w:p>
    <w:p w:rsidR="00780C14" w:rsidRPr="00AB13F2" w:rsidRDefault="00421C17" w:rsidP="0034122E">
      <w:pPr>
        <w:autoSpaceDE w:val="0"/>
        <w:autoSpaceDN w:val="0"/>
        <w:adjustRightInd w:val="0"/>
        <w:spacing w:line="360" w:lineRule="auto"/>
        <w:jc w:val="both"/>
        <w:rPr>
          <w:rFonts w:asciiTheme="majorBidi" w:hAnsiTheme="majorBidi" w:cstheme="majorBidi"/>
          <w:shadow/>
          <w:sz w:val="24"/>
          <w:szCs w:val="24"/>
        </w:rPr>
      </w:pPr>
      <w:r>
        <w:rPr>
          <w:rFonts w:asciiTheme="majorBidi" w:hAnsiTheme="majorBidi" w:cstheme="majorBidi"/>
          <w:sz w:val="24"/>
          <w:szCs w:val="24"/>
        </w:rPr>
        <w:tab/>
      </w:r>
      <w:r w:rsidR="00B55205">
        <w:rPr>
          <w:rFonts w:asciiTheme="majorBidi" w:hAnsiTheme="majorBidi" w:cstheme="majorBidi"/>
          <w:sz w:val="24"/>
          <w:szCs w:val="24"/>
        </w:rPr>
        <w:tab/>
      </w:r>
      <w:r w:rsidR="006C3EF9" w:rsidRPr="00AB13F2">
        <w:rPr>
          <w:rFonts w:asciiTheme="majorBidi" w:hAnsiTheme="majorBidi" w:cstheme="majorBidi"/>
          <w:sz w:val="24"/>
          <w:szCs w:val="24"/>
        </w:rPr>
        <w:t>Dans ce cadre et v</w:t>
      </w:r>
      <w:r w:rsidR="00625FB8" w:rsidRPr="00AB13F2">
        <w:rPr>
          <w:rFonts w:asciiTheme="majorBidi" w:hAnsiTheme="majorBidi" w:cstheme="majorBidi"/>
          <w:sz w:val="24"/>
          <w:szCs w:val="24"/>
        </w:rPr>
        <w:t xml:space="preserve">u </w:t>
      </w:r>
      <w:r w:rsidR="006C3EF9" w:rsidRPr="00AB13F2">
        <w:rPr>
          <w:rFonts w:asciiTheme="majorBidi" w:hAnsiTheme="majorBidi" w:cstheme="majorBidi"/>
          <w:sz w:val="24"/>
          <w:szCs w:val="24"/>
        </w:rPr>
        <w:t>la carence enregistrée par les banque dans</w:t>
      </w:r>
      <w:r w:rsidR="00625FB8" w:rsidRPr="00AB13F2">
        <w:rPr>
          <w:rFonts w:asciiTheme="majorBidi" w:hAnsiTheme="majorBidi" w:cstheme="majorBidi"/>
          <w:sz w:val="24"/>
          <w:szCs w:val="24"/>
        </w:rPr>
        <w:t xml:space="preserve"> l’identification du bénéficière effectif </w:t>
      </w:r>
      <w:r w:rsidR="00780C14" w:rsidRPr="00AB13F2">
        <w:rPr>
          <w:rFonts w:asciiTheme="majorBidi" w:hAnsiTheme="majorBidi" w:cstheme="majorBidi"/>
          <w:sz w:val="24"/>
          <w:szCs w:val="24"/>
        </w:rPr>
        <w:t xml:space="preserve">qui contrôlent </w:t>
      </w:r>
      <w:r w:rsidR="0034122E">
        <w:rPr>
          <w:rFonts w:asciiTheme="majorBidi" w:hAnsiTheme="majorBidi" w:cstheme="majorBidi"/>
          <w:sz w:val="24"/>
          <w:szCs w:val="24"/>
        </w:rPr>
        <w:t>l’entité juridique, la b</w:t>
      </w:r>
      <w:r w:rsidR="00625FB8" w:rsidRPr="00AB13F2">
        <w:rPr>
          <w:rFonts w:asciiTheme="majorBidi" w:hAnsiTheme="majorBidi" w:cstheme="majorBidi"/>
          <w:sz w:val="24"/>
          <w:szCs w:val="24"/>
        </w:rPr>
        <w:t>anque d’Algérie,</w:t>
      </w:r>
      <w:r w:rsidR="00780C14" w:rsidRPr="00AB13F2">
        <w:rPr>
          <w:rFonts w:asciiTheme="majorBidi" w:hAnsiTheme="majorBidi" w:cstheme="majorBidi"/>
          <w:sz w:val="24"/>
          <w:szCs w:val="24"/>
        </w:rPr>
        <w:t xml:space="preserve"> et afin de limiter l’ampleur de la location des fond</w:t>
      </w:r>
      <w:r w:rsidR="00625FB8" w:rsidRPr="00AB13F2">
        <w:rPr>
          <w:rFonts w:asciiTheme="majorBidi" w:hAnsiTheme="majorBidi" w:cstheme="majorBidi"/>
          <w:sz w:val="24"/>
          <w:szCs w:val="24"/>
        </w:rPr>
        <w:t>s de commerce, a exigé la présence</w:t>
      </w:r>
      <w:r w:rsidR="00780C14" w:rsidRPr="00AB13F2">
        <w:rPr>
          <w:rFonts w:asciiTheme="majorBidi" w:hAnsiTheme="majorBidi" w:cstheme="majorBidi"/>
          <w:sz w:val="24"/>
          <w:szCs w:val="24"/>
        </w:rPr>
        <w:t xml:space="preserve"> physique des </w:t>
      </w:r>
      <w:r w:rsidR="00780C14" w:rsidRPr="00AB13F2">
        <w:rPr>
          <w:rFonts w:asciiTheme="majorBidi" w:hAnsiTheme="majorBidi" w:cstheme="majorBidi"/>
          <w:sz w:val="24"/>
          <w:szCs w:val="24"/>
        </w:rPr>
        <w:lastRenderedPageBreak/>
        <w:t xml:space="preserve">responsables commerciaux ou d’un seul mandataire au moment de la réalisation de toute opération de commerce </w:t>
      </w:r>
      <w:r w:rsidR="00625FB8" w:rsidRPr="00AB13F2">
        <w:rPr>
          <w:rFonts w:asciiTheme="majorBidi" w:hAnsiTheme="majorBidi" w:cstheme="majorBidi"/>
          <w:sz w:val="24"/>
          <w:szCs w:val="24"/>
        </w:rPr>
        <w:t>extérieur.</w:t>
      </w:r>
      <w:r w:rsidR="00780C14" w:rsidRPr="00AB13F2">
        <w:rPr>
          <w:rFonts w:asciiTheme="majorBidi" w:hAnsiTheme="majorBidi" w:cstheme="majorBidi"/>
          <w:sz w:val="24"/>
          <w:szCs w:val="24"/>
        </w:rPr>
        <w:t xml:space="preserve">  </w:t>
      </w:r>
    </w:p>
    <w:p w:rsidR="00780C14" w:rsidRPr="00AB13F2" w:rsidRDefault="00227BE3" w:rsidP="0034122E">
      <w:pPr>
        <w:pStyle w:val="Paragraphedeliste"/>
        <w:numPr>
          <w:ilvl w:val="1"/>
          <w:numId w:val="13"/>
        </w:numPr>
        <w:tabs>
          <w:tab w:val="left" w:pos="426"/>
        </w:tabs>
        <w:autoSpaceDE w:val="0"/>
        <w:autoSpaceDN w:val="0"/>
        <w:adjustRightInd w:val="0"/>
        <w:spacing w:line="360" w:lineRule="auto"/>
        <w:ind w:left="0" w:firstLine="0"/>
        <w:jc w:val="both"/>
        <w:rPr>
          <w:rStyle w:val="Emphaseintense"/>
          <w:rFonts w:asciiTheme="majorBidi" w:hAnsiTheme="majorBidi" w:cstheme="majorBidi"/>
          <w:i w:val="0"/>
          <w:iCs w:val="0"/>
          <w:color w:val="auto"/>
          <w:sz w:val="24"/>
          <w:szCs w:val="24"/>
        </w:rPr>
      </w:pPr>
      <w:r>
        <w:rPr>
          <w:rStyle w:val="Emphaseintense"/>
          <w:rFonts w:asciiTheme="majorBidi" w:hAnsiTheme="majorBidi" w:cstheme="majorBidi"/>
          <w:i w:val="0"/>
          <w:iCs w:val="0"/>
          <w:color w:val="auto"/>
          <w:sz w:val="24"/>
          <w:szCs w:val="24"/>
        </w:rPr>
        <w:t>Les b</w:t>
      </w:r>
      <w:r w:rsidR="00195739">
        <w:rPr>
          <w:rStyle w:val="Emphaseintense"/>
          <w:rFonts w:asciiTheme="majorBidi" w:hAnsiTheme="majorBidi" w:cstheme="majorBidi"/>
          <w:i w:val="0"/>
          <w:iCs w:val="0"/>
          <w:color w:val="auto"/>
          <w:sz w:val="24"/>
          <w:szCs w:val="24"/>
        </w:rPr>
        <w:t>anques correspondantes</w:t>
      </w:r>
    </w:p>
    <w:p w:rsidR="00780C14" w:rsidRPr="00E812F3" w:rsidRDefault="0034122E" w:rsidP="0034122E">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195739">
        <w:rPr>
          <w:rFonts w:asciiTheme="majorBidi" w:hAnsiTheme="majorBidi" w:cstheme="majorBidi"/>
          <w:sz w:val="24"/>
          <w:szCs w:val="24"/>
        </w:rPr>
        <w:tab/>
      </w:r>
      <w:r w:rsidR="00AB13F2">
        <w:rPr>
          <w:rFonts w:asciiTheme="majorBidi" w:hAnsiTheme="majorBidi" w:cstheme="majorBidi"/>
          <w:sz w:val="24"/>
          <w:szCs w:val="24"/>
        </w:rPr>
        <w:t>En ce qui concerne les</w:t>
      </w:r>
      <w:r w:rsidR="00780C14" w:rsidRPr="00E812F3">
        <w:rPr>
          <w:rFonts w:asciiTheme="majorBidi" w:hAnsiTheme="majorBidi" w:cstheme="majorBidi"/>
          <w:sz w:val="24"/>
          <w:szCs w:val="24"/>
        </w:rPr>
        <w:t xml:space="preserve"> mesures de vigilance à l’égard des relations avec les  correspondants bancaires, </w:t>
      </w:r>
      <w:r w:rsidR="00882331" w:rsidRPr="00E812F3">
        <w:rPr>
          <w:rFonts w:asciiTheme="majorBidi" w:hAnsiTheme="majorBidi" w:cstheme="majorBidi"/>
          <w:sz w:val="24"/>
          <w:szCs w:val="24"/>
        </w:rPr>
        <w:t xml:space="preserve">le législateur algérien n’oblige pas les banques à avoir </w:t>
      </w:r>
      <w:r w:rsidR="00780C14" w:rsidRPr="00E812F3">
        <w:rPr>
          <w:rFonts w:asciiTheme="majorBidi" w:hAnsiTheme="majorBidi" w:cstheme="majorBidi"/>
          <w:sz w:val="24"/>
          <w:szCs w:val="24"/>
        </w:rPr>
        <w:t>une vigilance particulière à l’égard des opérations provenant des institutions financières qui ne sont pas soumises à des obligations suffisantes en matière d’identification des clients ou</w:t>
      </w:r>
      <w:r w:rsidR="00C64C19" w:rsidRPr="00E812F3">
        <w:rPr>
          <w:rFonts w:asciiTheme="majorBidi" w:hAnsiTheme="majorBidi" w:cstheme="majorBidi"/>
          <w:sz w:val="24"/>
          <w:szCs w:val="24"/>
        </w:rPr>
        <w:t xml:space="preserve"> de contrôle des transactions.</w:t>
      </w:r>
      <w:r w:rsidR="00AB13F2">
        <w:rPr>
          <w:rFonts w:asciiTheme="majorBidi" w:hAnsiTheme="majorBidi" w:cstheme="majorBidi"/>
          <w:sz w:val="24"/>
          <w:szCs w:val="24"/>
        </w:rPr>
        <w:t xml:space="preserve"> Cette insuffisance a</w:t>
      </w:r>
      <w:r w:rsidR="00780C14" w:rsidRPr="00E812F3">
        <w:rPr>
          <w:rFonts w:asciiTheme="majorBidi" w:hAnsiTheme="majorBidi" w:cstheme="majorBidi"/>
          <w:sz w:val="24"/>
          <w:szCs w:val="24"/>
        </w:rPr>
        <w:t xml:space="preserve"> été comblé</w:t>
      </w:r>
      <w:r w:rsidR="00AB13F2">
        <w:rPr>
          <w:rFonts w:asciiTheme="majorBidi" w:hAnsiTheme="majorBidi" w:cstheme="majorBidi"/>
          <w:sz w:val="24"/>
          <w:szCs w:val="24"/>
        </w:rPr>
        <w:t>e</w:t>
      </w:r>
      <w:r w:rsidR="00780C14" w:rsidRPr="00E812F3">
        <w:rPr>
          <w:rFonts w:asciiTheme="majorBidi" w:hAnsiTheme="majorBidi" w:cstheme="majorBidi"/>
          <w:sz w:val="24"/>
          <w:szCs w:val="24"/>
        </w:rPr>
        <w:t xml:space="preserve"> par </w:t>
      </w:r>
      <w:r w:rsidR="00AB13F2">
        <w:rPr>
          <w:rFonts w:asciiTheme="majorBidi" w:hAnsiTheme="majorBidi" w:cstheme="majorBidi"/>
          <w:sz w:val="24"/>
          <w:szCs w:val="24"/>
        </w:rPr>
        <w:t>l’</w:t>
      </w:r>
      <w:r w:rsidR="00C64C19" w:rsidRPr="00E812F3">
        <w:rPr>
          <w:rFonts w:asciiTheme="majorBidi" w:hAnsiTheme="majorBidi" w:cstheme="majorBidi"/>
          <w:sz w:val="24"/>
          <w:szCs w:val="24"/>
        </w:rPr>
        <w:t xml:space="preserve">article </w:t>
      </w:r>
      <w:r>
        <w:rPr>
          <w:rFonts w:asciiTheme="majorBidi" w:hAnsiTheme="majorBidi" w:cstheme="majorBidi"/>
          <w:sz w:val="24"/>
          <w:szCs w:val="24"/>
        </w:rPr>
        <w:t>9</w:t>
      </w:r>
      <w:r w:rsidR="00AB13F2">
        <w:rPr>
          <w:rFonts w:asciiTheme="majorBidi" w:hAnsiTheme="majorBidi" w:cstheme="majorBidi"/>
          <w:sz w:val="24"/>
          <w:szCs w:val="24"/>
        </w:rPr>
        <w:t xml:space="preserve"> </w:t>
      </w:r>
      <w:r w:rsidR="00C64C19" w:rsidRPr="00E812F3">
        <w:rPr>
          <w:rFonts w:asciiTheme="majorBidi" w:hAnsiTheme="majorBidi" w:cstheme="majorBidi"/>
          <w:sz w:val="24"/>
          <w:szCs w:val="24"/>
        </w:rPr>
        <w:t>du règlement n°05-05</w:t>
      </w:r>
      <w:r>
        <w:rPr>
          <w:rFonts w:asciiTheme="majorBidi" w:hAnsiTheme="majorBidi" w:cstheme="majorBidi"/>
          <w:sz w:val="24"/>
          <w:szCs w:val="24"/>
        </w:rPr>
        <w:t xml:space="preserve"> de la banque d’Algérie qui fixe</w:t>
      </w:r>
      <w:r w:rsidR="00780C14" w:rsidRPr="00E812F3">
        <w:rPr>
          <w:rFonts w:asciiTheme="majorBidi" w:hAnsiTheme="majorBidi" w:cstheme="majorBidi"/>
          <w:sz w:val="24"/>
          <w:szCs w:val="24"/>
        </w:rPr>
        <w:t xml:space="preserve"> les modalités des mesures de vigilance spécifiques aux correspondants étrangers</w:t>
      </w:r>
      <w:r>
        <w:rPr>
          <w:rFonts w:asciiTheme="majorBidi" w:hAnsiTheme="majorBidi" w:cstheme="majorBidi"/>
          <w:sz w:val="24"/>
          <w:szCs w:val="24"/>
        </w:rPr>
        <w:t>. L</w:t>
      </w:r>
      <w:r w:rsidR="00C64C19" w:rsidRPr="00E812F3">
        <w:rPr>
          <w:rFonts w:asciiTheme="majorBidi" w:hAnsiTheme="majorBidi" w:cstheme="majorBidi"/>
          <w:sz w:val="24"/>
          <w:szCs w:val="24"/>
        </w:rPr>
        <w:t>e texte</w:t>
      </w:r>
      <w:r w:rsidR="00AB13F2">
        <w:rPr>
          <w:rFonts w:asciiTheme="majorBidi" w:hAnsiTheme="majorBidi" w:cstheme="majorBidi"/>
          <w:sz w:val="24"/>
          <w:szCs w:val="24"/>
        </w:rPr>
        <w:t xml:space="preserve"> </w:t>
      </w:r>
      <w:r w:rsidR="00780C14" w:rsidRPr="00E812F3">
        <w:rPr>
          <w:rFonts w:asciiTheme="majorBidi" w:hAnsiTheme="majorBidi" w:cstheme="majorBidi"/>
          <w:sz w:val="24"/>
          <w:szCs w:val="24"/>
        </w:rPr>
        <w:t>stipule que l’intermédiaire agréé doit établir des relations de correspondant avec des établissements bancaires étrangers à condition</w:t>
      </w:r>
      <w:r w:rsidR="00C64C19" w:rsidRPr="00E812F3">
        <w:rPr>
          <w:rFonts w:asciiTheme="majorBidi" w:hAnsiTheme="majorBidi" w:cstheme="majorBidi"/>
          <w:sz w:val="24"/>
          <w:szCs w:val="24"/>
        </w:rPr>
        <w:t xml:space="preserve"> que </w:t>
      </w:r>
      <w:r w:rsidR="00780C14" w:rsidRPr="00E812F3">
        <w:rPr>
          <w:rFonts w:asciiTheme="majorBidi" w:hAnsiTheme="majorBidi" w:cstheme="majorBidi"/>
          <w:sz w:val="24"/>
          <w:szCs w:val="24"/>
        </w:rPr>
        <w:t>:</w:t>
      </w:r>
    </w:p>
    <w:p w:rsidR="00780C14" w:rsidRPr="00E812F3" w:rsidRDefault="00780C14" w:rsidP="00E812F3">
      <w:pPr>
        <w:autoSpaceDE w:val="0"/>
        <w:autoSpaceDN w:val="0"/>
        <w:adjustRightInd w:val="0"/>
        <w:spacing w:after="0" w:line="360" w:lineRule="auto"/>
        <w:jc w:val="both"/>
        <w:rPr>
          <w:rFonts w:asciiTheme="majorBidi" w:hAnsiTheme="majorBidi" w:cstheme="majorBidi"/>
          <w:sz w:val="24"/>
          <w:szCs w:val="24"/>
        </w:rPr>
      </w:pPr>
    </w:p>
    <w:p w:rsidR="00780C14" w:rsidRPr="00E812F3" w:rsidRDefault="00780C14" w:rsidP="00DE45A1">
      <w:pPr>
        <w:pStyle w:val="Paragraphedeliste"/>
        <w:numPr>
          <w:ilvl w:val="0"/>
          <w:numId w:val="10"/>
        </w:numPr>
        <w:autoSpaceDE w:val="0"/>
        <w:autoSpaceDN w:val="0"/>
        <w:adjustRightInd w:val="0"/>
        <w:spacing w:after="0" w:line="360" w:lineRule="auto"/>
        <w:jc w:val="both"/>
        <w:rPr>
          <w:rFonts w:asciiTheme="majorBidi" w:hAnsiTheme="majorBidi" w:cstheme="majorBidi"/>
          <w:b/>
          <w:shadow/>
          <w:sz w:val="24"/>
          <w:szCs w:val="24"/>
        </w:rPr>
      </w:pPr>
      <w:r w:rsidRPr="00E812F3">
        <w:rPr>
          <w:rFonts w:asciiTheme="majorBidi" w:hAnsiTheme="majorBidi" w:cstheme="majorBidi"/>
          <w:sz w:val="24"/>
          <w:szCs w:val="24"/>
        </w:rPr>
        <w:t xml:space="preserve">la </w:t>
      </w:r>
      <w:r w:rsidR="00DE45A1">
        <w:rPr>
          <w:rFonts w:asciiTheme="majorBidi" w:hAnsiTheme="majorBidi" w:cstheme="majorBidi"/>
          <w:sz w:val="24"/>
          <w:szCs w:val="24"/>
        </w:rPr>
        <w:t>présentation</w:t>
      </w:r>
      <w:r w:rsidRPr="00E812F3">
        <w:rPr>
          <w:rFonts w:asciiTheme="majorBidi" w:hAnsiTheme="majorBidi" w:cstheme="majorBidi"/>
          <w:sz w:val="24"/>
          <w:szCs w:val="24"/>
        </w:rPr>
        <w:t xml:space="preserve"> de leurs comptes soit certifiée et que les conventions des comptes correspondants devaient être actualisées;</w:t>
      </w:r>
    </w:p>
    <w:p w:rsidR="00780C14" w:rsidRPr="00E812F3" w:rsidRDefault="00780C14" w:rsidP="00E812F3">
      <w:pPr>
        <w:pStyle w:val="Paragraphedeliste"/>
        <w:numPr>
          <w:ilvl w:val="0"/>
          <w:numId w:val="9"/>
        </w:numPr>
        <w:autoSpaceDE w:val="0"/>
        <w:autoSpaceDN w:val="0"/>
        <w:adjustRightInd w:val="0"/>
        <w:spacing w:after="0" w:line="360" w:lineRule="auto"/>
        <w:jc w:val="both"/>
        <w:rPr>
          <w:rFonts w:asciiTheme="majorBidi" w:hAnsiTheme="majorBidi" w:cstheme="majorBidi"/>
          <w:sz w:val="24"/>
          <w:szCs w:val="24"/>
        </w:rPr>
      </w:pPr>
      <w:r w:rsidRPr="00E812F3">
        <w:rPr>
          <w:rFonts w:asciiTheme="majorBidi" w:hAnsiTheme="majorBidi" w:cstheme="majorBidi"/>
          <w:sz w:val="24"/>
          <w:szCs w:val="24"/>
        </w:rPr>
        <w:t>elles soient soumises à un contrôle par les autorités compétentes de son pays d’origine ou du pays où il est établi ;</w:t>
      </w:r>
      <w:r w:rsidR="0034122E">
        <w:rPr>
          <w:rFonts w:asciiTheme="majorBidi" w:hAnsiTheme="majorBidi" w:cstheme="majorBidi"/>
          <w:sz w:val="24"/>
          <w:szCs w:val="24"/>
        </w:rPr>
        <w:t xml:space="preserve"> et</w:t>
      </w:r>
    </w:p>
    <w:p w:rsidR="00780C14" w:rsidRDefault="00780C14" w:rsidP="00E812F3">
      <w:pPr>
        <w:pStyle w:val="Paragraphedeliste"/>
        <w:numPr>
          <w:ilvl w:val="0"/>
          <w:numId w:val="9"/>
        </w:numPr>
        <w:autoSpaceDE w:val="0"/>
        <w:autoSpaceDN w:val="0"/>
        <w:adjustRightInd w:val="0"/>
        <w:spacing w:after="0" w:line="360" w:lineRule="auto"/>
        <w:jc w:val="both"/>
        <w:rPr>
          <w:rFonts w:asciiTheme="majorBidi" w:hAnsiTheme="majorBidi" w:cstheme="majorBidi"/>
          <w:sz w:val="24"/>
          <w:szCs w:val="24"/>
        </w:rPr>
      </w:pPr>
      <w:r w:rsidRPr="00E812F3">
        <w:rPr>
          <w:rFonts w:asciiTheme="majorBidi" w:hAnsiTheme="majorBidi" w:cstheme="majorBidi"/>
          <w:sz w:val="24"/>
          <w:szCs w:val="24"/>
        </w:rPr>
        <w:t>elles collaborent dans le cadr</w:t>
      </w:r>
      <w:r w:rsidR="001A7048">
        <w:rPr>
          <w:rFonts w:asciiTheme="majorBidi" w:hAnsiTheme="majorBidi" w:cstheme="majorBidi"/>
          <w:sz w:val="24"/>
          <w:szCs w:val="24"/>
        </w:rPr>
        <w:t>e d’un dispositif national de L</w:t>
      </w:r>
      <w:r w:rsidRPr="00E812F3">
        <w:rPr>
          <w:rFonts w:asciiTheme="majorBidi" w:hAnsiTheme="majorBidi" w:cstheme="majorBidi"/>
          <w:sz w:val="24"/>
          <w:szCs w:val="24"/>
        </w:rPr>
        <w:t>B</w:t>
      </w:r>
      <w:r w:rsidR="001A7048">
        <w:rPr>
          <w:rFonts w:asciiTheme="majorBidi" w:hAnsiTheme="majorBidi" w:cstheme="majorBidi"/>
          <w:sz w:val="24"/>
          <w:szCs w:val="24"/>
        </w:rPr>
        <w:t>C</w:t>
      </w:r>
      <w:r w:rsidRPr="00E812F3">
        <w:rPr>
          <w:rFonts w:asciiTheme="majorBidi" w:hAnsiTheme="majorBidi" w:cstheme="majorBidi"/>
          <w:sz w:val="24"/>
          <w:szCs w:val="24"/>
        </w:rPr>
        <w:t>/FT.</w:t>
      </w:r>
    </w:p>
    <w:p w:rsidR="002B459C" w:rsidRDefault="002B459C" w:rsidP="002B459C">
      <w:pPr>
        <w:pStyle w:val="Paragraphedeliste"/>
        <w:autoSpaceDE w:val="0"/>
        <w:autoSpaceDN w:val="0"/>
        <w:adjustRightInd w:val="0"/>
        <w:spacing w:after="0" w:line="360" w:lineRule="auto"/>
        <w:jc w:val="both"/>
        <w:rPr>
          <w:rFonts w:asciiTheme="majorBidi" w:hAnsiTheme="majorBidi" w:cstheme="majorBidi"/>
          <w:sz w:val="24"/>
          <w:szCs w:val="24"/>
        </w:rPr>
      </w:pPr>
    </w:p>
    <w:p w:rsidR="00780C14" w:rsidRDefault="0034122E" w:rsidP="00DE45A1">
      <w:pPr>
        <w:pStyle w:val="Paragraphedeliste"/>
        <w:numPr>
          <w:ilvl w:val="0"/>
          <w:numId w:val="13"/>
        </w:numPr>
        <w:tabs>
          <w:tab w:val="left" w:pos="284"/>
          <w:tab w:val="left" w:pos="709"/>
          <w:tab w:val="left" w:pos="993"/>
        </w:tabs>
        <w:autoSpaceDE w:val="0"/>
        <w:autoSpaceDN w:val="0"/>
        <w:adjustRightInd w:val="0"/>
        <w:spacing w:line="360" w:lineRule="auto"/>
        <w:ind w:left="0" w:firstLine="0"/>
        <w:jc w:val="both"/>
        <w:rPr>
          <w:rStyle w:val="Emphaseintense"/>
          <w:rFonts w:asciiTheme="majorBidi" w:hAnsiTheme="majorBidi" w:cstheme="majorBidi"/>
          <w:i w:val="0"/>
          <w:iCs w:val="0"/>
          <w:color w:val="auto"/>
          <w:sz w:val="24"/>
          <w:szCs w:val="24"/>
        </w:rPr>
      </w:pPr>
      <w:bookmarkStart w:id="7" w:name="_Toc214819875"/>
      <w:bookmarkStart w:id="8" w:name="_Toc215034463"/>
      <w:bookmarkStart w:id="9" w:name="_Toc213679725"/>
      <w:r>
        <w:rPr>
          <w:rStyle w:val="Emphaseintense"/>
          <w:rFonts w:asciiTheme="majorBidi" w:hAnsiTheme="majorBidi" w:cstheme="majorBidi"/>
          <w:i w:val="0"/>
          <w:iCs w:val="0"/>
          <w:color w:val="auto"/>
          <w:sz w:val="24"/>
          <w:szCs w:val="24"/>
        </w:rPr>
        <w:t xml:space="preserve">LA </w:t>
      </w:r>
      <w:r w:rsidR="00195739" w:rsidRPr="00DE45A1">
        <w:rPr>
          <w:rStyle w:val="Emphaseintense"/>
          <w:rFonts w:asciiTheme="majorBidi" w:hAnsiTheme="majorBidi" w:cstheme="majorBidi"/>
          <w:i w:val="0"/>
          <w:iCs w:val="0"/>
          <w:color w:val="auto"/>
          <w:sz w:val="24"/>
          <w:szCs w:val="24"/>
        </w:rPr>
        <w:t>VIGILANCE RENFORCEE</w:t>
      </w:r>
      <w:bookmarkEnd w:id="7"/>
      <w:bookmarkEnd w:id="8"/>
      <w:r w:rsidR="00195739">
        <w:rPr>
          <w:rStyle w:val="Emphaseintense"/>
          <w:rFonts w:asciiTheme="majorBidi" w:hAnsiTheme="majorBidi" w:cstheme="majorBidi"/>
          <w:i w:val="0"/>
          <w:iCs w:val="0"/>
          <w:color w:val="auto"/>
          <w:sz w:val="24"/>
          <w:szCs w:val="24"/>
        </w:rPr>
        <w:t> </w:t>
      </w:r>
    </w:p>
    <w:bookmarkEnd w:id="9"/>
    <w:p w:rsidR="00780C14" w:rsidRPr="00E812F3" w:rsidRDefault="00195739" w:rsidP="0034122E">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34122E">
        <w:rPr>
          <w:rFonts w:asciiTheme="majorBidi" w:hAnsiTheme="majorBidi" w:cstheme="majorBidi"/>
          <w:sz w:val="24"/>
          <w:szCs w:val="24"/>
        </w:rPr>
        <w:tab/>
      </w:r>
      <w:r w:rsidR="00DE45A1">
        <w:rPr>
          <w:rFonts w:asciiTheme="majorBidi" w:hAnsiTheme="majorBidi" w:cstheme="majorBidi"/>
          <w:sz w:val="24"/>
          <w:szCs w:val="24"/>
        </w:rPr>
        <w:t>Au sujet de la</w:t>
      </w:r>
      <w:r w:rsidR="007D28A4" w:rsidRPr="00E812F3">
        <w:rPr>
          <w:rFonts w:asciiTheme="majorBidi" w:hAnsiTheme="majorBidi" w:cstheme="majorBidi"/>
          <w:sz w:val="24"/>
          <w:szCs w:val="24"/>
        </w:rPr>
        <w:t xml:space="preserve"> vigilance renforcée</w:t>
      </w:r>
      <w:r w:rsidR="0034122E">
        <w:rPr>
          <w:rFonts w:asciiTheme="majorBidi" w:hAnsiTheme="majorBidi" w:cstheme="majorBidi"/>
          <w:sz w:val="24"/>
          <w:szCs w:val="24"/>
        </w:rPr>
        <w:t>, la loi algérienne n’incorpore</w:t>
      </w:r>
      <w:r w:rsidR="00780C14" w:rsidRPr="00E812F3">
        <w:rPr>
          <w:rFonts w:asciiTheme="majorBidi" w:hAnsiTheme="majorBidi" w:cstheme="majorBidi"/>
          <w:sz w:val="24"/>
          <w:szCs w:val="24"/>
        </w:rPr>
        <w:t xml:space="preserve"> pas de disposition législative assez claire </w:t>
      </w:r>
      <w:r w:rsidR="007D28A4" w:rsidRPr="00E812F3">
        <w:rPr>
          <w:rFonts w:asciiTheme="majorBidi" w:hAnsiTheme="majorBidi" w:cstheme="majorBidi"/>
          <w:sz w:val="24"/>
          <w:szCs w:val="24"/>
        </w:rPr>
        <w:t xml:space="preserve">pour </w:t>
      </w:r>
      <w:r w:rsidR="00780C14" w:rsidRPr="00E812F3">
        <w:rPr>
          <w:rFonts w:asciiTheme="majorBidi" w:hAnsiTheme="majorBidi" w:cstheme="majorBidi"/>
          <w:sz w:val="24"/>
          <w:szCs w:val="24"/>
        </w:rPr>
        <w:t xml:space="preserve">instituer une obligation d’attention particulière ou de vigilance renforcée pour </w:t>
      </w:r>
      <w:bookmarkStart w:id="10" w:name="_Toc214819876"/>
      <w:bookmarkStart w:id="11" w:name="_Toc215034464"/>
      <w:r w:rsidR="00780C14" w:rsidRPr="00E812F3">
        <w:rPr>
          <w:rFonts w:asciiTheme="majorBidi" w:hAnsiTheme="majorBidi" w:cstheme="majorBidi"/>
          <w:sz w:val="24"/>
          <w:szCs w:val="24"/>
        </w:rPr>
        <w:t>les comptes à risque él</w:t>
      </w:r>
      <w:r w:rsidR="007D28A4" w:rsidRPr="00E812F3">
        <w:rPr>
          <w:rFonts w:asciiTheme="majorBidi" w:hAnsiTheme="majorBidi" w:cstheme="majorBidi"/>
          <w:sz w:val="24"/>
          <w:szCs w:val="24"/>
        </w:rPr>
        <w:t xml:space="preserve">evé et les clients occasionnels. </w:t>
      </w:r>
      <w:r w:rsidR="00DE45A1">
        <w:rPr>
          <w:rFonts w:asciiTheme="majorBidi" w:hAnsiTheme="majorBidi" w:cstheme="majorBidi"/>
          <w:sz w:val="24"/>
          <w:szCs w:val="24"/>
        </w:rPr>
        <w:t>De même</w:t>
      </w:r>
      <w:r w:rsidR="0034122E">
        <w:rPr>
          <w:rFonts w:asciiTheme="majorBidi" w:hAnsiTheme="majorBidi" w:cstheme="majorBidi"/>
          <w:sz w:val="24"/>
          <w:szCs w:val="24"/>
        </w:rPr>
        <w:t>,</w:t>
      </w:r>
      <w:r w:rsidR="00DE45A1">
        <w:rPr>
          <w:rFonts w:asciiTheme="majorBidi" w:hAnsiTheme="majorBidi" w:cstheme="majorBidi"/>
          <w:sz w:val="24"/>
          <w:szCs w:val="24"/>
        </w:rPr>
        <w:t xml:space="preserve"> p</w:t>
      </w:r>
      <w:r w:rsidR="00C1769E" w:rsidRPr="00E812F3">
        <w:rPr>
          <w:rFonts w:asciiTheme="majorBidi" w:hAnsiTheme="majorBidi" w:cstheme="majorBidi"/>
          <w:sz w:val="24"/>
          <w:szCs w:val="24"/>
        </w:rPr>
        <w:t>our cette disposition, l</w:t>
      </w:r>
      <w:r w:rsidR="00780C14" w:rsidRPr="00E812F3">
        <w:rPr>
          <w:rFonts w:asciiTheme="majorBidi" w:hAnsiTheme="majorBidi" w:cstheme="majorBidi"/>
          <w:sz w:val="24"/>
          <w:szCs w:val="24"/>
        </w:rPr>
        <w:t xml:space="preserve">a </w:t>
      </w:r>
      <w:r w:rsidR="0034122E">
        <w:rPr>
          <w:rFonts w:asciiTheme="majorBidi" w:hAnsiTheme="majorBidi" w:cstheme="majorBidi"/>
          <w:sz w:val="24"/>
          <w:szCs w:val="24"/>
        </w:rPr>
        <w:t>b</w:t>
      </w:r>
      <w:r w:rsidR="00780C14" w:rsidRPr="00E812F3">
        <w:rPr>
          <w:rFonts w:asciiTheme="majorBidi" w:hAnsiTheme="majorBidi" w:cstheme="majorBidi"/>
          <w:sz w:val="24"/>
          <w:szCs w:val="24"/>
        </w:rPr>
        <w:t>anque d’Algérie</w:t>
      </w:r>
      <w:r w:rsidR="00DE45A1">
        <w:rPr>
          <w:rFonts w:asciiTheme="majorBidi" w:hAnsiTheme="majorBidi" w:cstheme="majorBidi"/>
          <w:sz w:val="24"/>
          <w:szCs w:val="24"/>
        </w:rPr>
        <w:t>, en vertu de</w:t>
      </w:r>
      <w:r w:rsidR="00350101">
        <w:rPr>
          <w:rFonts w:asciiTheme="majorBidi" w:hAnsiTheme="majorBidi" w:cstheme="majorBidi"/>
          <w:sz w:val="24"/>
          <w:szCs w:val="24"/>
        </w:rPr>
        <w:t xml:space="preserve">s </w:t>
      </w:r>
      <w:r w:rsidR="00780C14" w:rsidRPr="00E812F3">
        <w:rPr>
          <w:rFonts w:asciiTheme="majorBidi" w:hAnsiTheme="majorBidi" w:cstheme="majorBidi"/>
          <w:sz w:val="24"/>
          <w:szCs w:val="24"/>
        </w:rPr>
        <w:t>article</w:t>
      </w:r>
      <w:r w:rsidR="009952DB" w:rsidRPr="00E812F3">
        <w:rPr>
          <w:rFonts w:asciiTheme="majorBidi" w:hAnsiTheme="majorBidi" w:cstheme="majorBidi"/>
          <w:sz w:val="24"/>
          <w:szCs w:val="24"/>
        </w:rPr>
        <w:t>s</w:t>
      </w:r>
      <w:r w:rsidR="00780C14" w:rsidRPr="00E812F3">
        <w:rPr>
          <w:rFonts w:asciiTheme="majorBidi" w:hAnsiTheme="majorBidi" w:cstheme="majorBidi"/>
          <w:sz w:val="24"/>
          <w:szCs w:val="24"/>
        </w:rPr>
        <w:t xml:space="preserve"> 4 e</w:t>
      </w:r>
      <w:r w:rsidR="00DE45A1">
        <w:rPr>
          <w:rFonts w:asciiTheme="majorBidi" w:hAnsiTheme="majorBidi" w:cstheme="majorBidi"/>
          <w:sz w:val="24"/>
          <w:szCs w:val="24"/>
        </w:rPr>
        <w:t>t 7 du règlement n° 05-05</w:t>
      </w:r>
      <w:r w:rsidR="00350101">
        <w:rPr>
          <w:rFonts w:asciiTheme="majorBidi" w:hAnsiTheme="majorBidi" w:cstheme="majorBidi"/>
          <w:sz w:val="24"/>
          <w:szCs w:val="24"/>
        </w:rPr>
        <w:t>,</w:t>
      </w:r>
      <w:r w:rsidR="00DE45A1">
        <w:rPr>
          <w:rFonts w:asciiTheme="majorBidi" w:hAnsiTheme="majorBidi" w:cstheme="majorBidi"/>
          <w:sz w:val="24"/>
          <w:szCs w:val="24"/>
        </w:rPr>
        <w:t xml:space="preserve"> a essayé </w:t>
      </w:r>
      <w:r w:rsidR="00F72726">
        <w:rPr>
          <w:rFonts w:asciiTheme="majorBidi" w:hAnsiTheme="majorBidi" w:cstheme="majorBidi"/>
          <w:sz w:val="24"/>
          <w:szCs w:val="24"/>
        </w:rPr>
        <w:t xml:space="preserve">de pallier à ce manque en insistant sur le fait </w:t>
      </w:r>
      <w:r w:rsidR="009952DB" w:rsidRPr="00E812F3">
        <w:rPr>
          <w:rFonts w:asciiTheme="majorBidi" w:hAnsiTheme="majorBidi" w:cstheme="majorBidi"/>
          <w:sz w:val="24"/>
          <w:szCs w:val="24"/>
        </w:rPr>
        <w:t>que l</w:t>
      </w:r>
      <w:r w:rsidR="00780C14" w:rsidRPr="00E812F3">
        <w:rPr>
          <w:rFonts w:asciiTheme="majorBidi" w:hAnsiTheme="majorBidi" w:cstheme="majorBidi"/>
          <w:sz w:val="24"/>
          <w:szCs w:val="24"/>
        </w:rPr>
        <w:t>es banques, les établissements financiers et les services financiers d’Algérie-poste doivent, à la discrétion de leur direction générale, obtenir de tout nouveau client, personne potentiellement exposée, suffisamment de renseignements et prendre les dispositions de prudence adéquates dans la gestion de cette relation.</w:t>
      </w:r>
    </w:p>
    <w:p w:rsidR="00780C14" w:rsidRDefault="00195739" w:rsidP="00F72726">
      <w:pPr>
        <w:autoSpaceDE w:val="0"/>
        <w:autoSpaceDN w:val="0"/>
        <w:adjustRightInd w:val="0"/>
        <w:spacing w:line="360" w:lineRule="auto"/>
        <w:jc w:val="both"/>
        <w:rPr>
          <w:rFonts w:asciiTheme="majorBidi" w:hAnsiTheme="majorBidi" w:cstheme="majorBidi"/>
          <w:i/>
          <w:sz w:val="24"/>
          <w:szCs w:val="24"/>
        </w:rPr>
      </w:pPr>
      <w:r>
        <w:rPr>
          <w:rFonts w:asciiTheme="majorBidi" w:hAnsiTheme="majorBidi" w:cstheme="majorBidi"/>
          <w:sz w:val="24"/>
          <w:szCs w:val="24"/>
        </w:rPr>
        <w:tab/>
      </w:r>
      <w:r w:rsidR="0034122E">
        <w:rPr>
          <w:rFonts w:asciiTheme="majorBidi" w:hAnsiTheme="majorBidi" w:cstheme="majorBidi"/>
          <w:sz w:val="24"/>
          <w:szCs w:val="24"/>
        </w:rPr>
        <w:tab/>
      </w:r>
      <w:r w:rsidR="009952DB" w:rsidRPr="00E812F3">
        <w:rPr>
          <w:rFonts w:asciiTheme="majorBidi" w:hAnsiTheme="majorBidi" w:cstheme="majorBidi"/>
          <w:sz w:val="24"/>
          <w:szCs w:val="24"/>
        </w:rPr>
        <w:t>Toutefois,</w:t>
      </w:r>
      <w:r w:rsidR="0034122E">
        <w:rPr>
          <w:rFonts w:asciiTheme="majorBidi" w:hAnsiTheme="majorBidi" w:cstheme="majorBidi"/>
          <w:sz w:val="24"/>
          <w:szCs w:val="24"/>
        </w:rPr>
        <w:t xml:space="preserve"> les clarifications de la b</w:t>
      </w:r>
      <w:r w:rsidR="00F72726">
        <w:rPr>
          <w:rFonts w:asciiTheme="majorBidi" w:hAnsiTheme="majorBidi" w:cstheme="majorBidi"/>
          <w:sz w:val="24"/>
          <w:szCs w:val="24"/>
        </w:rPr>
        <w:t xml:space="preserve">anque d’Algérie demeurent insuffisantes. Par preuve, </w:t>
      </w:r>
      <w:r w:rsidR="00780C14" w:rsidRPr="00E812F3">
        <w:rPr>
          <w:rFonts w:asciiTheme="majorBidi" w:hAnsiTheme="majorBidi" w:cstheme="majorBidi"/>
          <w:sz w:val="24"/>
          <w:szCs w:val="24"/>
        </w:rPr>
        <w:t>le</w:t>
      </w:r>
      <w:r w:rsidR="0034122E">
        <w:rPr>
          <w:rFonts w:asciiTheme="majorBidi" w:hAnsiTheme="majorBidi" w:cstheme="majorBidi"/>
          <w:sz w:val="24"/>
          <w:szCs w:val="24"/>
        </w:rPr>
        <w:t>s inspecteurs de la b</w:t>
      </w:r>
      <w:r w:rsidR="009952DB" w:rsidRPr="00E812F3">
        <w:rPr>
          <w:rFonts w:asciiTheme="majorBidi" w:hAnsiTheme="majorBidi" w:cstheme="majorBidi"/>
          <w:sz w:val="24"/>
          <w:szCs w:val="24"/>
        </w:rPr>
        <w:t>anque d’Algérie, dans leur</w:t>
      </w:r>
      <w:r w:rsidR="00780C14" w:rsidRPr="00E812F3">
        <w:rPr>
          <w:rFonts w:asciiTheme="majorBidi" w:hAnsiTheme="majorBidi" w:cstheme="majorBidi"/>
          <w:sz w:val="24"/>
          <w:szCs w:val="24"/>
        </w:rPr>
        <w:t xml:space="preserve"> rapport établi en juillet 2008, </w:t>
      </w:r>
      <w:r w:rsidR="009952DB" w:rsidRPr="00E812F3">
        <w:rPr>
          <w:rFonts w:asciiTheme="majorBidi" w:hAnsiTheme="majorBidi" w:cstheme="majorBidi"/>
          <w:sz w:val="24"/>
          <w:szCs w:val="24"/>
        </w:rPr>
        <w:t xml:space="preserve">ont </w:t>
      </w:r>
      <w:r w:rsidR="00780C14" w:rsidRPr="00E812F3">
        <w:rPr>
          <w:rFonts w:asciiTheme="majorBidi" w:hAnsiTheme="majorBidi" w:cstheme="majorBidi"/>
          <w:sz w:val="24"/>
          <w:szCs w:val="24"/>
        </w:rPr>
        <w:t>signalé que « </w:t>
      </w:r>
      <w:r w:rsidR="00780C14" w:rsidRPr="00E812F3">
        <w:rPr>
          <w:rFonts w:asciiTheme="majorBidi" w:hAnsiTheme="majorBidi" w:cstheme="majorBidi"/>
          <w:i/>
          <w:sz w:val="24"/>
          <w:szCs w:val="24"/>
        </w:rPr>
        <w:t xml:space="preserve">certain établissements bancaires ont attiré l’attention des inspecteurs sur des dispositions réglementaires qui mériteraient être précisées, il en est ainsi particulièrement sur la </w:t>
      </w:r>
      <w:r w:rsidR="00780C14" w:rsidRPr="00E812F3">
        <w:rPr>
          <w:rFonts w:asciiTheme="majorBidi" w:hAnsiTheme="majorBidi" w:cstheme="majorBidi"/>
          <w:i/>
          <w:sz w:val="24"/>
          <w:szCs w:val="24"/>
        </w:rPr>
        <w:lastRenderedPageBreak/>
        <w:t>caractérisation des personne potentiellement exposées (PPE), pour lesquelles, il manque une définition claire dans le contexte algérien »</w:t>
      </w:r>
      <w:r w:rsidR="00780C14" w:rsidRPr="00E812F3">
        <w:rPr>
          <w:rStyle w:val="Appelnotedebasdep"/>
          <w:rFonts w:asciiTheme="majorBidi" w:hAnsiTheme="majorBidi" w:cstheme="majorBidi"/>
          <w:i/>
          <w:sz w:val="24"/>
          <w:szCs w:val="24"/>
        </w:rPr>
        <w:footnoteReference w:id="10"/>
      </w:r>
      <w:r w:rsidR="00780C14" w:rsidRPr="00E812F3">
        <w:rPr>
          <w:rFonts w:asciiTheme="majorBidi" w:hAnsiTheme="majorBidi" w:cstheme="majorBidi"/>
          <w:i/>
          <w:sz w:val="24"/>
          <w:szCs w:val="24"/>
        </w:rPr>
        <w:t>.</w:t>
      </w:r>
    </w:p>
    <w:p w:rsidR="00780C14" w:rsidRPr="00195739" w:rsidRDefault="0034122E" w:rsidP="0034122E">
      <w:pPr>
        <w:pStyle w:val="Paragraphedeliste"/>
        <w:numPr>
          <w:ilvl w:val="1"/>
          <w:numId w:val="13"/>
        </w:numPr>
        <w:tabs>
          <w:tab w:val="left" w:pos="426"/>
        </w:tabs>
        <w:autoSpaceDE w:val="0"/>
        <w:autoSpaceDN w:val="0"/>
        <w:adjustRightInd w:val="0"/>
        <w:spacing w:line="360" w:lineRule="auto"/>
        <w:ind w:left="0" w:firstLine="0"/>
        <w:jc w:val="both"/>
        <w:rPr>
          <w:rStyle w:val="Emphaseintense"/>
          <w:rFonts w:asciiTheme="majorBidi" w:hAnsiTheme="majorBidi" w:cstheme="majorBidi"/>
          <w:i w:val="0"/>
          <w:iCs w:val="0"/>
          <w:color w:val="auto"/>
          <w:sz w:val="24"/>
          <w:szCs w:val="24"/>
        </w:rPr>
      </w:pPr>
      <w:r>
        <w:rPr>
          <w:rStyle w:val="Emphaseintense"/>
          <w:rFonts w:asciiTheme="majorBidi" w:hAnsiTheme="majorBidi" w:cstheme="majorBidi"/>
          <w:i w:val="0"/>
          <w:iCs w:val="0"/>
          <w:color w:val="auto"/>
          <w:sz w:val="24"/>
          <w:szCs w:val="24"/>
        </w:rPr>
        <w:t>La c</w:t>
      </w:r>
      <w:r w:rsidR="00780C14" w:rsidRPr="00195739">
        <w:rPr>
          <w:rStyle w:val="Emphaseintense"/>
          <w:rFonts w:asciiTheme="majorBidi" w:hAnsiTheme="majorBidi" w:cstheme="majorBidi"/>
          <w:i w:val="0"/>
          <w:iCs w:val="0"/>
          <w:color w:val="auto"/>
          <w:sz w:val="24"/>
          <w:szCs w:val="24"/>
        </w:rPr>
        <w:t>atégorie de client à haut risque </w:t>
      </w:r>
    </w:p>
    <w:p w:rsidR="00780C14" w:rsidRPr="00E812F3" w:rsidRDefault="00195739" w:rsidP="00A77C38">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ab/>
      </w:r>
      <w:r w:rsidR="006774C5">
        <w:rPr>
          <w:rFonts w:asciiTheme="majorBidi" w:hAnsiTheme="majorBidi" w:cstheme="majorBidi"/>
          <w:sz w:val="24"/>
          <w:szCs w:val="24"/>
        </w:rPr>
        <w:tab/>
      </w:r>
      <w:r w:rsidR="00780C14" w:rsidRPr="00E812F3">
        <w:rPr>
          <w:rFonts w:asciiTheme="majorBidi" w:hAnsiTheme="majorBidi" w:cstheme="majorBidi"/>
          <w:sz w:val="24"/>
          <w:szCs w:val="24"/>
        </w:rPr>
        <w:t>Selon la méthodologie d’évaluation</w:t>
      </w:r>
      <w:r w:rsidR="006D0963" w:rsidRPr="00E812F3">
        <w:rPr>
          <w:rFonts w:asciiTheme="majorBidi" w:hAnsiTheme="majorBidi" w:cstheme="majorBidi"/>
          <w:sz w:val="24"/>
          <w:szCs w:val="24"/>
        </w:rPr>
        <w:t xml:space="preserve"> de la conformité aux 40 recommandations </w:t>
      </w:r>
      <w:r w:rsidR="00780C14" w:rsidRPr="00E812F3">
        <w:rPr>
          <w:rFonts w:asciiTheme="majorBidi" w:hAnsiTheme="majorBidi" w:cstheme="majorBidi"/>
          <w:sz w:val="24"/>
          <w:szCs w:val="24"/>
        </w:rPr>
        <w:t xml:space="preserve">et </w:t>
      </w:r>
      <w:r w:rsidR="006D0963" w:rsidRPr="00E812F3">
        <w:rPr>
          <w:rFonts w:asciiTheme="majorBidi" w:hAnsiTheme="majorBidi" w:cstheme="majorBidi"/>
          <w:sz w:val="24"/>
          <w:szCs w:val="24"/>
        </w:rPr>
        <w:t xml:space="preserve">aux </w:t>
      </w:r>
      <w:r w:rsidR="00780C14" w:rsidRPr="00E812F3">
        <w:rPr>
          <w:rFonts w:asciiTheme="majorBidi" w:hAnsiTheme="majorBidi" w:cstheme="majorBidi"/>
          <w:sz w:val="24"/>
          <w:szCs w:val="24"/>
        </w:rPr>
        <w:t>9 reco</w:t>
      </w:r>
      <w:r w:rsidR="001E7AC8">
        <w:rPr>
          <w:rFonts w:asciiTheme="majorBidi" w:hAnsiTheme="majorBidi" w:cstheme="majorBidi"/>
          <w:sz w:val="24"/>
          <w:szCs w:val="24"/>
        </w:rPr>
        <w:t>mmandations spéciales du GAFI, l</w:t>
      </w:r>
      <w:r w:rsidR="00780C14" w:rsidRPr="00E812F3">
        <w:rPr>
          <w:rFonts w:asciiTheme="majorBidi" w:hAnsiTheme="majorBidi" w:cstheme="majorBidi"/>
          <w:sz w:val="24"/>
          <w:szCs w:val="24"/>
        </w:rPr>
        <w:t xml:space="preserve">es institutions financières </w:t>
      </w:r>
      <w:r w:rsidR="006D0963" w:rsidRPr="00E812F3">
        <w:rPr>
          <w:rFonts w:asciiTheme="majorBidi" w:hAnsiTheme="majorBidi" w:cstheme="majorBidi"/>
          <w:sz w:val="24"/>
          <w:szCs w:val="24"/>
        </w:rPr>
        <w:t>sont</w:t>
      </w:r>
      <w:r w:rsidR="00780C14" w:rsidRPr="00E812F3">
        <w:rPr>
          <w:rFonts w:asciiTheme="majorBidi" w:hAnsiTheme="majorBidi" w:cstheme="majorBidi"/>
          <w:sz w:val="24"/>
          <w:szCs w:val="24"/>
        </w:rPr>
        <w:t xml:space="preserve"> tenues de prendre des mesures de vigilance renforcée pour les catégories à plus haut risque.</w:t>
      </w:r>
      <w:r w:rsidR="001E7AC8">
        <w:rPr>
          <w:rFonts w:asciiTheme="majorBidi" w:hAnsiTheme="majorBidi" w:cstheme="majorBidi"/>
          <w:sz w:val="24"/>
          <w:szCs w:val="24"/>
        </w:rPr>
        <w:t xml:space="preserve"> </w:t>
      </w:r>
      <w:r w:rsidR="006D0963" w:rsidRPr="00E812F3">
        <w:rPr>
          <w:rFonts w:asciiTheme="majorBidi" w:hAnsiTheme="majorBidi" w:cstheme="majorBidi"/>
          <w:sz w:val="24"/>
          <w:szCs w:val="24"/>
        </w:rPr>
        <w:t>Le</w:t>
      </w:r>
      <w:r w:rsidR="006A0C03" w:rsidRPr="00E812F3">
        <w:rPr>
          <w:rFonts w:asciiTheme="majorBidi" w:hAnsiTheme="majorBidi" w:cstheme="majorBidi"/>
          <w:sz w:val="24"/>
          <w:szCs w:val="24"/>
        </w:rPr>
        <w:t xml:space="preserve">s clients </w:t>
      </w:r>
      <w:r w:rsidR="001E7AC8">
        <w:rPr>
          <w:rFonts w:asciiTheme="majorBidi" w:hAnsiTheme="majorBidi" w:cstheme="majorBidi"/>
          <w:sz w:val="24"/>
          <w:szCs w:val="24"/>
        </w:rPr>
        <w:t xml:space="preserve">concernés par cette vigilance, selon le </w:t>
      </w:r>
      <w:r w:rsidR="00780C14" w:rsidRPr="00E812F3">
        <w:rPr>
          <w:rFonts w:asciiTheme="majorBidi" w:hAnsiTheme="majorBidi" w:cstheme="majorBidi"/>
          <w:sz w:val="24"/>
          <w:szCs w:val="24"/>
        </w:rPr>
        <w:t xml:space="preserve">document du Comité </w:t>
      </w:r>
      <w:r w:rsidR="006A0C03" w:rsidRPr="00E812F3">
        <w:rPr>
          <w:rFonts w:asciiTheme="majorBidi" w:hAnsiTheme="majorBidi" w:cstheme="majorBidi"/>
          <w:sz w:val="24"/>
          <w:szCs w:val="24"/>
        </w:rPr>
        <w:t>de Bâle</w:t>
      </w:r>
      <w:r w:rsidR="001E7AC8">
        <w:rPr>
          <w:rFonts w:asciiTheme="majorBidi" w:hAnsiTheme="majorBidi" w:cstheme="majorBidi"/>
          <w:sz w:val="24"/>
          <w:szCs w:val="24"/>
        </w:rPr>
        <w:t>,</w:t>
      </w:r>
      <w:r w:rsidR="006A0C03" w:rsidRPr="00E812F3">
        <w:rPr>
          <w:rFonts w:asciiTheme="majorBidi" w:hAnsiTheme="majorBidi" w:cstheme="majorBidi"/>
          <w:sz w:val="24"/>
          <w:szCs w:val="24"/>
        </w:rPr>
        <w:t xml:space="preserve"> </w:t>
      </w:r>
      <w:r w:rsidR="00780C14" w:rsidRPr="00E812F3">
        <w:rPr>
          <w:rFonts w:asciiTheme="majorBidi" w:hAnsiTheme="majorBidi" w:cstheme="majorBidi"/>
          <w:sz w:val="24"/>
          <w:szCs w:val="24"/>
        </w:rPr>
        <w:t xml:space="preserve">sont </w:t>
      </w:r>
      <w:r w:rsidR="00A77C38">
        <w:rPr>
          <w:rFonts w:asciiTheme="majorBidi" w:hAnsiTheme="majorBidi" w:cstheme="majorBidi"/>
          <w:sz w:val="24"/>
          <w:szCs w:val="24"/>
        </w:rPr>
        <w:t>énumérés ci-après</w:t>
      </w:r>
      <w:r w:rsidR="00780C14" w:rsidRPr="00E812F3">
        <w:rPr>
          <w:rStyle w:val="Appelnotedebasdep"/>
          <w:rFonts w:asciiTheme="majorBidi" w:hAnsiTheme="majorBidi" w:cstheme="majorBidi"/>
          <w:sz w:val="24"/>
          <w:szCs w:val="24"/>
        </w:rPr>
        <w:footnoteReference w:id="11"/>
      </w:r>
      <w:r w:rsidR="00780C14" w:rsidRPr="00E812F3">
        <w:rPr>
          <w:rFonts w:asciiTheme="majorBidi" w:hAnsiTheme="majorBidi" w:cstheme="majorBidi"/>
          <w:sz w:val="24"/>
          <w:szCs w:val="24"/>
        </w:rPr>
        <w:t xml:space="preserve"> :  </w:t>
      </w:r>
    </w:p>
    <w:p w:rsidR="00780C14" w:rsidRPr="00E812F3" w:rsidRDefault="00A77C38" w:rsidP="00E812F3">
      <w:pPr>
        <w:pStyle w:val="Default"/>
        <w:spacing w:line="360" w:lineRule="auto"/>
        <w:jc w:val="both"/>
        <w:rPr>
          <w:rFonts w:asciiTheme="majorBidi" w:hAnsiTheme="majorBidi" w:cstheme="majorBidi"/>
          <w:color w:val="auto"/>
        </w:rPr>
      </w:pPr>
      <w:r>
        <w:rPr>
          <w:rFonts w:asciiTheme="majorBidi" w:hAnsiTheme="majorBidi" w:cstheme="majorBidi"/>
          <w:color w:val="auto"/>
        </w:rPr>
        <w:t>a) les clients non résidents ;</w:t>
      </w:r>
      <w:r w:rsidR="00780C14" w:rsidRPr="00E812F3">
        <w:rPr>
          <w:rFonts w:asciiTheme="majorBidi" w:hAnsiTheme="majorBidi" w:cstheme="majorBidi"/>
          <w:color w:val="auto"/>
        </w:rPr>
        <w:t xml:space="preserve"> </w:t>
      </w:r>
    </w:p>
    <w:p w:rsidR="00780C14" w:rsidRPr="00E812F3" w:rsidRDefault="00780C14" w:rsidP="00A77C38">
      <w:pPr>
        <w:pStyle w:val="Default"/>
        <w:spacing w:line="360" w:lineRule="auto"/>
        <w:jc w:val="both"/>
        <w:rPr>
          <w:rFonts w:asciiTheme="majorBidi" w:hAnsiTheme="majorBidi" w:cstheme="majorBidi"/>
          <w:color w:val="auto"/>
        </w:rPr>
      </w:pPr>
      <w:r w:rsidRPr="00E812F3">
        <w:rPr>
          <w:rFonts w:asciiTheme="majorBidi" w:hAnsiTheme="majorBidi" w:cstheme="majorBidi"/>
          <w:color w:val="auto"/>
        </w:rPr>
        <w:t xml:space="preserve">b) </w:t>
      </w:r>
      <w:r w:rsidR="00A77C38">
        <w:rPr>
          <w:rFonts w:asciiTheme="majorBidi" w:hAnsiTheme="majorBidi" w:cstheme="majorBidi"/>
          <w:color w:val="auto"/>
        </w:rPr>
        <w:t>la clientèle de la banque privée ;</w:t>
      </w:r>
      <w:r w:rsidRPr="00E812F3">
        <w:rPr>
          <w:rFonts w:asciiTheme="majorBidi" w:hAnsiTheme="majorBidi" w:cstheme="majorBidi"/>
          <w:color w:val="auto"/>
        </w:rPr>
        <w:t xml:space="preserve"> </w:t>
      </w:r>
    </w:p>
    <w:p w:rsidR="00780C14" w:rsidRPr="00E812F3" w:rsidRDefault="00A77C38" w:rsidP="00E812F3">
      <w:pPr>
        <w:pStyle w:val="Default"/>
        <w:spacing w:line="360" w:lineRule="auto"/>
        <w:ind w:left="284" w:hanging="284"/>
        <w:jc w:val="both"/>
        <w:rPr>
          <w:rFonts w:asciiTheme="majorBidi" w:hAnsiTheme="majorBidi" w:cstheme="majorBidi"/>
          <w:color w:val="auto"/>
        </w:rPr>
      </w:pPr>
      <w:r>
        <w:rPr>
          <w:rFonts w:asciiTheme="majorBidi" w:hAnsiTheme="majorBidi" w:cstheme="majorBidi"/>
          <w:color w:val="auto"/>
        </w:rPr>
        <w:t>c) l</w:t>
      </w:r>
      <w:r w:rsidR="00780C14" w:rsidRPr="00E812F3">
        <w:rPr>
          <w:rFonts w:asciiTheme="majorBidi" w:hAnsiTheme="majorBidi" w:cstheme="majorBidi"/>
          <w:color w:val="auto"/>
        </w:rPr>
        <w:t>es personnes morales ou structures juridiques telles que les fiducies qui sont des structures d</w:t>
      </w:r>
      <w:r>
        <w:rPr>
          <w:rFonts w:asciiTheme="majorBidi" w:hAnsiTheme="majorBidi" w:cstheme="majorBidi"/>
          <w:color w:val="auto"/>
        </w:rPr>
        <w:t>e détention d’actifs personnels ;</w:t>
      </w:r>
      <w:r w:rsidR="00780C14" w:rsidRPr="00E812F3">
        <w:rPr>
          <w:rFonts w:asciiTheme="majorBidi" w:hAnsiTheme="majorBidi" w:cstheme="majorBidi"/>
          <w:color w:val="auto"/>
        </w:rPr>
        <w:t xml:space="preserve"> </w:t>
      </w:r>
      <w:r w:rsidR="008B1188">
        <w:rPr>
          <w:rFonts w:asciiTheme="majorBidi" w:hAnsiTheme="majorBidi" w:cstheme="majorBidi"/>
          <w:color w:val="auto"/>
        </w:rPr>
        <w:t>et</w:t>
      </w:r>
    </w:p>
    <w:p w:rsidR="00780C14" w:rsidRPr="00E812F3" w:rsidRDefault="00780C14" w:rsidP="00195739">
      <w:pPr>
        <w:pStyle w:val="Default"/>
        <w:spacing w:after="240" w:line="360" w:lineRule="auto"/>
        <w:ind w:left="284" w:hanging="284"/>
        <w:jc w:val="both"/>
        <w:rPr>
          <w:rStyle w:val="Emphaseintense"/>
          <w:rFonts w:asciiTheme="majorBidi" w:hAnsiTheme="majorBidi" w:cstheme="majorBidi"/>
          <w:color w:val="auto"/>
        </w:rPr>
      </w:pPr>
      <w:r w:rsidRPr="00E812F3">
        <w:rPr>
          <w:rFonts w:asciiTheme="majorBidi" w:hAnsiTheme="majorBidi" w:cstheme="majorBidi"/>
          <w:color w:val="auto"/>
        </w:rPr>
        <w:t xml:space="preserve">d) </w:t>
      </w:r>
      <w:r w:rsidR="00A77C38">
        <w:rPr>
          <w:rFonts w:asciiTheme="majorBidi" w:hAnsiTheme="majorBidi" w:cstheme="majorBidi"/>
          <w:color w:val="auto"/>
        </w:rPr>
        <w:t>l</w:t>
      </w:r>
      <w:r w:rsidRPr="00E812F3">
        <w:rPr>
          <w:rFonts w:asciiTheme="majorBidi" w:hAnsiTheme="majorBidi" w:cstheme="majorBidi"/>
          <w:color w:val="auto"/>
        </w:rPr>
        <w:t xml:space="preserve">es sociétés dont le capital est détenu par des mandataires ou émettant des actions au porteur. </w:t>
      </w:r>
    </w:p>
    <w:p w:rsidR="00780C14" w:rsidRDefault="008B1188" w:rsidP="008B1188">
      <w:pPr>
        <w:pStyle w:val="Paragraphedeliste"/>
        <w:numPr>
          <w:ilvl w:val="1"/>
          <w:numId w:val="13"/>
        </w:numPr>
        <w:tabs>
          <w:tab w:val="left" w:pos="426"/>
        </w:tabs>
        <w:autoSpaceDE w:val="0"/>
        <w:autoSpaceDN w:val="0"/>
        <w:adjustRightInd w:val="0"/>
        <w:spacing w:before="240" w:line="360" w:lineRule="auto"/>
        <w:ind w:left="0" w:firstLine="0"/>
        <w:jc w:val="both"/>
        <w:rPr>
          <w:rStyle w:val="Emphaseintense"/>
          <w:rFonts w:asciiTheme="majorBidi" w:hAnsiTheme="majorBidi" w:cstheme="majorBidi"/>
          <w:i w:val="0"/>
          <w:iCs w:val="0"/>
          <w:color w:val="auto"/>
          <w:sz w:val="24"/>
          <w:szCs w:val="24"/>
        </w:rPr>
      </w:pPr>
      <w:bookmarkStart w:id="12" w:name="_Toc213679728"/>
      <w:bookmarkStart w:id="13" w:name="_Toc214819877"/>
      <w:bookmarkStart w:id="14" w:name="_Toc215034465"/>
      <w:bookmarkEnd w:id="10"/>
      <w:bookmarkEnd w:id="11"/>
      <w:r>
        <w:rPr>
          <w:rStyle w:val="Emphaseintense"/>
          <w:rFonts w:asciiTheme="majorBidi" w:hAnsiTheme="majorBidi" w:cstheme="majorBidi"/>
          <w:i w:val="0"/>
          <w:iCs w:val="0"/>
          <w:color w:val="auto"/>
          <w:sz w:val="24"/>
          <w:szCs w:val="24"/>
        </w:rPr>
        <w:t>Les r</w:t>
      </w:r>
      <w:r w:rsidR="00780C14" w:rsidRPr="00A77C38">
        <w:rPr>
          <w:rStyle w:val="Emphaseintense"/>
          <w:rFonts w:asciiTheme="majorBidi" w:hAnsiTheme="majorBidi" w:cstheme="majorBidi"/>
          <w:i w:val="0"/>
          <w:iCs w:val="0"/>
          <w:color w:val="auto"/>
          <w:sz w:val="24"/>
          <w:szCs w:val="24"/>
        </w:rPr>
        <w:t>elations à distance</w:t>
      </w:r>
      <w:bookmarkEnd w:id="12"/>
      <w:bookmarkEnd w:id="13"/>
      <w:bookmarkEnd w:id="14"/>
      <w:r w:rsidR="00780C14" w:rsidRPr="00A77C38">
        <w:rPr>
          <w:rStyle w:val="Emphaseintense"/>
          <w:rFonts w:asciiTheme="majorBidi" w:hAnsiTheme="majorBidi" w:cstheme="majorBidi"/>
          <w:i w:val="0"/>
          <w:iCs w:val="0"/>
          <w:color w:val="auto"/>
          <w:sz w:val="24"/>
          <w:szCs w:val="24"/>
        </w:rPr>
        <w:t xml:space="preserve"> et </w:t>
      </w:r>
      <w:r>
        <w:rPr>
          <w:rStyle w:val="Emphaseintense"/>
          <w:rFonts w:asciiTheme="majorBidi" w:hAnsiTheme="majorBidi" w:cstheme="majorBidi"/>
          <w:i w:val="0"/>
          <w:iCs w:val="0"/>
          <w:color w:val="auto"/>
          <w:sz w:val="24"/>
          <w:szCs w:val="24"/>
        </w:rPr>
        <w:t xml:space="preserve">les </w:t>
      </w:r>
      <w:r w:rsidR="00780C14" w:rsidRPr="00A77C38">
        <w:rPr>
          <w:rStyle w:val="Emphaseintense"/>
          <w:rFonts w:asciiTheme="majorBidi" w:hAnsiTheme="majorBidi" w:cstheme="majorBidi"/>
          <w:i w:val="0"/>
          <w:iCs w:val="0"/>
          <w:color w:val="auto"/>
          <w:sz w:val="24"/>
          <w:szCs w:val="24"/>
        </w:rPr>
        <w:t>nouvelles technologies</w:t>
      </w:r>
      <w:r>
        <w:rPr>
          <w:rStyle w:val="Emphaseintense"/>
          <w:rFonts w:asciiTheme="majorBidi" w:hAnsiTheme="majorBidi" w:cstheme="majorBidi"/>
          <w:i w:val="0"/>
          <w:iCs w:val="0"/>
          <w:color w:val="auto"/>
          <w:sz w:val="24"/>
          <w:szCs w:val="24"/>
        </w:rPr>
        <w:t xml:space="preserve"> </w:t>
      </w:r>
    </w:p>
    <w:p w:rsidR="008B1188" w:rsidRDefault="008B1188" w:rsidP="008B1188">
      <w:pPr>
        <w:pStyle w:val="Paragraphedeliste"/>
        <w:tabs>
          <w:tab w:val="left" w:pos="426"/>
        </w:tabs>
        <w:autoSpaceDE w:val="0"/>
        <w:autoSpaceDN w:val="0"/>
        <w:adjustRightInd w:val="0"/>
        <w:spacing w:before="240" w:line="360" w:lineRule="auto"/>
        <w:ind w:left="0"/>
        <w:jc w:val="both"/>
        <w:rPr>
          <w:rStyle w:val="Emphaseintense"/>
          <w:rFonts w:asciiTheme="majorBidi" w:hAnsiTheme="majorBidi" w:cstheme="majorBidi"/>
          <w:i w:val="0"/>
          <w:iCs w:val="0"/>
          <w:color w:val="auto"/>
          <w:sz w:val="24"/>
          <w:szCs w:val="24"/>
        </w:rPr>
      </w:pPr>
    </w:p>
    <w:p w:rsidR="00780C14" w:rsidRPr="00E812F3" w:rsidRDefault="00195739" w:rsidP="00A77C38">
      <w:pPr>
        <w:pStyle w:val="Paragraphedeliste"/>
        <w:autoSpaceDE w:val="0"/>
        <w:autoSpaceDN w:val="0"/>
        <w:adjustRightInd w:val="0"/>
        <w:spacing w:line="360" w:lineRule="auto"/>
        <w:ind w:left="0"/>
        <w:jc w:val="both"/>
        <w:rPr>
          <w:rFonts w:asciiTheme="majorBidi" w:hAnsiTheme="majorBidi" w:cstheme="majorBidi"/>
          <w:sz w:val="24"/>
          <w:szCs w:val="24"/>
        </w:rPr>
      </w:pPr>
      <w:r>
        <w:rPr>
          <w:rFonts w:asciiTheme="majorBidi" w:hAnsiTheme="majorBidi" w:cstheme="majorBidi"/>
          <w:sz w:val="24"/>
          <w:szCs w:val="24"/>
        </w:rPr>
        <w:tab/>
      </w:r>
      <w:r w:rsidR="008B1188">
        <w:rPr>
          <w:rFonts w:asciiTheme="majorBidi" w:hAnsiTheme="majorBidi" w:cstheme="majorBidi"/>
          <w:sz w:val="24"/>
          <w:szCs w:val="24"/>
        </w:rPr>
        <w:tab/>
      </w:r>
      <w:r w:rsidR="00A77C38">
        <w:rPr>
          <w:rFonts w:asciiTheme="majorBidi" w:hAnsiTheme="majorBidi" w:cstheme="majorBidi"/>
          <w:sz w:val="24"/>
          <w:szCs w:val="24"/>
        </w:rPr>
        <w:t>Il est à noter que d</w:t>
      </w:r>
      <w:r w:rsidR="00780C14" w:rsidRPr="00E812F3">
        <w:rPr>
          <w:rFonts w:asciiTheme="majorBidi" w:hAnsiTheme="majorBidi" w:cstheme="majorBidi"/>
          <w:sz w:val="24"/>
          <w:szCs w:val="24"/>
        </w:rPr>
        <w:t>e plus en plus, il est demandé aux banques</w:t>
      </w:r>
      <w:r w:rsidR="00EB7DB9" w:rsidRPr="00E812F3">
        <w:rPr>
          <w:rFonts w:asciiTheme="majorBidi" w:hAnsiTheme="majorBidi" w:cstheme="majorBidi"/>
          <w:sz w:val="24"/>
          <w:szCs w:val="24"/>
        </w:rPr>
        <w:t xml:space="preserve"> d’entamer une relation d’affaire avec des </w:t>
      </w:r>
      <w:r w:rsidR="00780C14" w:rsidRPr="00E812F3">
        <w:rPr>
          <w:rFonts w:asciiTheme="majorBidi" w:hAnsiTheme="majorBidi" w:cstheme="majorBidi"/>
          <w:sz w:val="24"/>
          <w:szCs w:val="24"/>
        </w:rPr>
        <w:t xml:space="preserve">clients qui ne se présentent pas en personne pour un entretien. Courante dans le cas de la clientèle non résidente, cette pratique s’est fortement développée avec l’expansion récente de la banque postale, téléphonique et électronique. </w:t>
      </w:r>
      <w:r w:rsidR="00EB7DB9" w:rsidRPr="00E812F3">
        <w:rPr>
          <w:rFonts w:asciiTheme="majorBidi" w:hAnsiTheme="majorBidi" w:cstheme="majorBidi"/>
          <w:sz w:val="24"/>
          <w:szCs w:val="24"/>
        </w:rPr>
        <w:t>Dans ce cadre, l</w:t>
      </w:r>
      <w:r w:rsidR="00780C14" w:rsidRPr="00E812F3">
        <w:rPr>
          <w:rFonts w:asciiTheme="majorBidi" w:hAnsiTheme="majorBidi" w:cstheme="majorBidi"/>
          <w:sz w:val="24"/>
          <w:szCs w:val="24"/>
        </w:rPr>
        <w:t>es b</w:t>
      </w:r>
      <w:r w:rsidR="00EB7DB9" w:rsidRPr="00E812F3">
        <w:rPr>
          <w:rFonts w:asciiTheme="majorBidi" w:hAnsiTheme="majorBidi" w:cstheme="majorBidi"/>
          <w:sz w:val="24"/>
          <w:szCs w:val="24"/>
        </w:rPr>
        <w:t>anques devraient appliquer à ce genre de client</w:t>
      </w:r>
      <w:r w:rsidR="00780C14" w:rsidRPr="00E812F3">
        <w:rPr>
          <w:rFonts w:asciiTheme="majorBidi" w:hAnsiTheme="majorBidi" w:cstheme="majorBidi"/>
          <w:sz w:val="24"/>
          <w:szCs w:val="24"/>
        </w:rPr>
        <w:t xml:space="preserve"> des procédures d’identification et des normes </w:t>
      </w:r>
      <w:r w:rsidR="00EB7DB9" w:rsidRPr="00E812F3">
        <w:rPr>
          <w:rFonts w:asciiTheme="majorBidi" w:hAnsiTheme="majorBidi" w:cstheme="majorBidi"/>
          <w:sz w:val="24"/>
          <w:szCs w:val="24"/>
        </w:rPr>
        <w:t xml:space="preserve">spécifiques </w:t>
      </w:r>
      <w:r w:rsidR="00780C14" w:rsidRPr="00E812F3">
        <w:rPr>
          <w:rFonts w:asciiTheme="majorBidi" w:hAnsiTheme="majorBidi" w:cstheme="majorBidi"/>
          <w:sz w:val="24"/>
          <w:szCs w:val="24"/>
        </w:rPr>
        <w:t xml:space="preserve">de surveillance. </w:t>
      </w:r>
    </w:p>
    <w:p w:rsidR="00780C14" w:rsidRPr="00E812F3" w:rsidRDefault="00195739" w:rsidP="008B1188">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ab/>
      </w:r>
      <w:r w:rsidR="008B1188">
        <w:rPr>
          <w:rFonts w:asciiTheme="majorBidi" w:hAnsiTheme="majorBidi" w:cstheme="majorBidi"/>
          <w:sz w:val="24"/>
          <w:szCs w:val="24"/>
        </w:rPr>
        <w:tab/>
      </w:r>
      <w:r w:rsidR="00EB7DB9" w:rsidRPr="00A77C38">
        <w:rPr>
          <w:rFonts w:asciiTheme="majorBidi" w:hAnsiTheme="majorBidi" w:cstheme="majorBidi"/>
          <w:sz w:val="24"/>
          <w:szCs w:val="24"/>
        </w:rPr>
        <w:t>Cependant, l</w:t>
      </w:r>
      <w:r w:rsidR="00780C14" w:rsidRPr="00A77C38">
        <w:rPr>
          <w:rFonts w:asciiTheme="majorBidi" w:hAnsiTheme="majorBidi" w:cstheme="majorBidi"/>
          <w:sz w:val="24"/>
          <w:szCs w:val="24"/>
        </w:rPr>
        <w:t>a loi algérienne ne prévoit aucune mesure particulière concer</w:t>
      </w:r>
      <w:r w:rsidR="00D51718" w:rsidRPr="00A77C38">
        <w:rPr>
          <w:rFonts w:asciiTheme="majorBidi" w:hAnsiTheme="majorBidi" w:cstheme="majorBidi"/>
          <w:sz w:val="24"/>
          <w:szCs w:val="24"/>
        </w:rPr>
        <w:t xml:space="preserve">nant les menaces de blanchiment relatives aux </w:t>
      </w:r>
      <w:r w:rsidR="00780C14" w:rsidRPr="00A77C38">
        <w:rPr>
          <w:rFonts w:asciiTheme="majorBidi" w:hAnsiTheme="majorBidi" w:cstheme="majorBidi"/>
          <w:sz w:val="24"/>
          <w:szCs w:val="24"/>
        </w:rPr>
        <w:t>opérations qui peuvent</w:t>
      </w:r>
      <w:r w:rsidR="00D51718" w:rsidRPr="00A77C38">
        <w:rPr>
          <w:rFonts w:asciiTheme="majorBidi" w:hAnsiTheme="majorBidi" w:cstheme="majorBidi"/>
          <w:sz w:val="24"/>
          <w:szCs w:val="24"/>
        </w:rPr>
        <w:t xml:space="preserve"> être t</w:t>
      </w:r>
      <w:r w:rsidR="008B1188">
        <w:rPr>
          <w:rFonts w:asciiTheme="majorBidi" w:hAnsiTheme="majorBidi" w:cstheme="majorBidi"/>
          <w:sz w:val="24"/>
          <w:szCs w:val="24"/>
        </w:rPr>
        <w:t xml:space="preserve">raitées dans l’anonymat via les </w:t>
      </w:r>
      <w:r w:rsidR="00780C14" w:rsidRPr="00A77C38">
        <w:rPr>
          <w:rFonts w:asciiTheme="majorBidi" w:hAnsiTheme="majorBidi" w:cstheme="majorBidi"/>
          <w:sz w:val="24"/>
          <w:szCs w:val="24"/>
        </w:rPr>
        <w:t>technologies nouvelles</w:t>
      </w:r>
      <w:r w:rsidR="002E3738" w:rsidRPr="00A77C38">
        <w:rPr>
          <w:rFonts w:asciiTheme="majorBidi" w:hAnsiTheme="majorBidi" w:cstheme="majorBidi"/>
          <w:sz w:val="24"/>
          <w:szCs w:val="24"/>
        </w:rPr>
        <w:t>.</w:t>
      </w:r>
      <w:r w:rsidR="008B1188">
        <w:rPr>
          <w:rFonts w:asciiTheme="majorBidi" w:hAnsiTheme="majorBidi" w:cstheme="majorBidi"/>
          <w:sz w:val="24"/>
          <w:szCs w:val="24"/>
        </w:rPr>
        <w:t xml:space="preserve"> </w:t>
      </w:r>
      <w:r w:rsidR="00A77C38">
        <w:rPr>
          <w:rFonts w:asciiTheme="majorBidi" w:hAnsiTheme="majorBidi" w:cstheme="majorBidi"/>
          <w:sz w:val="24"/>
          <w:szCs w:val="24"/>
        </w:rPr>
        <w:t>Ces</w:t>
      </w:r>
      <w:r w:rsidR="002E3738" w:rsidRPr="00E812F3">
        <w:rPr>
          <w:rFonts w:asciiTheme="majorBidi" w:hAnsiTheme="majorBidi" w:cstheme="majorBidi"/>
          <w:sz w:val="24"/>
          <w:szCs w:val="24"/>
        </w:rPr>
        <w:t xml:space="preserve"> </w:t>
      </w:r>
      <w:r w:rsidR="002E3738" w:rsidRPr="00E812F3">
        <w:rPr>
          <w:rStyle w:val="Style13pt"/>
          <w:rFonts w:asciiTheme="majorBidi" w:hAnsiTheme="majorBidi" w:cstheme="majorBidi"/>
          <w:szCs w:val="24"/>
        </w:rPr>
        <w:t>technologiques considérées comme une source d’e</w:t>
      </w:r>
      <w:r w:rsidR="00A77C38">
        <w:rPr>
          <w:rStyle w:val="Style13pt"/>
          <w:rFonts w:asciiTheme="majorBidi" w:hAnsiTheme="majorBidi" w:cstheme="majorBidi"/>
          <w:szCs w:val="24"/>
        </w:rPr>
        <w:t xml:space="preserve">nrichissement pour les banques </w:t>
      </w:r>
      <w:r w:rsidR="002E3738" w:rsidRPr="00E812F3">
        <w:rPr>
          <w:rStyle w:val="Style13pt"/>
          <w:rFonts w:asciiTheme="majorBidi" w:hAnsiTheme="majorBidi" w:cstheme="majorBidi"/>
          <w:szCs w:val="24"/>
        </w:rPr>
        <w:t>dépend</w:t>
      </w:r>
      <w:r w:rsidR="00A77C38">
        <w:rPr>
          <w:rStyle w:val="Style13pt"/>
          <w:rFonts w:asciiTheme="majorBidi" w:hAnsiTheme="majorBidi" w:cstheme="majorBidi"/>
          <w:szCs w:val="24"/>
        </w:rPr>
        <w:t>ent</w:t>
      </w:r>
      <w:r w:rsidR="00F07EA7">
        <w:rPr>
          <w:rStyle w:val="Style13pt"/>
          <w:rFonts w:asciiTheme="majorBidi" w:hAnsiTheme="majorBidi" w:cstheme="majorBidi"/>
          <w:szCs w:val="24"/>
        </w:rPr>
        <w:t>,</w:t>
      </w:r>
      <w:r w:rsidR="00A77C38">
        <w:rPr>
          <w:rStyle w:val="Style13pt"/>
          <w:rFonts w:asciiTheme="majorBidi" w:hAnsiTheme="majorBidi" w:cstheme="majorBidi"/>
          <w:szCs w:val="24"/>
        </w:rPr>
        <w:t xml:space="preserve"> dans leur utilisation</w:t>
      </w:r>
      <w:r w:rsidR="00F07EA7">
        <w:rPr>
          <w:rStyle w:val="Style13pt"/>
          <w:rFonts w:asciiTheme="majorBidi" w:hAnsiTheme="majorBidi" w:cstheme="majorBidi"/>
          <w:szCs w:val="24"/>
        </w:rPr>
        <w:t>,</w:t>
      </w:r>
      <w:r w:rsidR="00A77C38">
        <w:rPr>
          <w:rStyle w:val="Style13pt"/>
          <w:rFonts w:asciiTheme="majorBidi" w:hAnsiTheme="majorBidi" w:cstheme="majorBidi"/>
          <w:szCs w:val="24"/>
        </w:rPr>
        <w:t xml:space="preserve"> </w:t>
      </w:r>
      <w:r w:rsidR="002E3738" w:rsidRPr="00E812F3">
        <w:rPr>
          <w:rStyle w:val="Style13pt"/>
          <w:rFonts w:asciiTheme="majorBidi" w:hAnsiTheme="majorBidi" w:cstheme="majorBidi"/>
          <w:szCs w:val="24"/>
        </w:rPr>
        <w:t xml:space="preserve">des intentions de </w:t>
      </w:r>
      <w:r w:rsidR="00F07EA7">
        <w:rPr>
          <w:rStyle w:val="Style13pt"/>
          <w:rFonts w:asciiTheme="majorBidi" w:hAnsiTheme="majorBidi" w:cstheme="majorBidi"/>
          <w:szCs w:val="24"/>
        </w:rPr>
        <w:t>leurs</w:t>
      </w:r>
      <w:r w:rsidR="002E3738" w:rsidRPr="00E812F3">
        <w:rPr>
          <w:rStyle w:val="Style13pt"/>
          <w:rFonts w:asciiTheme="majorBidi" w:hAnsiTheme="majorBidi" w:cstheme="majorBidi"/>
          <w:szCs w:val="24"/>
        </w:rPr>
        <w:t xml:space="preserve"> utilisateur</w:t>
      </w:r>
      <w:r w:rsidR="00F07EA7">
        <w:rPr>
          <w:rStyle w:val="Style13pt"/>
          <w:rFonts w:asciiTheme="majorBidi" w:hAnsiTheme="majorBidi" w:cstheme="majorBidi"/>
          <w:szCs w:val="24"/>
        </w:rPr>
        <w:t>s</w:t>
      </w:r>
      <w:r w:rsidR="002E3738" w:rsidRPr="00E812F3">
        <w:rPr>
          <w:rStyle w:val="Style13pt"/>
          <w:rFonts w:asciiTheme="majorBidi" w:hAnsiTheme="majorBidi" w:cstheme="majorBidi"/>
          <w:szCs w:val="24"/>
        </w:rPr>
        <w:t xml:space="preserve">, </w:t>
      </w:r>
      <w:r w:rsidR="008B1188">
        <w:rPr>
          <w:rStyle w:val="Style13pt"/>
          <w:rFonts w:asciiTheme="majorBidi" w:hAnsiTheme="majorBidi" w:cstheme="majorBidi"/>
          <w:szCs w:val="24"/>
        </w:rPr>
        <w:t>dans la mesure où elle</w:t>
      </w:r>
      <w:r w:rsidR="000547F5">
        <w:rPr>
          <w:rStyle w:val="Style13pt"/>
          <w:rFonts w:asciiTheme="majorBidi" w:hAnsiTheme="majorBidi" w:cstheme="majorBidi"/>
          <w:szCs w:val="24"/>
        </w:rPr>
        <w:t xml:space="preserve">s </w:t>
      </w:r>
      <w:r w:rsidR="00F07EA7">
        <w:rPr>
          <w:rStyle w:val="Style13pt"/>
          <w:rFonts w:asciiTheme="majorBidi" w:hAnsiTheme="majorBidi" w:cstheme="majorBidi"/>
          <w:szCs w:val="24"/>
        </w:rPr>
        <w:t>peuvent être</w:t>
      </w:r>
      <w:r w:rsidR="002E3738" w:rsidRPr="00E812F3">
        <w:rPr>
          <w:rStyle w:val="Style13pt"/>
          <w:rFonts w:asciiTheme="majorBidi" w:hAnsiTheme="majorBidi" w:cstheme="majorBidi"/>
          <w:szCs w:val="24"/>
        </w:rPr>
        <w:t xml:space="preserve"> exploitée</w:t>
      </w:r>
      <w:r w:rsidR="000547F5">
        <w:rPr>
          <w:rStyle w:val="Style13pt"/>
          <w:rFonts w:asciiTheme="majorBidi" w:hAnsiTheme="majorBidi" w:cstheme="majorBidi"/>
          <w:szCs w:val="24"/>
        </w:rPr>
        <w:t>s</w:t>
      </w:r>
      <w:r w:rsidR="002E3738" w:rsidRPr="00E812F3">
        <w:rPr>
          <w:rStyle w:val="Style13pt"/>
          <w:rFonts w:asciiTheme="majorBidi" w:hAnsiTheme="majorBidi" w:cstheme="majorBidi"/>
          <w:szCs w:val="24"/>
        </w:rPr>
        <w:t xml:space="preserve"> </w:t>
      </w:r>
      <w:r w:rsidR="000547F5">
        <w:rPr>
          <w:rStyle w:val="Style13pt"/>
          <w:rFonts w:asciiTheme="majorBidi" w:hAnsiTheme="majorBidi" w:cstheme="majorBidi"/>
          <w:szCs w:val="24"/>
        </w:rPr>
        <w:t xml:space="preserve">par </w:t>
      </w:r>
      <w:r w:rsidR="00F07EA7">
        <w:rPr>
          <w:rStyle w:val="Style13pt"/>
          <w:rFonts w:asciiTheme="majorBidi" w:hAnsiTheme="majorBidi" w:cstheme="majorBidi"/>
          <w:szCs w:val="24"/>
        </w:rPr>
        <w:t xml:space="preserve">des criminels </w:t>
      </w:r>
      <w:r w:rsidR="008B1188">
        <w:rPr>
          <w:rStyle w:val="Style13pt"/>
          <w:rFonts w:asciiTheme="majorBidi" w:hAnsiTheme="majorBidi" w:cstheme="majorBidi"/>
          <w:szCs w:val="24"/>
        </w:rPr>
        <w:t xml:space="preserve">et devenir ainsi, </w:t>
      </w:r>
      <w:r w:rsidR="002E3738" w:rsidRPr="00E812F3">
        <w:rPr>
          <w:rStyle w:val="Style13pt"/>
          <w:rFonts w:asciiTheme="majorBidi" w:hAnsiTheme="majorBidi" w:cstheme="majorBidi"/>
          <w:szCs w:val="24"/>
        </w:rPr>
        <w:t xml:space="preserve"> </w:t>
      </w:r>
      <w:r w:rsidR="002E3738" w:rsidRPr="00E812F3">
        <w:rPr>
          <w:rStyle w:val="Style13pt"/>
          <w:rFonts w:asciiTheme="majorBidi" w:hAnsiTheme="majorBidi" w:cstheme="majorBidi"/>
          <w:szCs w:val="24"/>
        </w:rPr>
        <w:lastRenderedPageBreak/>
        <w:t>une sou</w:t>
      </w:r>
      <w:r w:rsidR="008B1188">
        <w:rPr>
          <w:rStyle w:val="Style13pt"/>
          <w:rFonts w:asciiTheme="majorBidi" w:hAnsiTheme="majorBidi" w:cstheme="majorBidi"/>
          <w:szCs w:val="24"/>
        </w:rPr>
        <w:t>rce de destruction. B</w:t>
      </w:r>
      <w:r w:rsidR="00772B31">
        <w:rPr>
          <w:rStyle w:val="Style13pt"/>
          <w:rFonts w:asciiTheme="majorBidi" w:hAnsiTheme="majorBidi" w:cstheme="majorBidi"/>
          <w:szCs w:val="24"/>
        </w:rPr>
        <w:t>ien que</w:t>
      </w:r>
      <w:r w:rsidR="00772B31" w:rsidRPr="00E812F3">
        <w:rPr>
          <w:rStyle w:val="Style13pt"/>
          <w:rFonts w:asciiTheme="majorBidi" w:hAnsiTheme="majorBidi" w:cstheme="majorBidi"/>
          <w:szCs w:val="24"/>
        </w:rPr>
        <w:t xml:space="preserve"> </w:t>
      </w:r>
      <w:r w:rsidR="00772B31" w:rsidRPr="00E812F3">
        <w:rPr>
          <w:rFonts w:asciiTheme="majorBidi" w:hAnsiTheme="majorBidi" w:cstheme="majorBidi"/>
          <w:sz w:val="24"/>
          <w:szCs w:val="24"/>
        </w:rPr>
        <w:t>l’établissement de relations d’affaires se fait toujours en présence physique des parties et que l’ouverture de compte à distance n’est pas une pratique courante en Algérie</w:t>
      </w:r>
      <w:r w:rsidR="00772B31">
        <w:rPr>
          <w:rFonts w:asciiTheme="majorBidi" w:hAnsiTheme="majorBidi" w:cstheme="majorBidi"/>
          <w:sz w:val="24"/>
          <w:szCs w:val="24"/>
        </w:rPr>
        <w:t xml:space="preserve">, </w:t>
      </w:r>
      <w:r w:rsidR="000547F5">
        <w:rPr>
          <w:rStyle w:val="Style13pt"/>
          <w:rFonts w:asciiTheme="majorBidi" w:hAnsiTheme="majorBidi" w:cstheme="majorBidi"/>
          <w:szCs w:val="24"/>
        </w:rPr>
        <w:t xml:space="preserve">le législateur algérien </w:t>
      </w:r>
      <w:r w:rsidR="002E3738" w:rsidRPr="00E812F3">
        <w:rPr>
          <w:rStyle w:val="Style13pt"/>
          <w:rFonts w:asciiTheme="majorBidi" w:hAnsiTheme="majorBidi" w:cstheme="majorBidi"/>
          <w:szCs w:val="24"/>
        </w:rPr>
        <w:t>doit a</w:t>
      </w:r>
      <w:r w:rsidR="002E3738" w:rsidRPr="00E812F3">
        <w:rPr>
          <w:rFonts w:asciiTheme="majorBidi" w:hAnsiTheme="majorBidi" w:cstheme="majorBidi"/>
          <w:sz w:val="24"/>
          <w:szCs w:val="24"/>
        </w:rPr>
        <w:t>pporter une attention particulière aux menaces de blanchiment inhérentes aux technologies nouvelles et à toutes les opérations complexes</w:t>
      </w:r>
      <w:r w:rsidR="002E3738" w:rsidRPr="00E812F3">
        <w:rPr>
          <w:rStyle w:val="Style13pt"/>
          <w:rFonts w:asciiTheme="majorBidi" w:hAnsiTheme="majorBidi" w:cstheme="majorBidi"/>
          <w:szCs w:val="24"/>
        </w:rPr>
        <w:t xml:space="preserve"> qui gagnent du terrain </w:t>
      </w:r>
      <w:r w:rsidR="003B0AA4" w:rsidRPr="00E812F3">
        <w:rPr>
          <w:rStyle w:val="Style13pt"/>
          <w:rFonts w:asciiTheme="majorBidi" w:hAnsiTheme="majorBidi" w:cstheme="majorBidi"/>
          <w:szCs w:val="24"/>
        </w:rPr>
        <w:t>en raison de</w:t>
      </w:r>
      <w:r w:rsidR="002E3738" w:rsidRPr="00E812F3">
        <w:rPr>
          <w:rStyle w:val="Style13pt"/>
          <w:rFonts w:asciiTheme="majorBidi" w:hAnsiTheme="majorBidi" w:cstheme="majorBidi"/>
          <w:szCs w:val="24"/>
        </w:rPr>
        <w:t xml:space="preserve"> la concurrence et la créativité</w:t>
      </w:r>
      <w:r w:rsidR="00132CD4" w:rsidRPr="00E812F3">
        <w:rPr>
          <w:rStyle w:val="Style13pt"/>
          <w:rFonts w:asciiTheme="majorBidi" w:hAnsiTheme="majorBidi" w:cstheme="majorBidi"/>
          <w:szCs w:val="24"/>
        </w:rPr>
        <w:t xml:space="preserve"> des banques privées en Algérie</w:t>
      </w:r>
      <w:r w:rsidR="00CE60F6">
        <w:rPr>
          <w:rStyle w:val="Style13pt"/>
          <w:rFonts w:asciiTheme="majorBidi" w:hAnsiTheme="majorBidi" w:cstheme="majorBidi"/>
          <w:szCs w:val="24"/>
        </w:rPr>
        <w:t>.</w:t>
      </w:r>
    </w:p>
    <w:p w:rsidR="00780C14" w:rsidRPr="000547F5" w:rsidRDefault="008B1188" w:rsidP="000547F5">
      <w:pPr>
        <w:pStyle w:val="Paragraphedeliste"/>
        <w:numPr>
          <w:ilvl w:val="0"/>
          <w:numId w:val="13"/>
        </w:numPr>
        <w:tabs>
          <w:tab w:val="left" w:pos="284"/>
        </w:tabs>
        <w:autoSpaceDE w:val="0"/>
        <w:autoSpaceDN w:val="0"/>
        <w:adjustRightInd w:val="0"/>
        <w:spacing w:after="0" w:line="360" w:lineRule="auto"/>
        <w:ind w:left="0" w:firstLine="0"/>
        <w:jc w:val="both"/>
        <w:rPr>
          <w:rStyle w:val="Emphaseintense"/>
          <w:rFonts w:asciiTheme="majorBidi" w:hAnsiTheme="majorBidi" w:cstheme="majorBidi"/>
          <w:i w:val="0"/>
          <w:iCs w:val="0"/>
          <w:color w:val="auto"/>
          <w:sz w:val="24"/>
          <w:szCs w:val="24"/>
        </w:rPr>
      </w:pPr>
      <w:bookmarkStart w:id="15" w:name="_Toc213679729"/>
      <w:bookmarkStart w:id="16" w:name="_Toc214819882"/>
      <w:bookmarkStart w:id="17" w:name="_Toc215034470"/>
      <w:r>
        <w:rPr>
          <w:rStyle w:val="Emphaseintense"/>
          <w:rFonts w:asciiTheme="majorBidi" w:hAnsiTheme="majorBidi" w:cstheme="majorBidi"/>
          <w:i w:val="0"/>
          <w:iCs w:val="0"/>
          <w:color w:val="auto"/>
          <w:sz w:val="24"/>
          <w:szCs w:val="24"/>
        </w:rPr>
        <w:t xml:space="preserve">LE </w:t>
      </w:r>
      <w:r w:rsidR="00195739" w:rsidRPr="000547F5">
        <w:rPr>
          <w:rStyle w:val="Emphaseintense"/>
          <w:rFonts w:asciiTheme="majorBidi" w:hAnsiTheme="majorBidi" w:cstheme="majorBidi"/>
          <w:i w:val="0"/>
          <w:iCs w:val="0"/>
          <w:color w:val="auto"/>
          <w:sz w:val="24"/>
          <w:szCs w:val="24"/>
        </w:rPr>
        <w:t>MOMENT DE LA VERIFICATION</w:t>
      </w:r>
    </w:p>
    <w:p w:rsidR="00780C14" w:rsidRPr="00E812F3" w:rsidRDefault="00195739" w:rsidP="008B1188">
      <w:pPr>
        <w:pStyle w:val="Default"/>
        <w:spacing w:before="240" w:line="360" w:lineRule="auto"/>
        <w:jc w:val="both"/>
        <w:rPr>
          <w:rFonts w:asciiTheme="majorBidi" w:hAnsiTheme="majorBidi" w:cstheme="majorBidi"/>
          <w:color w:val="auto"/>
        </w:rPr>
      </w:pPr>
      <w:r>
        <w:rPr>
          <w:rFonts w:asciiTheme="majorBidi" w:hAnsiTheme="majorBidi" w:cstheme="majorBidi"/>
          <w:color w:val="auto"/>
        </w:rPr>
        <w:tab/>
      </w:r>
      <w:r w:rsidR="008B1188">
        <w:rPr>
          <w:rFonts w:asciiTheme="majorBidi" w:hAnsiTheme="majorBidi" w:cstheme="majorBidi"/>
          <w:color w:val="auto"/>
        </w:rPr>
        <w:tab/>
      </w:r>
      <w:r w:rsidR="00E62805" w:rsidRPr="00E812F3">
        <w:rPr>
          <w:rFonts w:asciiTheme="majorBidi" w:hAnsiTheme="majorBidi" w:cstheme="majorBidi"/>
          <w:color w:val="auto"/>
        </w:rPr>
        <w:t>Selon les recommandations du GAFI, l</w:t>
      </w:r>
      <w:r w:rsidR="00780C14" w:rsidRPr="00E812F3">
        <w:rPr>
          <w:rFonts w:asciiTheme="majorBidi" w:hAnsiTheme="majorBidi" w:cstheme="majorBidi"/>
          <w:color w:val="auto"/>
        </w:rPr>
        <w:t>es institutions financières devraient être tenues de vérifier l'identité du client et du bénéficiaire effectif avant ou au moment de l'établissement d'une relation d'affaires, ou lorsqu'elles effectuent des transactions pour des clients occasionnels.</w:t>
      </w:r>
      <w:r w:rsidR="008B1188">
        <w:rPr>
          <w:rFonts w:asciiTheme="majorBidi" w:hAnsiTheme="majorBidi" w:cstheme="majorBidi"/>
          <w:color w:val="auto"/>
        </w:rPr>
        <w:t xml:space="preserve"> En revanche, l</w:t>
      </w:r>
      <w:r w:rsidR="00780C14" w:rsidRPr="00E812F3">
        <w:rPr>
          <w:rFonts w:asciiTheme="majorBidi" w:hAnsiTheme="majorBidi" w:cstheme="majorBidi"/>
          <w:color w:val="auto"/>
        </w:rPr>
        <w:t>es pays peuvent autoriser les institutions financières à compléter les vérifications de l’identité du client et du propriétaire effectif après l’établissement de la relation d’affaires, à condition que</w:t>
      </w:r>
      <w:r w:rsidR="00780C14" w:rsidRPr="00E812F3">
        <w:rPr>
          <w:rStyle w:val="Appelnotedebasdep"/>
          <w:rFonts w:asciiTheme="majorBidi" w:hAnsiTheme="majorBidi" w:cstheme="majorBidi"/>
          <w:color w:val="auto"/>
        </w:rPr>
        <w:footnoteReference w:id="12"/>
      </w:r>
      <w:r w:rsidR="00780C14" w:rsidRPr="00E812F3">
        <w:rPr>
          <w:rFonts w:asciiTheme="majorBidi" w:hAnsiTheme="majorBidi" w:cstheme="majorBidi"/>
          <w:color w:val="auto"/>
        </w:rPr>
        <w:t xml:space="preserve"> : </w:t>
      </w:r>
    </w:p>
    <w:p w:rsidR="00780C14" w:rsidRPr="00E812F3" w:rsidRDefault="00780C14" w:rsidP="00E812F3">
      <w:pPr>
        <w:pStyle w:val="Default"/>
        <w:spacing w:line="360" w:lineRule="auto"/>
        <w:jc w:val="both"/>
        <w:rPr>
          <w:rFonts w:asciiTheme="majorBidi" w:hAnsiTheme="majorBidi" w:cstheme="majorBidi"/>
          <w:color w:val="auto"/>
        </w:rPr>
      </w:pPr>
    </w:p>
    <w:p w:rsidR="00780C14" w:rsidRDefault="00780C14" w:rsidP="00A732EB">
      <w:pPr>
        <w:pStyle w:val="Default"/>
        <w:numPr>
          <w:ilvl w:val="0"/>
          <w:numId w:val="15"/>
        </w:numPr>
        <w:spacing w:line="360" w:lineRule="auto"/>
        <w:jc w:val="both"/>
        <w:rPr>
          <w:rFonts w:asciiTheme="majorBidi" w:hAnsiTheme="majorBidi" w:cstheme="majorBidi"/>
          <w:color w:val="auto"/>
        </w:rPr>
      </w:pPr>
      <w:r w:rsidRPr="00E812F3">
        <w:rPr>
          <w:rFonts w:asciiTheme="majorBidi" w:hAnsiTheme="majorBidi" w:cstheme="majorBidi"/>
          <w:color w:val="auto"/>
        </w:rPr>
        <w:t>les délais soient aussi brefs que possible ;</w:t>
      </w:r>
    </w:p>
    <w:p w:rsidR="00780C14" w:rsidRDefault="00A732EB" w:rsidP="00A732EB">
      <w:pPr>
        <w:pStyle w:val="Default"/>
        <w:numPr>
          <w:ilvl w:val="0"/>
          <w:numId w:val="15"/>
        </w:numPr>
        <w:spacing w:line="360" w:lineRule="auto"/>
        <w:jc w:val="both"/>
        <w:rPr>
          <w:rFonts w:asciiTheme="majorBidi" w:hAnsiTheme="majorBidi" w:cstheme="majorBidi"/>
          <w:color w:val="auto"/>
        </w:rPr>
      </w:pPr>
      <w:r>
        <w:rPr>
          <w:rFonts w:asciiTheme="majorBidi" w:hAnsiTheme="majorBidi" w:cstheme="majorBidi"/>
          <w:color w:val="auto"/>
        </w:rPr>
        <w:t>l</w:t>
      </w:r>
      <w:r w:rsidR="00780C14" w:rsidRPr="00A732EB">
        <w:rPr>
          <w:rFonts w:asciiTheme="majorBidi" w:hAnsiTheme="majorBidi" w:cstheme="majorBidi"/>
          <w:color w:val="auto"/>
        </w:rPr>
        <w:t>e déroulement normal de la relation d'affaires ne soit pas interrompu ;</w:t>
      </w:r>
    </w:p>
    <w:p w:rsidR="00780C14" w:rsidRPr="00A732EB" w:rsidRDefault="00A732EB" w:rsidP="00A732EB">
      <w:pPr>
        <w:pStyle w:val="Default"/>
        <w:numPr>
          <w:ilvl w:val="0"/>
          <w:numId w:val="15"/>
        </w:numPr>
        <w:spacing w:line="360" w:lineRule="auto"/>
        <w:jc w:val="both"/>
        <w:rPr>
          <w:rFonts w:asciiTheme="majorBidi" w:hAnsiTheme="majorBidi" w:cstheme="majorBidi"/>
          <w:color w:val="auto"/>
        </w:rPr>
      </w:pPr>
      <w:r>
        <w:rPr>
          <w:rFonts w:asciiTheme="majorBidi" w:hAnsiTheme="majorBidi" w:cstheme="majorBidi"/>
          <w:color w:val="auto"/>
        </w:rPr>
        <w:t>l</w:t>
      </w:r>
      <w:r w:rsidR="00780C14" w:rsidRPr="00A732EB">
        <w:rPr>
          <w:rFonts w:asciiTheme="majorBidi" w:hAnsiTheme="majorBidi" w:cstheme="majorBidi"/>
          <w:color w:val="auto"/>
        </w:rPr>
        <w:t>es risques de blanchiment de capitaux soient gérés efficacement.</w:t>
      </w:r>
    </w:p>
    <w:p w:rsidR="00780C14" w:rsidRPr="00E812F3" w:rsidRDefault="00780C14" w:rsidP="00E812F3">
      <w:pPr>
        <w:pStyle w:val="Default"/>
        <w:spacing w:line="360" w:lineRule="auto"/>
        <w:jc w:val="both"/>
        <w:rPr>
          <w:rFonts w:asciiTheme="majorBidi" w:hAnsiTheme="majorBidi" w:cstheme="majorBidi"/>
          <w:color w:val="auto"/>
        </w:rPr>
      </w:pPr>
    </w:p>
    <w:p w:rsidR="00780C14" w:rsidRPr="00E812F3" w:rsidRDefault="00195739" w:rsidP="0042171B">
      <w:pPr>
        <w:pStyle w:val="Default"/>
        <w:spacing w:after="240" w:line="360" w:lineRule="auto"/>
        <w:jc w:val="both"/>
        <w:rPr>
          <w:rFonts w:asciiTheme="majorBidi" w:hAnsiTheme="majorBidi" w:cstheme="majorBidi"/>
          <w:color w:val="auto"/>
        </w:rPr>
      </w:pPr>
      <w:r>
        <w:rPr>
          <w:rFonts w:asciiTheme="majorBidi" w:hAnsiTheme="majorBidi" w:cstheme="majorBidi"/>
          <w:color w:val="auto"/>
        </w:rPr>
        <w:tab/>
      </w:r>
      <w:r w:rsidR="008B1188">
        <w:rPr>
          <w:rFonts w:asciiTheme="majorBidi" w:hAnsiTheme="majorBidi" w:cstheme="majorBidi"/>
          <w:color w:val="auto"/>
        </w:rPr>
        <w:tab/>
      </w:r>
      <w:r w:rsidR="00780C14" w:rsidRPr="00E812F3">
        <w:rPr>
          <w:rFonts w:asciiTheme="majorBidi" w:hAnsiTheme="majorBidi" w:cstheme="majorBidi"/>
          <w:color w:val="auto"/>
        </w:rPr>
        <w:t xml:space="preserve">Lorsqu’un client est autorisé à nouer une relation d’affaires préalablement à la vérification, les institutions financières devraient adopter des procédures de gestion des risques concernant les conditions dans lesquelles cela peut se faire. Ces procédures devraient comprendre un ensemble de mesures comme une limitation du nombre, du type et/ou du montant des transactions </w:t>
      </w:r>
      <w:r w:rsidR="00A732EB">
        <w:rPr>
          <w:rFonts w:asciiTheme="majorBidi" w:hAnsiTheme="majorBidi" w:cstheme="majorBidi"/>
          <w:color w:val="auto"/>
        </w:rPr>
        <w:t>qui peuvent</w:t>
      </w:r>
      <w:r w:rsidR="0042171B">
        <w:rPr>
          <w:rFonts w:asciiTheme="majorBidi" w:hAnsiTheme="majorBidi" w:cstheme="majorBidi"/>
          <w:color w:val="auto"/>
        </w:rPr>
        <w:t xml:space="preserve"> être exécutées.</w:t>
      </w:r>
    </w:p>
    <w:p w:rsidR="00780C14" w:rsidRDefault="004120DC" w:rsidP="004120DC">
      <w:pPr>
        <w:spacing w:line="36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En ce qui concerne ce point</w:t>
      </w:r>
      <w:r w:rsidR="00E62805" w:rsidRPr="002460C1">
        <w:rPr>
          <w:rFonts w:asciiTheme="majorBidi" w:hAnsiTheme="majorBidi" w:cstheme="majorBidi"/>
          <w:sz w:val="24"/>
          <w:szCs w:val="24"/>
        </w:rPr>
        <w:t>,</w:t>
      </w:r>
      <w:r w:rsidR="00D000FF" w:rsidRPr="002460C1">
        <w:rPr>
          <w:rFonts w:asciiTheme="majorBidi" w:hAnsiTheme="majorBidi" w:cstheme="majorBidi"/>
          <w:sz w:val="24"/>
          <w:szCs w:val="24"/>
        </w:rPr>
        <w:t xml:space="preserve"> </w:t>
      </w:r>
      <w:r w:rsidR="00BE1CED" w:rsidRPr="002460C1">
        <w:rPr>
          <w:rFonts w:asciiTheme="majorBidi" w:hAnsiTheme="majorBidi" w:cstheme="majorBidi"/>
          <w:sz w:val="24"/>
          <w:szCs w:val="24"/>
        </w:rPr>
        <w:t>le</w:t>
      </w:r>
      <w:r w:rsidR="00D000FF" w:rsidRPr="002460C1">
        <w:rPr>
          <w:rFonts w:asciiTheme="majorBidi" w:hAnsiTheme="majorBidi" w:cstheme="majorBidi"/>
          <w:sz w:val="24"/>
          <w:szCs w:val="24"/>
        </w:rPr>
        <w:t xml:space="preserve"> législateur </w:t>
      </w:r>
      <w:r w:rsidR="000F4BE6" w:rsidRPr="002460C1">
        <w:rPr>
          <w:rFonts w:asciiTheme="majorBidi" w:hAnsiTheme="majorBidi" w:cstheme="majorBidi"/>
          <w:sz w:val="24"/>
          <w:szCs w:val="24"/>
        </w:rPr>
        <w:t xml:space="preserve">algérien </w:t>
      </w:r>
      <w:r w:rsidR="00672D4E" w:rsidRPr="002460C1">
        <w:rPr>
          <w:rFonts w:asciiTheme="majorBidi" w:hAnsiTheme="majorBidi" w:cstheme="majorBidi"/>
          <w:sz w:val="24"/>
          <w:szCs w:val="24"/>
        </w:rPr>
        <w:t xml:space="preserve">a </w:t>
      </w:r>
      <w:r w:rsidR="00411612" w:rsidRPr="002460C1">
        <w:rPr>
          <w:rFonts w:asciiTheme="majorBidi" w:hAnsiTheme="majorBidi" w:cstheme="majorBidi"/>
          <w:sz w:val="24"/>
          <w:szCs w:val="24"/>
        </w:rPr>
        <w:t>traité</w:t>
      </w:r>
      <w:r w:rsidR="00B27E5A" w:rsidRPr="002460C1">
        <w:rPr>
          <w:rFonts w:asciiTheme="majorBidi" w:hAnsiTheme="majorBidi" w:cstheme="majorBidi"/>
          <w:sz w:val="24"/>
          <w:szCs w:val="24"/>
        </w:rPr>
        <w:t xml:space="preserve"> </w:t>
      </w:r>
      <w:r w:rsidR="00D000FF" w:rsidRPr="002460C1">
        <w:rPr>
          <w:rFonts w:asciiTheme="majorBidi" w:hAnsiTheme="majorBidi" w:cstheme="majorBidi"/>
          <w:sz w:val="24"/>
          <w:szCs w:val="24"/>
        </w:rPr>
        <w:t xml:space="preserve">sommairement </w:t>
      </w:r>
      <w:r w:rsidR="00672D4E" w:rsidRPr="002460C1">
        <w:rPr>
          <w:rFonts w:asciiTheme="majorBidi" w:hAnsiTheme="majorBidi" w:cstheme="majorBidi"/>
          <w:sz w:val="24"/>
          <w:szCs w:val="24"/>
        </w:rPr>
        <w:t xml:space="preserve">la relation </w:t>
      </w:r>
      <w:r w:rsidR="00BE1CED" w:rsidRPr="002460C1">
        <w:rPr>
          <w:rFonts w:asciiTheme="majorBidi" w:hAnsiTheme="majorBidi" w:cstheme="majorBidi"/>
          <w:sz w:val="24"/>
          <w:szCs w:val="24"/>
        </w:rPr>
        <w:t>des banques avec leurs clients</w:t>
      </w:r>
      <w:r w:rsidR="002460C1">
        <w:rPr>
          <w:rFonts w:asciiTheme="majorBidi" w:hAnsiTheme="majorBidi" w:cstheme="majorBidi"/>
          <w:sz w:val="24"/>
          <w:szCs w:val="24"/>
        </w:rPr>
        <w:t xml:space="preserve"> </w:t>
      </w:r>
      <w:r>
        <w:rPr>
          <w:rFonts w:asciiTheme="majorBidi" w:hAnsiTheme="majorBidi" w:cstheme="majorBidi"/>
          <w:sz w:val="24"/>
          <w:szCs w:val="24"/>
        </w:rPr>
        <w:t xml:space="preserve">et a refusé </w:t>
      </w:r>
      <w:r w:rsidR="0026253C">
        <w:rPr>
          <w:rFonts w:asciiTheme="majorBidi" w:hAnsiTheme="majorBidi" w:cstheme="majorBidi"/>
          <w:sz w:val="24"/>
          <w:szCs w:val="24"/>
        </w:rPr>
        <w:t xml:space="preserve">tout </w:t>
      </w:r>
      <w:r w:rsidR="00780C14" w:rsidRPr="002460C1">
        <w:rPr>
          <w:rFonts w:asciiTheme="majorBidi" w:hAnsiTheme="majorBidi" w:cstheme="majorBidi"/>
          <w:sz w:val="24"/>
          <w:szCs w:val="24"/>
        </w:rPr>
        <w:t xml:space="preserve">délai ou motif </w:t>
      </w:r>
      <w:r w:rsidR="00E62805" w:rsidRPr="002460C1">
        <w:rPr>
          <w:rFonts w:asciiTheme="majorBidi" w:hAnsiTheme="majorBidi" w:cstheme="majorBidi"/>
          <w:sz w:val="24"/>
          <w:szCs w:val="24"/>
        </w:rPr>
        <w:t>justifiant</w:t>
      </w:r>
      <w:r>
        <w:rPr>
          <w:rFonts w:asciiTheme="majorBidi" w:hAnsiTheme="majorBidi" w:cstheme="majorBidi"/>
          <w:sz w:val="24"/>
          <w:szCs w:val="24"/>
        </w:rPr>
        <w:t xml:space="preserve"> la non i</w:t>
      </w:r>
      <w:r w:rsidR="00780C14" w:rsidRPr="002460C1">
        <w:rPr>
          <w:rFonts w:asciiTheme="majorBidi" w:hAnsiTheme="majorBidi" w:cstheme="majorBidi"/>
          <w:sz w:val="24"/>
          <w:szCs w:val="24"/>
        </w:rPr>
        <w:t>dentification du client</w:t>
      </w:r>
      <w:r w:rsidR="0026253C">
        <w:rPr>
          <w:rFonts w:asciiTheme="majorBidi" w:hAnsiTheme="majorBidi" w:cstheme="majorBidi"/>
          <w:sz w:val="24"/>
          <w:szCs w:val="24"/>
        </w:rPr>
        <w:t xml:space="preserve"> avant l’établissement de la relation d’affaire. </w:t>
      </w:r>
    </w:p>
    <w:p w:rsidR="00195739" w:rsidRDefault="00195739" w:rsidP="00047E64">
      <w:pPr>
        <w:spacing w:line="360" w:lineRule="auto"/>
        <w:rPr>
          <w:rFonts w:asciiTheme="majorBidi" w:hAnsiTheme="majorBidi" w:cstheme="majorBidi"/>
          <w:b/>
          <w:bCs/>
          <w:caps/>
          <w:color w:val="000000"/>
          <w:sz w:val="28"/>
          <w:szCs w:val="28"/>
        </w:rPr>
      </w:pPr>
      <w:bookmarkStart w:id="18" w:name="_Toc246078295"/>
    </w:p>
    <w:p w:rsidR="004120DC" w:rsidRDefault="004120DC" w:rsidP="00047E64">
      <w:pPr>
        <w:spacing w:line="360" w:lineRule="auto"/>
        <w:rPr>
          <w:rFonts w:asciiTheme="majorBidi" w:hAnsiTheme="majorBidi" w:cstheme="majorBidi"/>
          <w:b/>
          <w:bCs/>
          <w:caps/>
          <w:color w:val="000000"/>
          <w:sz w:val="28"/>
          <w:szCs w:val="28"/>
        </w:rPr>
      </w:pPr>
    </w:p>
    <w:p w:rsidR="00251876" w:rsidRDefault="00251876" w:rsidP="00047E64">
      <w:pPr>
        <w:spacing w:line="360" w:lineRule="auto"/>
        <w:rPr>
          <w:rFonts w:asciiTheme="majorBidi" w:hAnsiTheme="majorBidi" w:cstheme="majorBidi"/>
          <w:b/>
          <w:bCs/>
          <w:caps/>
          <w:color w:val="000000"/>
          <w:sz w:val="28"/>
          <w:szCs w:val="28"/>
        </w:rPr>
      </w:pPr>
    </w:p>
    <w:p w:rsidR="00047E64" w:rsidRDefault="00780C14" w:rsidP="00047E64">
      <w:pPr>
        <w:spacing w:line="360" w:lineRule="auto"/>
        <w:rPr>
          <w:rFonts w:asciiTheme="majorBidi" w:hAnsiTheme="majorBidi" w:cstheme="majorBidi"/>
          <w:b/>
          <w:bCs/>
          <w:caps/>
          <w:color w:val="000000"/>
          <w:sz w:val="28"/>
          <w:szCs w:val="28"/>
        </w:rPr>
      </w:pPr>
      <w:r w:rsidRPr="0026253C">
        <w:rPr>
          <w:rFonts w:asciiTheme="majorBidi" w:hAnsiTheme="majorBidi" w:cstheme="majorBidi"/>
          <w:b/>
          <w:bCs/>
          <w:caps/>
          <w:color w:val="000000"/>
          <w:sz w:val="28"/>
          <w:szCs w:val="28"/>
        </w:rPr>
        <w:t>SECTION II : Devoir de conservation des documents</w:t>
      </w:r>
      <w:bookmarkEnd w:id="18"/>
      <w:r w:rsidRPr="0026253C">
        <w:rPr>
          <w:rFonts w:asciiTheme="majorBidi" w:hAnsiTheme="majorBidi" w:cstheme="majorBidi"/>
          <w:b/>
          <w:bCs/>
          <w:caps/>
          <w:color w:val="000000"/>
          <w:sz w:val="28"/>
          <w:szCs w:val="28"/>
        </w:rPr>
        <w:t> </w:t>
      </w:r>
      <w:bookmarkStart w:id="19" w:name="_Toc246078296"/>
      <w:bookmarkEnd w:id="15"/>
      <w:bookmarkEnd w:id="16"/>
      <w:bookmarkEnd w:id="17"/>
    </w:p>
    <w:p w:rsidR="00780C14" w:rsidRPr="00047E64" w:rsidRDefault="00195739" w:rsidP="004120DC">
      <w:pPr>
        <w:spacing w:line="360" w:lineRule="auto"/>
        <w:jc w:val="both"/>
        <w:rPr>
          <w:rFonts w:asciiTheme="majorBidi" w:hAnsiTheme="majorBidi" w:cstheme="majorBidi"/>
          <w:b/>
          <w:bCs/>
          <w:caps/>
          <w:color w:val="000000"/>
          <w:sz w:val="28"/>
          <w:szCs w:val="28"/>
        </w:rPr>
      </w:pPr>
      <w:r>
        <w:rPr>
          <w:rFonts w:asciiTheme="majorBidi" w:hAnsiTheme="majorBidi" w:cstheme="majorBidi"/>
          <w:sz w:val="24"/>
          <w:szCs w:val="24"/>
        </w:rPr>
        <w:tab/>
      </w:r>
      <w:r w:rsidR="004120DC">
        <w:rPr>
          <w:rFonts w:asciiTheme="majorBidi" w:hAnsiTheme="majorBidi" w:cstheme="majorBidi"/>
          <w:sz w:val="24"/>
          <w:szCs w:val="24"/>
        </w:rPr>
        <w:tab/>
      </w:r>
      <w:r w:rsidR="00047E64">
        <w:rPr>
          <w:rFonts w:asciiTheme="majorBidi" w:hAnsiTheme="majorBidi" w:cstheme="majorBidi"/>
          <w:sz w:val="24"/>
          <w:szCs w:val="24"/>
        </w:rPr>
        <w:t>U</w:t>
      </w:r>
      <w:r w:rsidR="00780C14" w:rsidRPr="00E812F3">
        <w:rPr>
          <w:rFonts w:asciiTheme="majorBidi" w:hAnsiTheme="majorBidi" w:cstheme="majorBidi"/>
          <w:sz w:val="24"/>
          <w:szCs w:val="24"/>
        </w:rPr>
        <w:t>ne bonne poursuite pénale suppose, nécessairement</w:t>
      </w:r>
      <w:r w:rsidR="00047E64">
        <w:rPr>
          <w:rFonts w:asciiTheme="majorBidi" w:hAnsiTheme="majorBidi" w:cstheme="majorBidi"/>
          <w:sz w:val="24"/>
          <w:szCs w:val="24"/>
        </w:rPr>
        <w:t>,</w:t>
      </w:r>
      <w:r w:rsidR="00780C14" w:rsidRPr="00E812F3">
        <w:rPr>
          <w:rFonts w:asciiTheme="majorBidi" w:hAnsiTheme="majorBidi" w:cstheme="majorBidi"/>
          <w:sz w:val="24"/>
          <w:szCs w:val="24"/>
        </w:rPr>
        <w:t xml:space="preserve"> l’existence des pièces justificatives reproduisant le processus suivi par les opérations effectuées par le client.</w:t>
      </w:r>
      <w:r w:rsidR="00AD6AFB" w:rsidRPr="00E812F3">
        <w:rPr>
          <w:rFonts w:asciiTheme="majorBidi" w:hAnsiTheme="majorBidi" w:cstheme="majorBidi"/>
          <w:sz w:val="24"/>
          <w:szCs w:val="24"/>
        </w:rPr>
        <w:t xml:space="preserve"> L</w:t>
      </w:r>
      <w:r w:rsidR="00780C14" w:rsidRPr="00E812F3">
        <w:rPr>
          <w:rFonts w:asciiTheme="majorBidi" w:hAnsiTheme="majorBidi" w:cstheme="majorBidi"/>
          <w:sz w:val="24"/>
          <w:szCs w:val="24"/>
        </w:rPr>
        <w:t xml:space="preserve">es </w:t>
      </w:r>
      <w:r w:rsidR="00672D4E" w:rsidRPr="00E812F3">
        <w:rPr>
          <w:rFonts w:asciiTheme="majorBidi" w:hAnsiTheme="majorBidi" w:cstheme="majorBidi"/>
          <w:sz w:val="24"/>
          <w:szCs w:val="24"/>
        </w:rPr>
        <w:t>b</w:t>
      </w:r>
      <w:r w:rsidR="00780C14" w:rsidRPr="00E812F3">
        <w:rPr>
          <w:rFonts w:asciiTheme="majorBidi" w:hAnsiTheme="majorBidi" w:cstheme="majorBidi"/>
          <w:sz w:val="24"/>
          <w:szCs w:val="24"/>
        </w:rPr>
        <w:t>anques exécute</w:t>
      </w:r>
      <w:r w:rsidR="00047E64">
        <w:rPr>
          <w:rFonts w:asciiTheme="majorBidi" w:hAnsiTheme="majorBidi" w:cstheme="majorBidi"/>
          <w:sz w:val="24"/>
          <w:szCs w:val="24"/>
        </w:rPr>
        <w:t>nt</w:t>
      </w:r>
      <w:r w:rsidR="00780C14" w:rsidRPr="00E812F3">
        <w:rPr>
          <w:rFonts w:asciiTheme="majorBidi" w:hAnsiTheme="majorBidi" w:cstheme="majorBidi"/>
          <w:sz w:val="24"/>
          <w:szCs w:val="24"/>
        </w:rPr>
        <w:t xml:space="preserve"> des milliers d’opérations chaque année, </w:t>
      </w:r>
      <w:r w:rsidR="004120DC">
        <w:rPr>
          <w:rFonts w:asciiTheme="majorBidi" w:hAnsiTheme="majorBidi" w:cstheme="majorBidi"/>
          <w:sz w:val="24"/>
          <w:szCs w:val="24"/>
        </w:rPr>
        <w:t xml:space="preserve">souvent elles </w:t>
      </w:r>
      <w:r w:rsidR="00780C14" w:rsidRPr="00E812F3">
        <w:rPr>
          <w:rFonts w:asciiTheme="majorBidi" w:hAnsiTheme="majorBidi" w:cstheme="majorBidi"/>
          <w:sz w:val="24"/>
          <w:szCs w:val="24"/>
        </w:rPr>
        <w:t>se débarrasse</w:t>
      </w:r>
      <w:r w:rsidR="004120DC">
        <w:rPr>
          <w:rFonts w:asciiTheme="majorBidi" w:hAnsiTheme="majorBidi" w:cstheme="majorBidi"/>
          <w:sz w:val="24"/>
          <w:szCs w:val="24"/>
        </w:rPr>
        <w:t>nt</w:t>
      </w:r>
      <w:r w:rsidR="00780C14" w:rsidRPr="00E812F3">
        <w:rPr>
          <w:rFonts w:asciiTheme="majorBidi" w:hAnsiTheme="majorBidi" w:cstheme="majorBidi"/>
          <w:sz w:val="24"/>
          <w:szCs w:val="24"/>
        </w:rPr>
        <w:t xml:space="preserve"> de certains documents inutiles</w:t>
      </w:r>
      <w:r w:rsidR="004120DC">
        <w:rPr>
          <w:rFonts w:asciiTheme="majorBidi" w:hAnsiTheme="majorBidi" w:cstheme="majorBidi"/>
          <w:sz w:val="24"/>
          <w:szCs w:val="24"/>
        </w:rPr>
        <w:t xml:space="preserve"> à cause </w:t>
      </w:r>
      <w:r w:rsidR="00047E64">
        <w:rPr>
          <w:rFonts w:asciiTheme="majorBidi" w:hAnsiTheme="majorBidi" w:cstheme="majorBidi"/>
          <w:sz w:val="24"/>
          <w:szCs w:val="24"/>
        </w:rPr>
        <w:t>du</w:t>
      </w:r>
      <w:r w:rsidR="00780C14" w:rsidRPr="00E812F3">
        <w:rPr>
          <w:rFonts w:asciiTheme="majorBidi" w:hAnsiTheme="majorBidi" w:cstheme="majorBidi"/>
          <w:sz w:val="24"/>
          <w:szCs w:val="24"/>
        </w:rPr>
        <w:t xml:space="preserve"> coût de stockage </w:t>
      </w:r>
      <w:r w:rsidR="004120DC">
        <w:rPr>
          <w:rFonts w:asciiTheme="majorBidi" w:hAnsiTheme="majorBidi" w:cstheme="majorBidi"/>
          <w:sz w:val="24"/>
          <w:szCs w:val="24"/>
        </w:rPr>
        <w:t>très élevé</w:t>
      </w:r>
      <w:r w:rsidR="00780C14" w:rsidRPr="00E812F3">
        <w:rPr>
          <w:rFonts w:asciiTheme="majorBidi" w:hAnsiTheme="majorBidi" w:cstheme="majorBidi"/>
          <w:sz w:val="24"/>
          <w:szCs w:val="24"/>
        </w:rPr>
        <w:t>.</w:t>
      </w:r>
      <w:r w:rsidR="00047E64">
        <w:rPr>
          <w:rFonts w:asciiTheme="majorBidi" w:hAnsiTheme="majorBidi" w:cstheme="majorBidi"/>
          <w:sz w:val="24"/>
          <w:szCs w:val="24"/>
        </w:rPr>
        <w:t xml:space="preserve"> </w:t>
      </w:r>
      <w:r w:rsidR="00780C14" w:rsidRPr="00E812F3">
        <w:rPr>
          <w:rFonts w:asciiTheme="majorBidi" w:hAnsiTheme="majorBidi" w:cstheme="majorBidi"/>
          <w:sz w:val="24"/>
          <w:szCs w:val="24"/>
        </w:rPr>
        <w:t>Ce comportement finirait par condamner toutes les opérations de poursuite à l’échec en entravant la coopération entre les différentes institutions au sein d’un territoire, ce qui se traduirait encore par l’impossibilité de lutter efficacement contre le financement du terrorisme et le blanchiment d’argent. En fait, la guerre contre ces deux fléaux est une chaîne composée de plusieurs acteurs et il suffirait qu’il existe un maillon faible pour que tout le processus soit qualifié d’inutile.</w:t>
      </w:r>
      <w:bookmarkEnd w:id="19"/>
      <w:r w:rsidR="00536516" w:rsidRPr="00E812F3">
        <w:rPr>
          <w:rFonts w:asciiTheme="majorBidi" w:hAnsiTheme="majorBidi" w:cstheme="majorBidi"/>
          <w:sz w:val="24"/>
          <w:szCs w:val="24"/>
        </w:rPr>
        <w:t xml:space="preserve"> </w:t>
      </w:r>
      <w:r w:rsidR="00780C14" w:rsidRPr="00E812F3">
        <w:rPr>
          <w:rStyle w:val="Style13pt"/>
          <w:rFonts w:asciiTheme="majorBidi" w:hAnsiTheme="majorBidi" w:cstheme="majorBidi"/>
          <w:szCs w:val="24"/>
        </w:rPr>
        <w:t>Cette réalité a poussé les organismes internationaux de régulation à imposer le devoir de conservation des documen</w:t>
      </w:r>
      <w:r w:rsidR="00047E87">
        <w:rPr>
          <w:rStyle w:val="Style13pt"/>
          <w:rFonts w:asciiTheme="majorBidi" w:hAnsiTheme="majorBidi" w:cstheme="majorBidi"/>
          <w:szCs w:val="24"/>
        </w:rPr>
        <w:t>ts aux établissements de crédit, i</w:t>
      </w:r>
      <w:r w:rsidR="00780C14" w:rsidRPr="00E812F3">
        <w:rPr>
          <w:rStyle w:val="Style13pt"/>
          <w:rFonts w:asciiTheme="majorBidi" w:hAnsiTheme="majorBidi" w:cstheme="majorBidi"/>
          <w:szCs w:val="24"/>
        </w:rPr>
        <w:t>l s’agit</w:t>
      </w:r>
      <w:r w:rsidR="004120DC">
        <w:rPr>
          <w:rStyle w:val="Style13pt"/>
          <w:rFonts w:asciiTheme="majorBidi" w:hAnsiTheme="majorBidi" w:cstheme="majorBidi"/>
          <w:szCs w:val="24"/>
        </w:rPr>
        <w:t xml:space="preserve"> notamment de </w:t>
      </w:r>
      <w:r w:rsidR="00780C14" w:rsidRPr="00E812F3">
        <w:rPr>
          <w:rStyle w:val="Style13pt"/>
          <w:rFonts w:asciiTheme="majorBidi" w:hAnsiTheme="majorBidi" w:cstheme="majorBidi"/>
          <w:szCs w:val="24"/>
        </w:rPr>
        <w:t xml:space="preserve">la recommandation </w:t>
      </w:r>
      <w:r w:rsidR="00047E87">
        <w:rPr>
          <w:rStyle w:val="Style13pt"/>
          <w:rFonts w:asciiTheme="majorBidi" w:hAnsiTheme="majorBidi" w:cstheme="majorBidi"/>
          <w:szCs w:val="24"/>
        </w:rPr>
        <w:t>(</w:t>
      </w:r>
      <w:r w:rsidR="00780C14" w:rsidRPr="00E812F3">
        <w:rPr>
          <w:rStyle w:val="Style13pt"/>
          <w:rFonts w:asciiTheme="majorBidi" w:hAnsiTheme="majorBidi" w:cstheme="majorBidi"/>
          <w:szCs w:val="24"/>
        </w:rPr>
        <w:t>10</w:t>
      </w:r>
      <w:r w:rsidR="00047E87">
        <w:rPr>
          <w:rStyle w:val="Style13pt"/>
          <w:rFonts w:asciiTheme="majorBidi" w:hAnsiTheme="majorBidi" w:cstheme="majorBidi"/>
          <w:szCs w:val="24"/>
        </w:rPr>
        <w:t>)</w:t>
      </w:r>
      <w:r w:rsidR="00780C14" w:rsidRPr="00E812F3">
        <w:rPr>
          <w:rStyle w:val="Style13pt"/>
          <w:rFonts w:asciiTheme="majorBidi" w:hAnsiTheme="majorBidi" w:cstheme="majorBidi"/>
          <w:szCs w:val="24"/>
        </w:rPr>
        <w:t xml:space="preserve"> du GAFI</w:t>
      </w:r>
      <w:r w:rsidR="004120DC">
        <w:rPr>
          <w:rStyle w:val="Style13pt"/>
          <w:rFonts w:asciiTheme="majorBidi" w:hAnsiTheme="majorBidi" w:cstheme="majorBidi"/>
          <w:szCs w:val="24"/>
        </w:rPr>
        <w:t>.</w:t>
      </w:r>
    </w:p>
    <w:p w:rsidR="00780C14" w:rsidRPr="00047E87" w:rsidRDefault="00195739" w:rsidP="00195739">
      <w:pPr>
        <w:pStyle w:val="Paragraphedeliste"/>
        <w:numPr>
          <w:ilvl w:val="0"/>
          <w:numId w:val="17"/>
        </w:numPr>
        <w:tabs>
          <w:tab w:val="left" w:pos="284"/>
        </w:tabs>
        <w:autoSpaceDE w:val="0"/>
        <w:autoSpaceDN w:val="0"/>
        <w:adjustRightInd w:val="0"/>
        <w:spacing w:before="360" w:after="240" w:line="360" w:lineRule="auto"/>
        <w:ind w:left="0" w:right="-137" w:firstLine="0"/>
        <w:jc w:val="both"/>
        <w:outlineLvl w:val="2"/>
        <w:rPr>
          <w:rStyle w:val="Emphaseintense"/>
          <w:rFonts w:asciiTheme="majorBidi" w:hAnsiTheme="majorBidi" w:cstheme="majorBidi"/>
          <w:i w:val="0"/>
          <w:iCs w:val="0"/>
          <w:color w:val="auto"/>
          <w:sz w:val="24"/>
          <w:szCs w:val="24"/>
        </w:rPr>
      </w:pPr>
      <w:bookmarkStart w:id="20" w:name="_Toc246078297"/>
      <w:r w:rsidRPr="00047E87">
        <w:rPr>
          <w:rStyle w:val="Emphaseintense"/>
          <w:rFonts w:asciiTheme="majorBidi" w:hAnsiTheme="majorBidi" w:cstheme="majorBidi"/>
          <w:i w:val="0"/>
          <w:iCs w:val="0"/>
          <w:color w:val="auto"/>
          <w:sz w:val="24"/>
          <w:szCs w:val="24"/>
        </w:rPr>
        <w:t>LA DUREE DE LA CONSERVATION DES DOCUMENTS</w:t>
      </w:r>
      <w:bookmarkEnd w:id="20"/>
    </w:p>
    <w:p w:rsidR="00780C14" w:rsidRDefault="00320F93" w:rsidP="00320F93">
      <w:pPr>
        <w:tabs>
          <w:tab w:val="left" w:pos="284"/>
          <w:tab w:val="left" w:pos="567"/>
        </w:tabs>
        <w:autoSpaceDE w:val="0"/>
        <w:autoSpaceDN w:val="0"/>
        <w:adjustRightInd w:val="0"/>
        <w:spacing w:before="360" w:after="240" w:line="360" w:lineRule="auto"/>
        <w:ind w:right="-137"/>
        <w:jc w:val="both"/>
        <w:outlineLvl w:val="2"/>
        <w:rPr>
          <w:rFonts w:asciiTheme="majorBidi" w:hAnsiTheme="majorBidi" w:cstheme="majorBidi"/>
          <w:sz w:val="24"/>
          <w:szCs w:val="24"/>
        </w:rPr>
      </w:pPr>
      <w:bookmarkStart w:id="21" w:name="_Toc246078298"/>
      <w:r>
        <w:rPr>
          <w:rFonts w:asciiTheme="majorBidi" w:hAnsiTheme="majorBidi" w:cstheme="majorBidi"/>
          <w:sz w:val="24"/>
          <w:szCs w:val="24"/>
        </w:rPr>
        <w:tab/>
      </w:r>
      <w:r>
        <w:rPr>
          <w:rFonts w:asciiTheme="majorBidi" w:hAnsiTheme="majorBidi" w:cstheme="majorBidi"/>
          <w:sz w:val="24"/>
          <w:szCs w:val="24"/>
        </w:rPr>
        <w:tab/>
      </w:r>
      <w:r w:rsidR="00780C14" w:rsidRPr="00E812F3">
        <w:rPr>
          <w:rFonts w:asciiTheme="majorBidi" w:hAnsiTheme="majorBidi" w:cstheme="majorBidi"/>
          <w:sz w:val="24"/>
          <w:szCs w:val="24"/>
        </w:rPr>
        <w:t xml:space="preserve"> L’article </w:t>
      </w:r>
      <w:r w:rsidR="005D33D2" w:rsidRPr="00E812F3">
        <w:rPr>
          <w:rStyle w:val="Style13pt"/>
          <w:rFonts w:asciiTheme="majorBidi" w:hAnsiTheme="majorBidi" w:cstheme="majorBidi"/>
          <w:szCs w:val="24"/>
        </w:rPr>
        <w:t>14 de la loi n° 05-01</w:t>
      </w:r>
      <w:r w:rsidR="005D33D2">
        <w:rPr>
          <w:rStyle w:val="Style13pt"/>
          <w:rFonts w:asciiTheme="majorBidi" w:hAnsiTheme="majorBidi" w:cstheme="majorBidi"/>
          <w:szCs w:val="24"/>
        </w:rPr>
        <w:t xml:space="preserve"> </w:t>
      </w:r>
      <w:r w:rsidR="00780C14" w:rsidRPr="00E812F3">
        <w:rPr>
          <w:rStyle w:val="Style13pt"/>
          <w:rFonts w:asciiTheme="majorBidi" w:hAnsiTheme="majorBidi" w:cstheme="majorBidi"/>
          <w:szCs w:val="24"/>
        </w:rPr>
        <w:t>stipule que  </w:t>
      </w:r>
      <w:r w:rsidR="00FB67EA" w:rsidRPr="00E812F3">
        <w:rPr>
          <w:rFonts w:asciiTheme="majorBidi" w:hAnsiTheme="majorBidi" w:cstheme="majorBidi"/>
          <w:sz w:val="24"/>
          <w:szCs w:val="24"/>
        </w:rPr>
        <w:t>l</w:t>
      </w:r>
      <w:r w:rsidR="00780C14" w:rsidRPr="00E812F3">
        <w:rPr>
          <w:rFonts w:asciiTheme="majorBidi" w:hAnsiTheme="majorBidi" w:cstheme="majorBidi"/>
          <w:sz w:val="24"/>
          <w:szCs w:val="24"/>
        </w:rPr>
        <w:t>es banques, les établissements financiers et les services financiers d’Algérie-poste doivent conserver des pièces justificatives durant une période de cinq ans, après la clôture des comptes et/ou la cessation</w:t>
      </w:r>
      <w:r w:rsidR="00AB685F" w:rsidRPr="00E812F3">
        <w:rPr>
          <w:rFonts w:asciiTheme="majorBidi" w:hAnsiTheme="majorBidi" w:cstheme="majorBidi"/>
          <w:sz w:val="24"/>
          <w:szCs w:val="24"/>
        </w:rPr>
        <w:t xml:space="preserve"> de la relation d’affaires. </w:t>
      </w:r>
      <w:r w:rsidR="005D33D2">
        <w:rPr>
          <w:rFonts w:asciiTheme="majorBidi" w:hAnsiTheme="majorBidi" w:cstheme="majorBidi"/>
          <w:sz w:val="24"/>
          <w:szCs w:val="24"/>
        </w:rPr>
        <w:t>Il est à noter que le législateur algérien s’est confirmé aux exigences du GAFI</w:t>
      </w:r>
      <w:r w:rsidR="00AB685F" w:rsidRPr="00E812F3">
        <w:rPr>
          <w:rFonts w:asciiTheme="majorBidi" w:hAnsiTheme="majorBidi" w:cstheme="majorBidi"/>
          <w:sz w:val="24"/>
          <w:szCs w:val="24"/>
        </w:rPr>
        <w:t xml:space="preserve"> </w:t>
      </w:r>
      <w:r>
        <w:rPr>
          <w:rFonts w:asciiTheme="majorBidi" w:hAnsiTheme="majorBidi" w:cstheme="majorBidi"/>
          <w:sz w:val="24"/>
          <w:szCs w:val="24"/>
        </w:rPr>
        <w:t>en adoptant le seuil inferieur exigé</w:t>
      </w:r>
      <w:r w:rsidR="005F4427">
        <w:rPr>
          <w:rFonts w:asciiTheme="majorBidi" w:hAnsiTheme="majorBidi" w:cstheme="majorBidi"/>
          <w:sz w:val="24"/>
          <w:szCs w:val="24"/>
        </w:rPr>
        <w:t xml:space="preserve"> par ce groupe</w:t>
      </w:r>
      <w:r w:rsidR="005D33D2">
        <w:rPr>
          <w:rFonts w:asciiTheme="majorBidi" w:hAnsiTheme="majorBidi" w:cstheme="majorBidi"/>
          <w:sz w:val="24"/>
          <w:szCs w:val="24"/>
        </w:rPr>
        <w:t xml:space="preserve"> pour la conservation </w:t>
      </w:r>
      <w:r w:rsidR="00AB685F" w:rsidRPr="00E812F3">
        <w:rPr>
          <w:rFonts w:asciiTheme="majorBidi" w:hAnsiTheme="majorBidi" w:cstheme="majorBidi"/>
          <w:sz w:val="24"/>
          <w:szCs w:val="24"/>
        </w:rPr>
        <w:t>des documents</w:t>
      </w:r>
      <w:r w:rsidR="005F4427">
        <w:rPr>
          <w:rFonts w:asciiTheme="majorBidi" w:hAnsiTheme="majorBidi" w:cstheme="majorBidi"/>
          <w:sz w:val="24"/>
          <w:szCs w:val="24"/>
        </w:rPr>
        <w:t xml:space="preserve"> énumérés </w:t>
      </w:r>
      <w:bookmarkEnd w:id="21"/>
      <w:r w:rsidR="0021553D">
        <w:rPr>
          <w:rFonts w:asciiTheme="majorBidi" w:hAnsiTheme="majorBidi" w:cstheme="majorBidi"/>
          <w:sz w:val="24"/>
          <w:szCs w:val="24"/>
        </w:rPr>
        <w:t>dans le point suivant</w:t>
      </w:r>
      <w:r w:rsidR="005F4427">
        <w:rPr>
          <w:rFonts w:asciiTheme="majorBidi" w:hAnsiTheme="majorBidi" w:cstheme="majorBidi"/>
          <w:sz w:val="24"/>
          <w:szCs w:val="24"/>
        </w:rPr>
        <w:t xml:space="preserve">. </w:t>
      </w:r>
    </w:p>
    <w:p w:rsidR="00780C14" w:rsidRDefault="002219EB" w:rsidP="005F4427">
      <w:pPr>
        <w:pStyle w:val="Paragraphedeliste"/>
        <w:numPr>
          <w:ilvl w:val="0"/>
          <w:numId w:val="17"/>
        </w:numPr>
        <w:tabs>
          <w:tab w:val="left" w:pos="284"/>
        </w:tabs>
        <w:autoSpaceDE w:val="0"/>
        <w:autoSpaceDN w:val="0"/>
        <w:adjustRightInd w:val="0"/>
        <w:spacing w:line="360" w:lineRule="auto"/>
        <w:ind w:left="0" w:firstLine="0"/>
        <w:jc w:val="both"/>
        <w:rPr>
          <w:rStyle w:val="Emphaseintense"/>
          <w:rFonts w:asciiTheme="majorBidi" w:hAnsiTheme="majorBidi" w:cstheme="majorBidi"/>
          <w:i w:val="0"/>
          <w:iCs w:val="0"/>
          <w:color w:val="auto"/>
          <w:sz w:val="24"/>
          <w:szCs w:val="24"/>
        </w:rPr>
      </w:pPr>
      <w:bookmarkStart w:id="22" w:name="_Toc213679731"/>
      <w:bookmarkStart w:id="23" w:name="_Toc214819884"/>
      <w:bookmarkStart w:id="24" w:name="_Toc215034472"/>
      <w:r>
        <w:rPr>
          <w:rStyle w:val="Emphaseintense"/>
          <w:rFonts w:asciiTheme="majorBidi" w:hAnsiTheme="majorBidi" w:cstheme="majorBidi"/>
          <w:i w:val="0"/>
          <w:iCs w:val="0"/>
          <w:color w:val="auto"/>
          <w:sz w:val="24"/>
          <w:szCs w:val="24"/>
        </w:rPr>
        <w:t>L</w:t>
      </w:r>
      <w:r w:rsidRPr="005F4427">
        <w:rPr>
          <w:rStyle w:val="Emphaseintense"/>
          <w:rFonts w:asciiTheme="majorBidi" w:hAnsiTheme="majorBidi" w:cstheme="majorBidi"/>
          <w:i w:val="0"/>
          <w:iCs w:val="0"/>
          <w:color w:val="auto"/>
          <w:sz w:val="24"/>
          <w:szCs w:val="24"/>
        </w:rPr>
        <w:t>ES DOCUMENTS A CONSERVER</w:t>
      </w:r>
      <w:bookmarkEnd w:id="22"/>
      <w:bookmarkEnd w:id="23"/>
      <w:bookmarkEnd w:id="24"/>
    </w:p>
    <w:p w:rsidR="00780C14" w:rsidRPr="00E812F3" w:rsidRDefault="00320F93" w:rsidP="00E812F3">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780C14" w:rsidRPr="00E812F3">
        <w:rPr>
          <w:rFonts w:asciiTheme="majorBidi" w:hAnsiTheme="majorBidi" w:cstheme="majorBidi"/>
          <w:sz w:val="24"/>
          <w:szCs w:val="24"/>
        </w:rPr>
        <w:t>Les banques, les établissements financiers et les services financiers d’Algérie-poste doivent conserver durant une période de cinq ans, après la clôture des comptes et/ou la cessation de la relation d’affaires</w:t>
      </w:r>
      <w:r w:rsidR="007B0661" w:rsidRPr="00E812F3">
        <w:rPr>
          <w:rFonts w:asciiTheme="majorBidi" w:hAnsiTheme="majorBidi" w:cstheme="majorBidi"/>
          <w:sz w:val="24"/>
          <w:szCs w:val="24"/>
        </w:rPr>
        <w:t xml:space="preserve"> les documents ci-après</w:t>
      </w:r>
      <w:r w:rsidR="00780C14" w:rsidRPr="00E812F3">
        <w:rPr>
          <w:rStyle w:val="Appelnotedebasdep"/>
          <w:rFonts w:asciiTheme="majorBidi" w:hAnsiTheme="majorBidi" w:cstheme="majorBidi"/>
          <w:sz w:val="24"/>
          <w:szCs w:val="24"/>
        </w:rPr>
        <w:footnoteReference w:id="13"/>
      </w:r>
      <w:r w:rsidR="00780C14" w:rsidRPr="00E812F3">
        <w:rPr>
          <w:rFonts w:asciiTheme="majorBidi" w:hAnsiTheme="majorBidi" w:cstheme="majorBidi"/>
          <w:sz w:val="24"/>
          <w:szCs w:val="24"/>
        </w:rPr>
        <w:t xml:space="preserve">  :</w:t>
      </w:r>
    </w:p>
    <w:p w:rsidR="00780C14" w:rsidRDefault="00780C14" w:rsidP="005F4427">
      <w:pPr>
        <w:pStyle w:val="Paragraphedeliste"/>
        <w:numPr>
          <w:ilvl w:val="1"/>
          <w:numId w:val="18"/>
        </w:numPr>
        <w:autoSpaceDE w:val="0"/>
        <w:autoSpaceDN w:val="0"/>
        <w:adjustRightInd w:val="0"/>
        <w:spacing w:after="0" w:line="360" w:lineRule="auto"/>
        <w:ind w:left="567" w:firstLine="0"/>
        <w:jc w:val="both"/>
        <w:rPr>
          <w:rFonts w:asciiTheme="majorBidi" w:hAnsiTheme="majorBidi" w:cstheme="majorBidi"/>
          <w:sz w:val="24"/>
          <w:szCs w:val="24"/>
        </w:rPr>
      </w:pPr>
      <w:r w:rsidRPr="005F4427">
        <w:rPr>
          <w:rFonts w:asciiTheme="majorBidi" w:hAnsiTheme="majorBidi" w:cstheme="majorBidi"/>
          <w:sz w:val="24"/>
          <w:szCs w:val="24"/>
        </w:rPr>
        <w:t>les documents relatifs à l’identité et à l’adresse des clients ;</w:t>
      </w:r>
    </w:p>
    <w:p w:rsidR="00780C14" w:rsidRPr="005F4427" w:rsidRDefault="00780C14" w:rsidP="005F4427">
      <w:pPr>
        <w:pStyle w:val="Paragraphedeliste"/>
        <w:numPr>
          <w:ilvl w:val="1"/>
          <w:numId w:val="18"/>
        </w:numPr>
        <w:autoSpaceDE w:val="0"/>
        <w:autoSpaceDN w:val="0"/>
        <w:adjustRightInd w:val="0"/>
        <w:spacing w:after="0" w:line="360" w:lineRule="auto"/>
        <w:ind w:left="567" w:firstLine="0"/>
        <w:jc w:val="both"/>
        <w:rPr>
          <w:rFonts w:asciiTheme="majorBidi" w:hAnsiTheme="majorBidi" w:cstheme="majorBidi"/>
          <w:sz w:val="24"/>
          <w:szCs w:val="24"/>
        </w:rPr>
      </w:pPr>
      <w:r w:rsidRPr="005F4427">
        <w:rPr>
          <w:rFonts w:asciiTheme="majorBidi" w:hAnsiTheme="majorBidi" w:cstheme="majorBidi"/>
          <w:sz w:val="24"/>
          <w:szCs w:val="24"/>
        </w:rPr>
        <w:t>les documents relatifs aux opérations effectuées après l’exécution de l’opération.</w:t>
      </w:r>
    </w:p>
    <w:p w:rsidR="007B0661" w:rsidRPr="00E812F3" w:rsidRDefault="007B0661" w:rsidP="00E812F3">
      <w:pPr>
        <w:autoSpaceDE w:val="0"/>
        <w:autoSpaceDN w:val="0"/>
        <w:adjustRightInd w:val="0"/>
        <w:spacing w:after="0" w:line="360" w:lineRule="auto"/>
        <w:jc w:val="both"/>
        <w:rPr>
          <w:rFonts w:asciiTheme="majorBidi" w:hAnsiTheme="majorBidi" w:cstheme="majorBidi"/>
          <w:sz w:val="24"/>
          <w:szCs w:val="24"/>
        </w:rPr>
      </w:pPr>
    </w:p>
    <w:p w:rsidR="00780C14" w:rsidRDefault="00301320" w:rsidP="00301320">
      <w:pPr>
        <w:autoSpaceDE w:val="0"/>
        <w:autoSpaceDN w:val="0"/>
        <w:adjustRightInd w:val="0"/>
        <w:spacing w:line="360" w:lineRule="auto"/>
        <w:jc w:val="both"/>
        <w:rPr>
          <w:rStyle w:val="Style13pt"/>
          <w:rFonts w:asciiTheme="majorBidi" w:eastAsia="Calibri" w:hAnsiTheme="majorBidi" w:cstheme="majorBidi"/>
          <w:szCs w:val="24"/>
          <w:lang w:eastAsia="en-US"/>
        </w:rPr>
      </w:pPr>
      <w:r>
        <w:rPr>
          <w:rFonts w:asciiTheme="majorBidi" w:hAnsiTheme="majorBidi" w:cstheme="majorBidi"/>
          <w:sz w:val="24"/>
          <w:szCs w:val="24"/>
        </w:rPr>
        <w:lastRenderedPageBreak/>
        <w:tab/>
      </w:r>
      <w:r>
        <w:rPr>
          <w:rFonts w:asciiTheme="majorBidi" w:hAnsiTheme="majorBidi" w:cstheme="majorBidi"/>
          <w:sz w:val="24"/>
          <w:szCs w:val="24"/>
        </w:rPr>
        <w:tab/>
      </w:r>
      <w:r w:rsidR="00780C14" w:rsidRPr="00E812F3">
        <w:rPr>
          <w:rFonts w:asciiTheme="majorBidi" w:hAnsiTheme="majorBidi" w:cstheme="majorBidi"/>
          <w:sz w:val="24"/>
          <w:szCs w:val="24"/>
        </w:rPr>
        <w:t xml:space="preserve">Sans donner plus de précision, le législateur algérien a stipulé que c’est aux banques, aux établissements financiers et aux services financiers d’Algérie-poste d’élaborer des procédures, à l’attention de leurs structures opérationnelles, </w:t>
      </w:r>
      <w:r w:rsidR="007B0661" w:rsidRPr="00E812F3">
        <w:rPr>
          <w:rFonts w:asciiTheme="majorBidi" w:hAnsiTheme="majorBidi" w:cstheme="majorBidi"/>
          <w:sz w:val="24"/>
          <w:szCs w:val="24"/>
        </w:rPr>
        <w:t>mentionnant</w:t>
      </w:r>
      <w:r w:rsidR="00780C14" w:rsidRPr="00E812F3">
        <w:rPr>
          <w:rFonts w:asciiTheme="majorBidi" w:hAnsiTheme="majorBidi" w:cstheme="majorBidi"/>
          <w:sz w:val="24"/>
          <w:szCs w:val="24"/>
        </w:rPr>
        <w:t xml:space="preserve"> les documents </w:t>
      </w:r>
      <w:r w:rsidR="007B0661" w:rsidRPr="00E812F3">
        <w:rPr>
          <w:rFonts w:asciiTheme="majorBidi" w:hAnsiTheme="majorBidi" w:cstheme="majorBidi"/>
          <w:sz w:val="24"/>
          <w:szCs w:val="24"/>
        </w:rPr>
        <w:t xml:space="preserve">qui doivent être conservés. </w:t>
      </w:r>
      <w:r w:rsidR="00780C14" w:rsidRPr="00E812F3">
        <w:rPr>
          <w:rStyle w:val="Style13pt"/>
          <w:rFonts w:asciiTheme="majorBidi" w:hAnsiTheme="majorBidi" w:cstheme="majorBidi"/>
          <w:szCs w:val="24"/>
        </w:rPr>
        <w:t xml:space="preserve">L’importance de ces documents réside dans leur apport en </w:t>
      </w:r>
      <w:r w:rsidR="00DA2D0D" w:rsidRPr="00E812F3">
        <w:rPr>
          <w:rStyle w:val="Style13pt"/>
          <w:rFonts w:asciiTheme="majorBidi" w:hAnsiTheme="majorBidi" w:cstheme="majorBidi"/>
          <w:szCs w:val="24"/>
        </w:rPr>
        <w:t>termes d’identification</w:t>
      </w:r>
      <w:r w:rsidR="00780C14" w:rsidRPr="00E812F3">
        <w:rPr>
          <w:rStyle w:val="Style13pt"/>
          <w:rFonts w:asciiTheme="majorBidi" w:hAnsiTheme="majorBidi" w:cstheme="majorBidi"/>
          <w:szCs w:val="24"/>
        </w:rPr>
        <w:t xml:space="preserve"> des différents intervenants</w:t>
      </w:r>
      <w:r w:rsidR="00DA2D0D" w:rsidRPr="00E812F3">
        <w:rPr>
          <w:rStyle w:val="Style13pt"/>
          <w:rFonts w:asciiTheme="majorBidi" w:hAnsiTheme="majorBidi" w:cstheme="majorBidi"/>
          <w:szCs w:val="24"/>
        </w:rPr>
        <w:t>. Les</w:t>
      </w:r>
      <w:r w:rsidR="00780C14" w:rsidRPr="00E812F3">
        <w:rPr>
          <w:rStyle w:val="Style13pt"/>
          <w:rFonts w:asciiTheme="majorBidi" w:hAnsiTheme="majorBidi" w:cstheme="majorBidi"/>
          <w:szCs w:val="24"/>
        </w:rPr>
        <w:t xml:space="preserve"> information</w:t>
      </w:r>
      <w:r w:rsidR="00DA2D0D" w:rsidRPr="00E812F3">
        <w:rPr>
          <w:rStyle w:val="Style13pt"/>
          <w:rFonts w:asciiTheme="majorBidi" w:hAnsiTheme="majorBidi" w:cstheme="majorBidi"/>
          <w:szCs w:val="24"/>
        </w:rPr>
        <w:t>s</w:t>
      </w:r>
      <w:r w:rsidR="00780C14" w:rsidRPr="00E812F3">
        <w:rPr>
          <w:rStyle w:val="Style13pt"/>
          <w:rFonts w:asciiTheme="majorBidi" w:hAnsiTheme="majorBidi" w:cstheme="majorBidi"/>
          <w:szCs w:val="24"/>
        </w:rPr>
        <w:t xml:space="preserve"> </w:t>
      </w:r>
      <w:r w:rsidR="00DA2D0D" w:rsidRPr="00E812F3">
        <w:rPr>
          <w:rStyle w:val="Style13pt"/>
          <w:rFonts w:asciiTheme="majorBidi" w:hAnsiTheme="majorBidi" w:cstheme="majorBidi"/>
          <w:szCs w:val="24"/>
        </w:rPr>
        <w:t xml:space="preserve">collectées de ces documents </w:t>
      </w:r>
      <w:r w:rsidR="00780C14" w:rsidRPr="00E812F3">
        <w:rPr>
          <w:rStyle w:val="Style13pt"/>
          <w:rFonts w:asciiTheme="majorBidi" w:hAnsiTheme="majorBidi" w:cstheme="majorBidi"/>
          <w:szCs w:val="24"/>
        </w:rPr>
        <w:t>perme</w:t>
      </w:r>
      <w:r>
        <w:rPr>
          <w:rStyle w:val="Style13pt"/>
          <w:rFonts w:asciiTheme="majorBidi" w:hAnsiTheme="majorBidi" w:cstheme="majorBidi"/>
          <w:szCs w:val="24"/>
        </w:rPr>
        <w:t>t</w:t>
      </w:r>
      <w:r w:rsidR="00780C14" w:rsidRPr="00E812F3">
        <w:rPr>
          <w:rStyle w:val="Style13pt"/>
          <w:rFonts w:asciiTheme="majorBidi" w:hAnsiTheme="majorBidi" w:cstheme="majorBidi"/>
          <w:szCs w:val="24"/>
        </w:rPr>
        <w:t>t</w:t>
      </w:r>
      <w:r>
        <w:rPr>
          <w:rStyle w:val="Style13pt"/>
          <w:rFonts w:asciiTheme="majorBidi" w:hAnsiTheme="majorBidi" w:cstheme="majorBidi"/>
          <w:szCs w:val="24"/>
        </w:rPr>
        <w:t>ent</w:t>
      </w:r>
      <w:r w:rsidR="00780C14" w:rsidRPr="00E812F3">
        <w:rPr>
          <w:rStyle w:val="Style13pt"/>
          <w:rFonts w:asciiTheme="majorBidi" w:hAnsiTheme="majorBidi" w:cstheme="majorBidi"/>
          <w:szCs w:val="24"/>
        </w:rPr>
        <w:t xml:space="preserve"> aux autorités compétentes de décortiquer la façon avec laquelle la tentative de blanchiment ou de financement du terr</w:t>
      </w:r>
      <w:r w:rsidR="00DA2D0D" w:rsidRPr="00E812F3">
        <w:rPr>
          <w:rStyle w:val="Style13pt"/>
          <w:rFonts w:asciiTheme="majorBidi" w:hAnsiTheme="majorBidi" w:cstheme="majorBidi"/>
          <w:szCs w:val="24"/>
        </w:rPr>
        <w:t xml:space="preserve">orisme aurait pu être accomplie. Aussi, </w:t>
      </w:r>
      <w:r w:rsidR="00780C14" w:rsidRPr="00E812F3">
        <w:rPr>
          <w:rStyle w:val="Style13pt"/>
          <w:rFonts w:asciiTheme="majorBidi" w:hAnsiTheme="majorBidi" w:cstheme="majorBidi"/>
          <w:szCs w:val="24"/>
        </w:rPr>
        <w:t xml:space="preserve">leur importance réside dans </w:t>
      </w:r>
      <w:r w:rsidR="000968D3">
        <w:rPr>
          <w:rStyle w:val="Style13pt"/>
          <w:rFonts w:asciiTheme="majorBidi" w:hAnsiTheme="majorBidi" w:cstheme="majorBidi"/>
          <w:szCs w:val="24"/>
        </w:rPr>
        <w:t xml:space="preserve">la possibilité de </w:t>
      </w:r>
      <w:r w:rsidRPr="00E812F3">
        <w:rPr>
          <w:rStyle w:val="Style13pt"/>
          <w:rFonts w:asciiTheme="majorBidi" w:hAnsiTheme="majorBidi" w:cstheme="majorBidi"/>
          <w:szCs w:val="24"/>
        </w:rPr>
        <w:t>vérifi</w:t>
      </w:r>
      <w:r>
        <w:rPr>
          <w:rStyle w:val="Style13pt"/>
          <w:rFonts w:asciiTheme="majorBidi" w:hAnsiTheme="majorBidi" w:cstheme="majorBidi"/>
          <w:szCs w:val="24"/>
        </w:rPr>
        <w:t>cation</w:t>
      </w:r>
      <w:r w:rsidR="00780C14" w:rsidRPr="00E812F3">
        <w:rPr>
          <w:rStyle w:val="Style13pt"/>
          <w:rFonts w:asciiTheme="majorBidi" w:hAnsiTheme="majorBidi" w:cstheme="majorBidi"/>
          <w:szCs w:val="24"/>
        </w:rPr>
        <w:t xml:space="preserve"> si les différents intervenants présents lors de la réalisation de l’opération étaient bien des personnes réelles et qu’il ne s’agit pas de personnes virtuelles dont l’exist</w:t>
      </w:r>
      <w:r>
        <w:rPr>
          <w:rStyle w:val="Style13pt"/>
          <w:rFonts w:asciiTheme="majorBidi" w:hAnsiTheme="majorBidi" w:cstheme="majorBidi"/>
          <w:szCs w:val="24"/>
        </w:rPr>
        <w:t xml:space="preserve">ence est limitée aux documents qui représentent un </w:t>
      </w:r>
      <w:r w:rsidR="00780C14" w:rsidRPr="00E812F3">
        <w:rPr>
          <w:rStyle w:val="Style13pt"/>
          <w:rFonts w:asciiTheme="majorBidi" w:eastAsia="Calibri" w:hAnsiTheme="majorBidi" w:cstheme="majorBidi"/>
          <w:szCs w:val="24"/>
          <w:lang w:eastAsia="en-US"/>
        </w:rPr>
        <w:t xml:space="preserve">élément primordial sur lequel reposera toute enquête judiciaire. </w:t>
      </w:r>
    </w:p>
    <w:p w:rsidR="000968D3" w:rsidRDefault="000968D3" w:rsidP="00E812F3">
      <w:pPr>
        <w:pStyle w:val="Style13ptJustifiPremireligne095cmAvant18ptApr"/>
        <w:spacing w:after="240"/>
        <w:ind w:firstLine="0"/>
        <w:rPr>
          <w:rStyle w:val="Style13pt"/>
          <w:rFonts w:asciiTheme="majorBidi" w:eastAsia="Calibri" w:hAnsiTheme="majorBidi" w:cstheme="majorBidi"/>
          <w:szCs w:val="24"/>
          <w:lang w:eastAsia="en-US"/>
        </w:rPr>
      </w:pPr>
    </w:p>
    <w:p w:rsidR="000968D3" w:rsidRDefault="000968D3" w:rsidP="00E812F3">
      <w:pPr>
        <w:pStyle w:val="Style13ptJustifiPremireligne095cmAvant18ptApr"/>
        <w:spacing w:after="240"/>
        <w:ind w:firstLine="0"/>
        <w:rPr>
          <w:rStyle w:val="Style13pt"/>
          <w:rFonts w:asciiTheme="majorBidi" w:eastAsia="Calibri" w:hAnsiTheme="majorBidi" w:cstheme="majorBidi"/>
          <w:szCs w:val="24"/>
          <w:lang w:eastAsia="en-US"/>
        </w:rPr>
      </w:pPr>
    </w:p>
    <w:p w:rsidR="00A06304" w:rsidRDefault="00A06304" w:rsidP="00E812F3">
      <w:pPr>
        <w:pStyle w:val="Style13ptJustifiPremireligne095cmAvant18ptApr"/>
        <w:spacing w:after="240"/>
        <w:ind w:firstLine="0"/>
        <w:rPr>
          <w:rStyle w:val="Style13pt"/>
          <w:rFonts w:asciiTheme="majorBidi" w:eastAsia="Calibri" w:hAnsiTheme="majorBidi" w:cstheme="majorBidi"/>
          <w:szCs w:val="24"/>
          <w:lang w:eastAsia="en-US"/>
        </w:rPr>
      </w:pPr>
    </w:p>
    <w:p w:rsidR="00A06304" w:rsidRDefault="00A06304" w:rsidP="00E812F3">
      <w:pPr>
        <w:pStyle w:val="Style13ptJustifiPremireligne095cmAvant18ptApr"/>
        <w:spacing w:after="240"/>
        <w:ind w:firstLine="0"/>
        <w:rPr>
          <w:rStyle w:val="Style13pt"/>
          <w:rFonts w:asciiTheme="majorBidi" w:eastAsia="Calibri" w:hAnsiTheme="majorBidi" w:cstheme="majorBidi"/>
          <w:szCs w:val="24"/>
          <w:lang w:eastAsia="en-US"/>
        </w:rPr>
      </w:pPr>
    </w:p>
    <w:p w:rsidR="00A06304" w:rsidRDefault="00A06304" w:rsidP="00E812F3">
      <w:pPr>
        <w:pStyle w:val="Style13ptJustifiPremireligne095cmAvant18ptApr"/>
        <w:spacing w:after="240"/>
        <w:ind w:firstLine="0"/>
        <w:rPr>
          <w:rStyle w:val="Style13pt"/>
          <w:rFonts w:asciiTheme="majorBidi" w:eastAsia="Calibri" w:hAnsiTheme="majorBidi" w:cstheme="majorBidi"/>
          <w:szCs w:val="24"/>
          <w:lang w:eastAsia="en-US"/>
        </w:rPr>
      </w:pPr>
    </w:p>
    <w:p w:rsidR="00A06304" w:rsidRDefault="00A06304" w:rsidP="00E812F3">
      <w:pPr>
        <w:pStyle w:val="Style13ptJustifiPremireligne095cmAvant18ptApr"/>
        <w:spacing w:after="240"/>
        <w:ind w:firstLine="0"/>
        <w:rPr>
          <w:rStyle w:val="Style13pt"/>
          <w:rFonts w:asciiTheme="majorBidi" w:eastAsia="Calibri" w:hAnsiTheme="majorBidi" w:cstheme="majorBidi"/>
          <w:szCs w:val="24"/>
          <w:lang w:eastAsia="en-US"/>
        </w:rPr>
      </w:pPr>
    </w:p>
    <w:p w:rsidR="00A06304" w:rsidRDefault="00A06304" w:rsidP="00E812F3">
      <w:pPr>
        <w:pStyle w:val="Style13ptJustifiPremireligne095cmAvant18ptApr"/>
        <w:spacing w:after="240"/>
        <w:ind w:firstLine="0"/>
        <w:rPr>
          <w:rStyle w:val="Style13pt"/>
          <w:rFonts w:asciiTheme="majorBidi" w:eastAsia="Calibri" w:hAnsiTheme="majorBidi" w:cstheme="majorBidi"/>
          <w:szCs w:val="24"/>
          <w:lang w:eastAsia="en-US"/>
        </w:rPr>
      </w:pPr>
    </w:p>
    <w:p w:rsidR="000968D3" w:rsidRDefault="000968D3" w:rsidP="00E812F3">
      <w:pPr>
        <w:pStyle w:val="Style13ptJustifiPremireligne095cmAvant18ptApr"/>
        <w:spacing w:after="240"/>
        <w:ind w:firstLine="0"/>
        <w:rPr>
          <w:rStyle w:val="Style13pt"/>
          <w:rFonts w:asciiTheme="majorBidi" w:eastAsia="Calibri" w:hAnsiTheme="majorBidi" w:cstheme="majorBidi"/>
          <w:szCs w:val="24"/>
          <w:lang w:eastAsia="en-US"/>
        </w:rPr>
      </w:pPr>
    </w:p>
    <w:p w:rsidR="00195739" w:rsidRDefault="00195739" w:rsidP="00E812F3">
      <w:pPr>
        <w:pStyle w:val="Style13ptJustifiPremireligne095cmAvant18ptApr"/>
        <w:spacing w:after="240"/>
        <w:ind w:firstLine="0"/>
        <w:rPr>
          <w:rStyle w:val="Style13pt"/>
          <w:rFonts w:asciiTheme="majorBidi" w:eastAsia="Calibri" w:hAnsiTheme="majorBidi" w:cstheme="majorBidi"/>
          <w:szCs w:val="24"/>
          <w:lang w:eastAsia="en-US"/>
        </w:rPr>
      </w:pPr>
    </w:p>
    <w:p w:rsidR="00301320" w:rsidRDefault="00301320" w:rsidP="00E812F3">
      <w:pPr>
        <w:pStyle w:val="Style13ptJustifiPremireligne095cmAvant18ptApr"/>
        <w:spacing w:after="240"/>
        <w:ind w:firstLine="0"/>
        <w:rPr>
          <w:rStyle w:val="Style13pt"/>
          <w:rFonts w:asciiTheme="majorBidi" w:eastAsia="Calibri" w:hAnsiTheme="majorBidi" w:cstheme="majorBidi"/>
          <w:szCs w:val="24"/>
          <w:lang w:eastAsia="en-US"/>
        </w:rPr>
      </w:pPr>
    </w:p>
    <w:p w:rsidR="008737C2" w:rsidRDefault="008737C2" w:rsidP="00E812F3">
      <w:pPr>
        <w:pStyle w:val="Style13ptJustifiPremireligne095cmAvant18ptApr"/>
        <w:spacing w:after="240"/>
        <w:ind w:firstLine="0"/>
        <w:rPr>
          <w:rStyle w:val="Style13pt"/>
          <w:rFonts w:asciiTheme="majorBidi" w:eastAsia="Calibri" w:hAnsiTheme="majorBidi" w:cstheme="majorBidi"/>
          <w:szCs w:val="24"/>
          <w:lang w:eastAsia="en-US"/>
        </w:rPr>
      </w:pPr>
    </w:p>
    <w:p w:rsidR="00301320" w:rsidRDefault="00301320" w:rsidP="00E812F3">
      <w:pPr>
        <w:pStyle w:val="Style13ptJustifiPremireligne095cmAvant18ptApr"/>
        <w:spacing w:after="240"/>
        <w:ind w:firstLine="0"/>
        <w:rPr>
          <w:rStyle w:val="Style13pt"/>
          <w:rFonts w:asciiTheme="majorBidi" w:eastAsia="Calibri" w:hAnsiTheme="majorBidi" w:cstheme="majorBidi"/>
          <w:szCs w:val="24"/>
          <w:lang w:eastAsia="en-US"/>
        </w:rPr>
      </w:pPr>
    </w:p>
    <w:p w:rsidR="009800A1" w:rsidRDefault="009800A1" w:rsidP="00301320">
      <w:pPr>
        <w:tabs>
          <w:tab w:val="left" w:pos="1080"/>
          <w:tab w:val="left" w:pos="2268"/>
          <w:tab w:val="left" w:pos="3402"/>
        </w:tabs>
        <w:spacing w:before="360" w:after="240" w:line="360" w:lineRule="auto"/>
        <w:ind w:left="426" w:right="1440" w:hanging="426"/>
        <w:jc w:val="center"/>
        <w:outlineLvl w:val="1"/>
        <w:rPr>
          <w:rStyle w:val="Emphaseintense"/>
          <w:rFonts w:asciiTheme="majorBidi" w:hAnsiTheme="majorBidi" w:cstheme="majorBidi"/>
          <w:i w:val="0"/>
          <w:iCs w:val="0"/>
          <w:color w:val="auto"/>
          <w:sz w:val="28"/>
          <w:szCs w:val="28"/>
        </w:rPr>
      </w:pPr>
      <w:bookmarkStart w:id="25" w:name="_Toc246078299"/>
      <w:bookmarkStart w:id="26" w:name="_Toc213679741"/>
      <w:bookmarkStart w:id="27" w:name="_Toc214819885"/>
      <w:bookmarkStart w:id="28" w:name="_Toc215034473"/>
    </w:p>
    <w:p w:rsidR="00780C14" w:rsidRPr="000968D3" w:rsidRDefault="00780C14" w:rsidP="00301320">
      <w:pPr>
        <w:tabs>
          <w:tab w:val="left" w:pos="1080"/>
          <w:tab w:val="left" w:pos="2268"/>
          <w:tab w:val="left" w:pos="3402"/>
        </w:tabs>
        <w:spacing w:before="360" w:after="240" w:line="360" w:lineRule="auto"/>
        <w:ind w:left="426" w:right="1440" w:hanging="426"/>
        <w:jc w:val="center"/>
        <w:outlineLvl w:val="1"/>
        <w:rPr>
          <w:rStyle w:val="Emphaseintense"/>
          <w:rFonts w:asciiTheme="majorBidi" w:hAnsiTheme="majorBidi" w:cstheme="majorBidi"/>
          <w:i w:val="0"/>
          <w:iCs w:val="0"/>
          <w:color w:val="auto"/>
          <w:sz w:val="28"/>
          <w:szCs w:val="28"/>
        </w:rPr>
      </w:pPr>
      <w:r w:rsidRPr="000968D3">
        <w:rPr>
          <w:rStyle w:val="Emphaseintense"/>
          <w:rFonts w:asciiTheme="majorBidi" w:hAnsiTheme="majorBidi" w:cstheme="majorBidi"/>
          <w:i w:val="0"/>
          <w:iCs w:val="0"/>
          <w:color w:val="auto"/>
          <w:sz w:val="28"/>
          <w:szCs w:val="28"/>
        </w:rPr>
        <w:t xml:space="preserve">SECTION III : </w:t>
      </w:r>
      <w:r w:rsidR="00806DDE" w:rsidRPr="000968D3">
        <w:rPr>
          <w:rStyle w:val="Emphaseintense"/>
          <w:rFonts w:asciiTheme="majorBidi" w:hAnsiTheme="majorBidi" w:cstheme="majorBidi"/>
          <w:i w:val="0"/>
          <w:iCs w:val="0"/>
          <w:color w:val="auto"/>
          <w:sz w:val="28"/>
          <w:szCs w:val="28"/>
        </w:rPr>
        <w:t xml:space="preserve">FORMATION CONTINUE, INFORMATION </w:t>
      </w:r>
      <w:r w:rsidR="00806DDE">
        <w:rPr>
          <w:rStyle w:val="Emphaseintense"/>
          <w:rFonts w:asciiTheme="majorBidi" w:hAnsiTheme="majorBidi" w:cstheme="majorBidi"/>
          <w:i w:val="0"/>
          <w:iCs w:val="0"/>
          <w:color w:val="auto"/>
          <w:sz w:val="28"/>
          <w:szCs w:val="28"/>
        </w:rPr>
        <w:t xml:space="preserve">       </w:t>
      </w:r>
      <w:r w:rsidR="00806DDE" w:rsidRPr="000968D3">
        <w:rPr>
          <w:rStyle w:val="Emphaseintense"/>
          <w:rFonts w:asciiTheme="majorBidi" w:hAnsiTheme="majorBidi" w:cstheme="majorBidi"/>
          <w:i w:val="0"/>
          <w:iCs w:val="0"/>
          <w:color w:val="auto"/>
          <w:sz w:val="28"/>
          <w:szCs w:val="28"/>
        </w:rPr>
        <w:t>ET CONFORMITE</w:t>
      </w:r>
      <w:bookmarkEnd w:id="25"/>
      <w:bookmarkEnd w:id="26"/>
      <w:bookmarkEnd w:id="27"/>
      <w:bookmarkEnd w:id="28"/>
    </w:p>
    <w:p w:rsidR="00780C14" w:rsidRPr="000968D3" w:rsidRDefault="00FB24D5" w:rsidP="000968D3">
      <w:pPr>
        <w:pStyle w:val="Paragraphedeliste"/>
        <w:numPr>
          <w:ilvl w:val="0"/>
          <w:numId w:val="19"/>
        </w:numPr>
        <w:tabs>
          <w:tab w:val="left" w:pos="284"/>
        </w:tabs>
        <w:spacing w:before="360" w:after="240" w:line="360" w:lineRule="auto"/>
        <w:ind w:left="0" w:right="1440" w:firstLine="0"/>
        <w:jc w:val="both"/>
        <w:outlineLvl w:val="1"/>
        <w:rPr>
          <w:rStyle w:val="Emphaseintense"/>
          <w:rFonts w:asciiTheme="majorBidi" w:hAnsiTheme="majorBidi" w:cstheme="majorBidi"/>
          <w:i w:val="0"/>
          <w:iCs w:val="0"/>
          <w:color w:val="auto"/>
          <w:sz w:val="24"/>
          <w:szCs w:val="24"/>
        </w:rPr>
      </w:pPr>
      <w:bookmarkStart w:id="29" w:name="_Toc246078300"/>
      <w:r>
        <w:rPr>
          <w:rStyle w:val="Emphaseintense"/>
          <w:rFonts w:asciiTheme="majorBidi" w:hAnsiTheme="majorBidi" w:cstheme="majorBidi"/>
          <w:i w:val="0"/>
          <w:iCs w:val="0"/>
          <w:color w:val="auto"/>
          <w:sz w:val="24"/>
          <w:szCs w:val="24"/>
        </w:rPr>
        <w:t xml:space="preserve">LA </w:t>
      </w:r>
      <w:r w:rsidR="00195739" w:rsidRPr="000968D3">
        <w:rPr>
          <w:rStyle w:val="Emphaseintense"/>
          <w:rFonts w:asciiTheme="majorBidi" w:hAnsiTheme="majorBidi" w:cstheme="majorBidi"/>
          <w:i w:val="0"/>
          <w:iCs w:val="0"/>
          <w:color w:val="auto"/>
          <w:sz w:val="24"/>
          <w:szCs w:val="24"/>
        </w:rPr>
        <w:t xml:space="preserve">FORMATION ET </w:t>
      </w:r>
      <w:r>
        <w:rPr>
          <w:rStyle w:val="Emphaseintense"/>
          <w:rFonts w:asciiTheme="majorBidi" w:hAnsiTheme="majorBidi" w:cstheme="majorBidi"/>
          <w:i w:val="0"/>
          <w:iCs w:val="0"/>
          <w:color w:val="auto"/>
          <w:sz w:val="24"/>
          <w:szCs w:val="24"/>
        </w:rPr>
        <w:t>L’</w:t>
      </w:r>
      <w:r w:rsidR="00195739" w:rsidRPr="000968D3">
        <w:rPr>
          <w:rStyle w:val="Emphaseintense"/>
          <w:rFonts w:asciiTheme="majorBidi" w:hAnsiTheme="majorBidi" w:cstheme="majorBidi"/>
          <w:i w:val="0"/>
          <w:iCs w:val="0"/>
          <w:color w:val="auto"/>
          <w:sz w:val="24"/>
          <w:szCs w:val="24"/>
        </w:rPr>
        <w:t>INFORMATION</w:t>
      </w:r>
      <w:bookmarkEnd w:id="29"/>
    </w:p>
    <w:p w:rsidR="00780C14" w:rsidRPr="00E812F3" w:rsidRDefault="00195739" w:rsidP="00CE0094">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ab/>
      </w:r>
      <w:r w:rsidR="00175911">
        <w:rPr>
          <w:rFonts w:asciiTheme="majorBidi" w:hAnsiTheme="majorBidi" w:cstheme="majorBidi"/>
          <w:sz w:val="24"/>
          <w:szCs w:val="24"/>
        </w:rPr>
        <w:tab/>
      </w:r>
      <w:r w:rsidR="00C03056" w:rsidRPr="00E812F3">
        <w:rPr>
          <w:rFonts w:asciiTheme="majorBidi" w:hAnsiTheme="majorBidi" w:cstheme="majorBidi"/>
          <w:sz w:val="24"/>
          <w:szCs w:val="24"/>
        </w:rPr>
        <w:t xml:space="preserve">Selon les recommandations du GAFI, </w:t>
      </w:r>
      <w:r w:rsidR="006D7B2E" w:rsidRPr="00E812F3">
        <w:rPr>
          <w:rFonts w:asciiTheme="majorBidi" w:hAnsiTheme="majorBidi" w:cstheme="majorBidi"/>
          <w:sz w:val="24"/>
          <w:szCs w:val="24"/>
        </w:rPr>
        <w:t>les banque</w:t>
      </w:r>
      <w:r w:rsidR="000968D3">
        <w:rPr>
          <w:rFonts w:asciiTheme="majorBidi" w:hAnsiTheme="majorBidi" w:cstheme="majorBidi"/>
          <w:sz w:val="24"/>
          <w:szCs w:val="24"/>
        </w:rPr>
        <w:t>s</w:t>
      </w:r>
      <w:r w:rsidR="006D7B2E" w:rsidRPr="00E812F3">
        <w:rPr>
          <w:rFonts w:asciiTheme="majorBidi" w:hAnsiTheme="majorBidi" w:cstheme="majorBidi"/>
          <w:sz w:val="24"/>
          <w:szCs w:val="24"/>
        </w:rPr>
        <w:t xml:space="preserve"> sont tenues de</w:t>
      </w:r>
      <w:r w:rsidR="00780C14" w:rsidRPr="00E812F3">
        <w:rPr>
          <w:rFonts w:asciiTheme="majorBidi" w:hAnsiTheme="majorBidi" w:cstheme="majorBidi"/>
          <w:sz w:val="24"/>
          <w:szCs w:val="24"/>
        </w:rPr>
        <w:t xml:space="preserve"> prévoir un programme permanent de formation</w:t>
      </w:r>
      <w:r w:rsidR="00175911">
        <w:rPr>
          <w:rFonts w:asciiTheme="majorBidi" w:hAnsiTheme="majorBidi" w:cstheme="majorBidi"/>
          <w:sz w:val="24"/>
          <w:szCs w:val="24"/>
        </w:rPr>
        <w:t xml:space="preserve"> qui prépare</w:t>
      </w:r>
      <w:r w:rsidR="00780C14" w:rsidRPr="00E812F3">
        <w:rPr>
          <w:rFonts w:asciiTheme="majorBidi" w:hAnsiTheme="majorBidi" w:cstheme="majorBidi"/>
          <w:sz w:val="24"/>
          <w:szCs w:val="24"/>
        </w:rPr>
        <w:t xml:space="preserve"> convenablement </w:t>
      </w:r>
      <w:r w:rsidR="00175911">
        <w:rPr>
          <w:rFonts w:asciiTheme="majorBidi" w:hAnsiTheme="majorBidi" w:cstheme="majorBidi"/>
          <w:sz w:val="24"/>
          <w:szCs w:val="24"/>
        </w:rPr>
        <w:t>le</w:t>
      </w:r>
      <w:r w:rsidR="00780C14" w:rsidRPr="00E812F3">
        <w:rPr>
          <w:rFonts w:asciiTheme="majorBidi" w:hAnsiTheme="majorBidi" w:cstheme="majorBidi"/>
          <w:sz w:val="24"/>
          <w:szCs w:val="24"/>
        </w:rPr>
        <w:t xml:space="preserve"> personnel aux procédures (KYC). Les besoins de formation devraient être ajustés en fonction des participants: agents recrutés, employés en contact avec le public, responsables </w:t>
      </w:r>
      <w:r w:rsidR="00C03056" w:rsidRPr="00E812F3">
        <w:rPr>
          <w:rFonts w:asciiTheme="majorBidi" w:hAnsiTheme="majorBidi" w:cstheme="majorBidi"/>
          <w:sz w:val="24"/>
          <w:szCs w:val="24"/>
        </w:rPr>
        <w:t xml:space="preserve">de </w:t>
      </w:r>
      <w:r w:rsidR="006D7B2E" w:rsidRPr="00E812F3">
        <w:rPr>
          <w:rFonts w:asciiTheme="majorBidi" w:hAnsiTheme="majorBidi" w:cstheme="majorBidi"/>
          <w:sz w:val="24"/>
          <w:szCs w:val="24"/>
        </w:rPr>
        <w:t>conformité ou</w:t>
      </w:r>
      <w:r w:rsidR="00780C14" w:rsidRPr="00E812F3">
        <w:rPr>
          <w:rFonts w:asciiTheme="majorBidi" w:hAnsiTheme="majorBidi" w:cstheme="majorBidi"/>
          <w:sz w:val="24"/>
          <w:szCs w:val="24"/>
        </w:rPr>
        <w:t xml:space="preserve"> personnes chargées des nouveaux clients. Au moment de leur recrutement, les agents devraient être sensibilisés à l’importance des politiques et aux exigences fondamentales de la banque. Les employés en contact avec le public devraient apprendre à identifier les nouveaux clients, à faire preuve à tout moment de diligence dans le traitement des comptes clientèle et à déceler les activités suspectes.</w:t>
      </w:r>
    </w:p>
    <w:p w:rsidR="00780C14" w:rsidRPr="00E812F3" w:rsidRDefault="007E43E4" w:rsidP="00EF2D17">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ab/>
      </w:r>
      <w:r w:rsidR="00195739">
        <w:rPr>
          <w:rFonts w:asciiTheme="majorBidi" w:hAnsiTheme="majorBidi" w:cstheme="majorBidi"/>
          <w:sz w:val="24"/>
          <w:szCs w:val="24"/>
        </w:rPr>
        <w:tab/>
      </w:r>
      <w:r>
        <w:rPr>
          <w:rFonts w:asciiTheme="majorBidi" w:hAnsiTheme="majorBidi" w:cstheme="majorBidi"/>
          <w:sz w:val="24"/>
          <w:szCs w:val="24"/>
        </w:rPr>
        <w:t>Aussi</w:t>
      </w:r>
      <w:r w:rsidR="000968D3">
        <w:rPr>
          <w:rFonts w:asciiTheme="majorBidi" w:hAnsiTheme="majorBidi" w:cstheme="majorBidi"/>
          <w:sz w:val="24"/>
          <w:szCs w:val="24"/>
        </w:rPr>
        <w:t>, d</w:t>
      </w:r>
      <w:r w:rsidR="00780C14" w:rsidRPr="00E812F3">
        <w:rPr>
          <w:rFonts w:asciiTheme="majorBidi" w:hAnsiTheme="majorBidi" w:cstheme="majorBidi"/>
          <w:sz w:val="24"/>
          <w:szCs w:val="24"/>
        </w:rPr>
        <w:t xml:space="preserve">es stages devraient </w:t>
      </w:r>
      <w:r w:rsidR="00CE0094">
        <w:rPr>
          <w:rFonts w:asciiTheme="majorBidi" w:hAnsiTheme="majorBidi" w:cstheme="majorBidi"/>
          <w:sz w:val="24"/>
          <w:szCs w:val="24"/>
        </w:rPr>
        <w:t>être assurés</w:t>
      </w:r>
      <w:r w:rsidR="00780C14" w:rsidRPr="00E812F3">
        <w:rPr>
          <w:rFonts w:asciiTheme="majorBidi" w:hAnsiTheme="majorBidi" w:cstheme="majorBidi"/>
          <w:sz w:val="24"/>
          <w:szCs w:val="24"/>
        </w:rPr>
        <w:t xml:space="preserve"> périodiquement au</w:t>
      </w:r>
      <w:r w:rsidR="00CE0094">
        <w:rPr>
          <w:rFonts w:asciiTheme="majorBidi" w:hAnsiTheme="majorBidi" w:cstheme="majorBidi"/>
          <w:sz w:val="24"/>
          <w:szCs w:val="24"/>
        </w:rPr>
        <w:t xml:space="preserve"> profit du</w:t>
      </w:r>
      <w:r w:rsidR="00780C14" w:rsidRPr="00E812F3">
        <w:rPr>
          <w:rFonts w:asciiTheme="majorBidi" w:hAnsiTheme="majorBidi" w:cstheme="majorBidi"/>
          <w:sz w:val="24"/>
          <w:szCs w:val="24"/>
        </w:rPr>
        <w:t xml:space="preserve"> personnel </w:t>
      </w:r>
      <w:r w:rsidR="00EF2D17">
        <w:rPr>
          <w:rFonts w:asciiTheme="majorBidi" w:hAnsiTheme="majorBidi" w:cstheme="majorBidi"/>
          <w:sz w:val="24"/>
          <w:szCs w:val="24"/>
        </w:rPr>
        <w:t xml:space="preserve">pour qu’il soit </w:t>
      </w:r>
      <w:r w:rsidR="00780C14" w:rsidRPr="00E812F3">
        <w:rPr>
          <w:rFonts w:asciiTheme="majorBidi" w:hAnsiTheme="majorBidi" w:cstheme="majorBidi"/>
          <w:sz w:val="24"/>
          <w:szCs w:val="24"/>
        </w:rPr>
        <w:t xml:space="preserve">informé des derniers développements. Il est essentiel que chacun comprenne la nécessité des procédures (KYC) et leur application de manière uniforme. </w:t>
      </w:r>
    </w:p>
    <w:p w:rsidR="00780C14" w:rsidRPr="00E812F3" w:rsidRDefault="00EF2D17" w:rsidP="00EF2D17">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bCs/>
          <w:sz w:val="24"/>
          <w:szCs w:val="24"/>
        </w:rPr>
        <w:tab/>
      </w:r>
      <w:r w:rsidR="00195739">
        <w:rPr>
          <w:rFonts w:asciiTheme="majorBidi" w:hAnsiTheme="majorBidi" w:cstheme="majorBidi"/>
          <w:bCs/>
          <w:sz w:val="24"/>
          <w:szCs w:val="24"/>
        </w:rPr>
        <w:tab/>
      </w:r>
      <w:r w:rsidR="000968D3">
        <w:rPr>
          <w:rFonts w:asciiTheme="majorBidi" w:hAnsiTheme="majorBidi" w:cstheme="majorBidi"/>
          <w:bCs/>
          <w:sz w:val="24"/>
          <w:szCs w:val="24"/>
        </w:rPr>
        <w:t>Il est à indiquer que c</w:t>
      </w:r>
      <w:r w:rsidR="00780C14" w:rsidRPr="00E812F3">
        <w:rPr>
          <w:rFonts w:asciiTheme="majorBidi" w:hAnsiTheme="majorBidi" w:cstheme="majorBidi"/>
          <w:bCs/>
          <w:sz w:val="24"/>
          <w:szCs w:val="24"/>
        </w:rPr>
        <w:t xml:space="preserve">ette obligation a été </w:t>
      </w:r>
      <w:r w:rsidR="000B2FEE">
        <w:rPr>
          <w:rFonts w:asciiTheme="majorBidi" w:hAnsiTheme="majorBidi" w:cstheme="majorBidi"/>
          <w:bCs/>
          <w:sz w:val="24"/>
          <w:szCs w:val="24"/>
        </w:rPr>
        <w:t>adoptée par le</w:t>
      </w:r>
      <w:r w:rsidR="00780C14" w:rsidRPr="00E812F3">
        <w:rPr>
          <w:rFonts w:asciiTheme="majorBidi" w:hAnsiTheme="majorBidi" w:cstheme="majorBidi"/>
          <w:bCs/>
          <w:sz w:val="24"/>
          <w:szCs w:val="24"/>
        </w:rPr>
        <w:t xml:space="preserve"> règlement </w:t>
      </w:r>
      <w:r w:rsidR="006D7B2E" w:rsidRPr="00E812F3">
        <w:rPr>
          <w:rFonts w:asciiTheme="majorBidi" w:hAnsiTheme="majorBidi" w:cstheme="majorBidi"/>
          <w:bCs/>
          <w:sz w:val="24"/>
          <w:szCs w:val="24"/>
        </w:rPr>
        <w:t xml:space="preserve">n° </w:t>
      </w:r>
      <w:r>
        <w:rPr>
          <w:rFonts w:asciiTheme="majorBidi" w:hAnsiTheme="majorBidi" w:cstheme="majorBidi"/>
          <w:bCs/>
          <w:sz w:val="24"/>
          <w:szCs w:val="24"/>
        </w:rPr>
        <w:t>05-05 de la b</w:t>
      </w:r>
      <w:r w:rsidR="006D7B2E" w:rsidRPr="00E812F3">
        <w:rPr>
          <w:rFonts w:asciiTheme="majorBidi" w:hAnsiTheme="majorBidi" w:cstheme="majorBidi"/>
          <w:bCs/>
          <w:sz w:val="24"/>
          <w:szCs w:val="24"/>
        </w:rPr>
        <w:t>anque d’</w:t>
      </w:r>
      <w:r w:rsidR="00780C14" w:rsidRPr="00E812F3">
        <w:rPr>
          <w:rFonts w:asciiTheme="majorBidi" w:hAnsiTheme="majorBidi" w:cstheme="majorBidi"/>
          <w:bCs/>
          <w:sz w:val="24"/>
          <w:szCs w:val="24"/>
        </w:rPr>
        <w:t>A</w:t>
      </w:r>
      <w:r w:rsidR="006D7B2E" w:rsidRPr="00E812F3">
        <w:rPr>
          <w:rFonts w:asciiTheme="majorBidi" w:hAnsiTheme="majorBidi" w:cstheme="majorBidi"/>
          <w:bCs/>
          <w:sz w:val="24"/>
          <w:szCs w:val="24"/>
        </w:rPr>
        <w:t>lgérie</w:t>
      </w:r>
      <w:r w:rsidR="006D7B2E" w:rsidRPr="00E812F3">
        <w:rPr>
          <w:rStyle w:val="Appelnotedebasdep"/>
          <w:rFonts w:asciiTheme="majorBidi" w:hAnsiTheme="majorBidi" w:cstheme="majorBidi"/>
          <w:bCs/>
          <w:sz w:val="24"/>
          <w:szCs w:val="24"/>
        </w:rPr>
        <w:footnoteReference w:id="14"/>
      </w:r>
      <w:r>
        <w:rPr>
          <w:rFonts w:asciiTheme="majorBidi" w:hAnsiTheme="majorBidi" w:cstheme="majorBidi"/>
          <w:bCs/>
          <w:sz w:val="24"/>
          <w:szCs w:val="24"/>
        </w:rPr>
        <w:t xml:space="preserve"> qui exige aux </w:t>
      </w:r>
      <w:r w:rsidR="00780C14" w:rsidRPr="00E812F3">
        <w:rPr>
          <w:rFonts w:asciiTheme="majorBidi" w:hAnsiTheme="majorBidi" w:cstheme="majorBidi"/>
          <w:sz w:val="24"/>
          <w:szCs w:val="24"/>
        </w:rPr>
        <w:t>banque</w:t>
      </w:r>
      <w:r>
        <w:rPr>
          <w:rFonts w:asciiTheme="majorBidi" w:hAnsiTheme="majorBidi" w:cstheme="majorBidi"/>
          <w:sz w:val="24"/>
          <w:szCs w:val="24"/>
        </w:rPr>
        <w:t>s</w:t>
      </w:r>
      <w:r w:rsidR="00780C14" w:rsidRPr="00E812F3">
        <w:rPr>
          <w:rFonts w:asciiTheme="majorBidi" w:hAnsiTheme="majorBidi" w:cstheme="majorBidi"/>
          <w:sz w:val="24"/>
          <w:szCs w:val="24"/>
        </w:rPr>
        <w:t>, établissement</w:t>
      </w:r>
      <w:r>
        <w:rPr>
          <w:rFonts w:asciiTheme="majorBidi" w:hAnsiTheme="majorBidi" w:cstheme="majorBidi"/>
          <w:sz w:val="24"/>
          <w:szCs w:val="24"/>
        </w:rPr>
        <w:t>s</w:t>
      </w:r>
      <w:r w:rsidR="00780C14" w:rsidRPr="00E812F3">
        <w:rPr>
          <w:rFonts w:asciiTheme="majorBidi" w:hAnsiTheme="majorBidi" w:cstheme="majorBidi"/>
          <w:sz w:val="24"/>
          <w:szCs w:val="24"/>
        </w:rPr>
        <w:t xml:space="preserve"> financier</w:t>
      </w:r>
      <w:r>
        <w:rPr>
          <w:rFonts w:asciiTheme="majorBidi" w:hAnsiTheme="majorBidi" w:cstheme="majorBidi"/>
          <w:sz w:val="24"/>
          <w:szCs w:val="24"/>
        </w:rPr>
        <w:t>s</w:t>
      </w:r>
      <w:r w:rsidR="00780C14" w:rsidRPr="00E812F3">
        <w:rPr>
          <w:rFonts w:asciiTheme="majorBidi" w:hAnsiTheme="majorBidi" w:cstheme="majorBidi"/>
          <w:sz w:val="24"/>
          <w:szCs w:val="24"/>
        </w:rPr>
        <w:t xml:space="preserve"> et service</w:t>
      </w:r>
      <w:r>
        <w:rPr>
          <w:rFonts w:asciiTheme="majorBidi" w:hAnsiTheme="majorBidi" w:cstheme="majorBidi"/>
          <w:sz w:val="24"/>
          <w:szCs w:val="24"/>
        </w:rPr>
        <w:t>s</w:t>
      </w:r>
      <w:r w:rsidR="00780C14" w:rsidRPr="00E812F3">
        <w:rPr>
          <w:rFonts w:asciiTheme="majorBidi" w:hAnsiTheme="majorBidi" w:cstheme="majorBidi"/>
          <w:sz w:val="24"/>
          <w:szCs w:val="24"/>
        </w:rPr>
        <w:t xml:space="preserve"> financier</w:t>
      </w:r>
      <w:r>
        <w:rPr>
          <w:rFonts w:asciiTheme="majorBidi" w:hAnsiTheme="majorBidi" w:cstheme="majorBidi"/>
          <w:sz w:val="24"/>
          <w:szCs w:val="24"/>
        </w:rPr>
        <w:t>s</w:t>
      </w:r>
      <w:r w:rsidR="00780C14" w:rsidRPr="00E812F3">
        <w:rPr>
          <w:rFonts w:asciiTheme="majorBidi" w:hAnsiTheme="majorBidi" w:cstheme="majorBidi"/>
          <w:sz w:val="24"/>
          <w:szCs w:val="24"/>
        </w:rPr>
        <w:t xml:space="preserve"> d’Algérie-poste </w:t>
      </w:r>
      <w:r>
        <w:rPr>
          <w:rFonts w:asciiTheme="majorBidi" w:hAnsiTheme="majorBidi" w:cstheme="majorBidi"/>
          <w:sz w:val="24"/>
          <w:szCs w:val="24"/>
        </w:rPr>
        <w:t>la mise en place d’</w:t>
      </w:r>
      <w:r w:rsidR="00780C14" w:rsidRPr="00E812F3">
        <w:rPr>
          <w:rFonts w:asciiTheme="majorBidi" w:hAnsiTheme="majorBidi" w:cstheme="majorBidi"/>
          <w:sz w:val="24"/>
          <w:szCs w:val="24"/>
        </w:rPr>
        <w:t>un programme permanent de format</w:t>
      </w:r>
      <w:r>
        <w:rPr>
          <w:rFonts w:asciiTheme="majorBidi" w:hAnsiTheme="majorBidi" w:cstheme="majorBidi"/>
          <w:sz w:val="24"/>
          <w:szCs w:val="24"/>
        </w:rPr>
        <w:t>ion préparant convenablement leur</w:t>
      </w:r>
      <w:r w:rsidR="00780C14" w:rsidRPr="00E812F3">
        <w:rPr>
          <w:rFonts w:asciiTheme="majorBidi" w:hAnsiTheme="majorBidi" w:cstheme="majorBidi"/>
          <w:sz w:val="24"/>
          <w:szCs w:val="24"/>
        </w:rPr>
        <w:t xml:space="preserve"> personnel à la connaissance des dispositifs de lutte contre le blanchiment d’argent et le financement du terrorisme. </w:t>
      </w:r>
    </w:p>
    <w:p w:rsidR="001D4453" w:rsidRDefault="00195739" w:rsidP="00EF2D17">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ab/>
      </w:r>
      <w:r w:rsidR="00EF2D17">
        <w:rPr>
          <w:rFonts w:asciiTheme="majorBidi" w:hAnsiTheme="majorBidi" w:cstheme="majorBidi"/>
          <w:sz w:val="24"/>
          <w:szCs w:val="24"/>
        </w:rPr>
        <w:tab/>
        <w:t>En ce qui c</w:t>
      </w:r>
      <w:r w:rsidR="00780C14" w:rsidRPr="00E812F3">
        <w:rPr>
          <w:rFonts w:asciiTheme="majorBidi" w:hAnsiTheme="majorBidi" w:cstheme="majorBidi"/>
          <w:sz w:val="24"/>
          <w:szCs w:val="24"/>
        </w:rPr>
        <w:t>oncern</w:t>
      </w:r>
      <w:r w:rsidR="00EF2D17">
        <w:rPr>
          <w:rFonts w:asciiTheme="majorBidi" w:hAnsiTheme="majorBidi" w:cstheme="majorBidi"/>
          <w:sz w:val="24"/>
          <w:szCs w:val="24"/>
        </w:rPr>
        <w:t>e l’obligation de l’information</w:t>
      </w:r>
      <w:r w:rsidR="00780C14" w:rsidRPr="00E812F3">
        <w:rPr>
          <w:rFonts w:asciiTheme="majorBidi" w:hAnsiTheme="majorBidi" w:cstheme="majorBidi"/>
          <w:sz w:val="24"/>
          <w:szCs w:val="24"/>
        </w:rPr>
        <w:t>,</w:t>
      </w:r>
      <w:r w:rsidR="00EF2D17">
        <w:rPr>
          <w:rFonts w:asciiTheme="majorBidi" w:hAnsiTheme="majorBidi" w:cstheme="majorBidi"/>
          <w:sz w:val="24"/>
          <w:szCs w:val="24"/>
        </w:rPr>
        <w:t xml:space="preserve"> </w:t>
      </w:r>
      <w:r w:rsidR="00780C14" w:rsidRPr="00E812F3">
        <w:rPr>
          <w:rFonts w:asciiTheme="majorBidi" w:hAnsiTheme="majorBidi" w:cstheme="majorBidi"/>
          <w:sz w:val="24"/>
          <w:szCs w:val="24"/>
        </w:rPr>
        <w:t>la réglementation algé</w:t>
      </w:r>
      <w:r w:rsidR="00EF2D17">
        <w:rPr>
          <w:rFonts w:asciiTheme="majorBidi" w:hAnsiTheme="majorBidi" w:cstheme="majorBidi"/>
          <w:sz w:val="24"/>
          <w:szCs w:val="24"/>
        </w:rPr>
        <w:t>rienne a demandé aux banques, établissements financiers et</w:t>
      </w:r>
      <w:r w:rsidR="00780C14" w:rsidRPr="00E812F3">
        <w:rPr>
          <w:rFonts w:asciiTheme="majorBidi" w:hAnsiTheme="majorBidi" w:cstheme="majorBidi"/>
          <w:sz w:val="24"/>
          <w:szCs w:val="24"/>
        </w:rPr>
        <w:t xml:space="preserve"> services financiers d’Algérie-poste</w:t>
      </w:r>
      <w:r w:rsidR="00780C14" w:rsidRPr="00E812F3">
        <w:rPr>
          <w:rStyle w:val="Appelnotedebasdep"/>
          <w:rFonts w:asciiTheme="majorBidi" w:hAnsiTheme="majorBidi" w:cstheme="majorBidi"/>
          <w:sz w:val="24"/>
          <w:szCs w:val="24"/>
        </w:rPr>
        <w:footnoteReference w:id="15"/>
      </w:r>
      <w:r w:rsidR="00780C14" w:rsidRPr="00E812F3">
        <w:rPr>
          <w:rFonts w:asciiTheme="majorBidi" w:hAnsiTheme="majorBidi" w:cstheme="majorBidi"/>
          <w:sz w:val="24"/>
          <w:szCs w:val="24"/>
        </w:rPr>
        <w:t xml:space="preserve"> de s’assurer que les procédures soient communiquées à tout le personnel, et de permettre à chaque agent de rapporter toute opération suspecte au responsable de la conformité en matière de lutte contre le blanchiment d’argent et le financement du terrorisme .</w:t>
      </w:r>
      <w:r w:rsidR="006D7B2E" w:rsidRPr="00E812F3">
        <w:rPr>
          <w:rFonts w:asciiTheme="majorBidi" w:hAnsiTheme="majorBidi" w:cstheme="majorBidi"/>
          <w:sz w:val="24"/>
          <w:szCs w:val="24"/>
        </w:rPr>
        <w:t xml:space="preserve"> </w:t>
      </w:r>
      <w:r w:rsidR="00780C14" w:rsidRPr="00E812F3">
        <w:rPr>
          <w:rFonts w:asciiTheme="majorBidi" w:hAnsiTheme="majorBidi" w:cstheme="majorBidi"/>
          <w:sz w:val="24"/>
          <w:szCs w:val="24"/>
        </w:rPr>
        <w:t xml:space="preserve">En échange, ces </w:t>
      </w:r>
      <w:r w:rsidR="00780C14" w:rsidRPr="00E812F3">
        <w:rPr>
          <w:rFonts w:asciiTheme="majorBidi" w:hAnsiTheme="majorBidi" w:cstheme="majorBidi"/>
          <w:sz w:val="24"/>
          <w:szCs w:val="24"/>
        </w:rPr>
        <w:lastRenderedPageBreak/>
        <w:t xml:space="preserve">institutions doivent définir dans un document les critères de déontologie et de professionnalisme, en matière de déclarations. </w:t>
      </w:r>
    </w:p>
    <w:p w:rsidR="00780C14" w:rsidRPr="003C1EDF" w:rsidRDefault="00806DDE" w:rsidP="003C1EDF">
      <w:pPr>
        <w:pStyle w:val="Paragraphedeliste"/>
        <w:numPr>
          <w:ilvl w:val="0"/>
          <w:numId w:val="19"/>
        </w:numPr>
        <w:tabs>
          <w:tab w:val="left" w:pos="284"/>
        </w:tabs>
        <w:autoSpaceDE w:val="0"/>
        <w:autoSpaceDN w:val="0"/>
        <w:adjustRightInd w:val="0"/>
        <w:spacing w:line="360" w:lineRule="auto"/>
        <w:ind w:left="0" w:firstLine="0"/>
        <w:jc w:val="both"/>
        <w:rPr>
          <w:rStyle w:val="Emphaseintense"/>
          <w:rFonts w:asciiTheme="majorBidi" w:hAnsiTheme="majorBidi" w:cstheme="majorBidi"/>
          <w:i w:val="0"/>
          <w:iCs w:val="0"/>
          <w:color w:val="auto"/>
          <w:sz w:val="24"/>
          <w:szCs w:val="24"/>
        </w:rPr>
      </w:pPr>
      <w:r w:rsidRPr="003C1EDF">
        <w:rPr>
          <w:rStyle w:val="Emphaseintense"/>
          <w:rFonts w:asciiTheme="majorBidi" w:hAnsiTheme="majorBidi" w:cstheme="majorBidi"/>
          <w:i w:val="0"/>
          <w:iCs w:val="0"/>
          <w:color w:val="auto"/>
          <w:sz w:val="24"/>
          <w:szCs w:val="24"/>
        </w:rPr>
        <w:t>LA CONFORMITE</w:t>
      </w:r>
    </w:p>
    <w:p w:rsidR="00780C14" w:rsidRPr="00E812F3" w:rsidRDefault="00806DDE" w:rsidP="00EF2D17">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EF2D17">
        <w:rPr>
          <w:rFonts w:asciiTheme="majorBidi" w:hAnsiTheme="majorBidi" w:cstheme="majorBidi"/>
          <w:sz w:val="24"/>
          <w:szCs w:val="24"/>
        </w:rPr>
        <w:tab/>
      </w:r>
      <w:r w:rsidR="006D7B2E" w:rsidRPr="00E812F3">
        <w:rPr>
          <w:rFonts w:asciiTheme="majorBidi" w:hAnsiTheme="majorBidi" w:cstheme="majorBidi"/>
          <w:sz w:val="24"/>
          <w:szCs w:val="24"/>
        </w:rPr>
        <w:t xml:space="preserve">Le </w:t>
      </w:r>
      <w:r w:rsidR="00780C14" w:rsidRPr="00E812F3">
        <w:rPr>
          <w:rFonts w:asciiTheme="majorBidi" w:hAnsiTheme="majorBidi" w:cstheme="majorBidi"/>
          <w:i/>
          <w:iCs/>
          <w:sz w:val="24"/>
          <w:szCs w:val="24"/>
        </w:rPr>
        <w:t>compliance officer</w:t>
      </w:r>
      <w:r w:rsidR="00780C14" w:rsidRPr="00E812F3">
        <w:rPr>
          <w:rFonts w:asciiTheme="majorBidi" w:hAnsiTheme="majorBidi" w:cstheme="majorBidi"/>
          <w:sz w:val="24"/>
          <w:szCs w:val="24"/>
        </w:rPr>
        <w:t xml:space="preserve"> est la fonction d’agent de conformité imposée</w:t>
      </w:r>
      <w:r w:rsidR="00EF2D17">
        <w:rPr>
          <w:rFonts w:asciiTheme="majorBidi" w:hAnsiTheme="majorBidi" w:cstheme="majorBidi"/>
          <w:sz w:val="24"/>
          <w:szCs w:val="24"/>
        </w:rPr>
        <w:t xml:space="preserve"> par la banque d’Algérie aux banques, établissements financier et </w:t>
      </w:r>
      <w:r w:rsidR="00780C14" w:rsidRPr="00E812F3">
        <w:rPr>
          <w:rFonts w:asciiTheme="majorBidi" w:hAnsiTheme="majorBidi" w:cstheme="majorBidi"/>
          <w:sz w:val="24"/>
          <w:szCs w:val="24"/>
        </w:rPr>
        <w:t>servic</w:t>
      </w:r>
      <w:r w:rsidR="006D7B2E" w:rsidRPr="00E812F3">
        <w:rPr>
          <w:rFonts w:asciiTheme="majorBidi" w:hAnsiTheme="majorBidi" w:cstheme="majorBidi"/>
          <w:sz w:val="24"/>
          <w:szCs w:val="24"/>
        </w:rPr>
        <w:t xml:space="preserve">es financiers d’Algérie-poste. </w:t>
      </w:r>
      <w:r w:rsidR="00C4691C">
        <w:rPr>
          <w:rFonts w:asciiTheme="majorBidi" w:hAnsiTheme="majorBidi" w:cstheme="majorBidi"/>
          <w:sz w:val="24"/>
          <w:szCs w:val="24"/>
        </w:rPr>
        <w:t>L</w:t>
      </w:r>
      <w:r w:rsidR="00780C14" w:rsidRPr="00E812F3">
        <w:rPr>
          <w:rFonts w:asciiTheme="majorBidi" w:hAnsiTheme="majorBidi" w:cstheme="majorBidi"/>
          <w:sz w:val="24"/>
          <w:szCs w:val="24"/>
        </w:rPr>
        <w:t xml:space="preserve">’article 18 du règlement 05-05 de la </w:t>
      </w:r>
      <w:r w:rsidR="00EF2D17">
        <w:rPr>
          <w:rFonts w:asciiTheme="majorBidi" w:hAnsiTheme="majorBidi" w:cstheme="majorBidi"/>
          <w:sz w:val="24"/>
          <w:szCs w:val="24"/>
        </w:rPr>
        <w:t>b</w:t>
      </w:r>
      <w:r w:rsidR="003A49E3" w:rsidRPr="00E812F3">
        <w:rPr>
          <w:rFonts w:asciiTheme="majorBidi" w:hAnsiTheme="majorBidi" w:cstheme="majorBidi"/>
          <w:sz w:val="24"/>
          <w:szCs w:val="24"/>
        </w:rPr>
        <w:t>anque d’Algérie</w:t>
      </w:r>
      <w:r w:rsidR="00C4691C">
        <w:rPr>
          <w:rFonts w:asciiTheme="majorBidi" w:hAnsiTheme="majorBidi" w:cstheme="majorBidi"/>
          <w:sz w:val="24"/>
          <w:szCs w:val="24"/>
        </w:rPr>
        <w:t xml:space="preserve"> stipule que</w:t>
      </w:r>
      <w:r w:rsidR="003A49E3" w:rsidRPr="00E812F3">
        <w:rPr>
          <w:rFonts w:asciiTheme="majorBidi" w:hAnsiTheme="majorBidi" w:cstheme="majorBidi"/>
          <w:sz w:val="24"/>
          <w:szCs w:val="24"/>
        </w:rPr>
        <w:t xml:space="preserve"> </w:t>
      </w:r>
      <w:r w:rsidR="00780C14" w:rsidRPr="00E812F3">
        <w:rPr>
          <w:rFonts w:asciiTheme="majorBidi" w:hAnsiTheme="majorBidi" w:cstheme="majorBidi"/>
          <w:sz w:val="24"/>
          <w:szCs w:val="24"/>
        </w:rPr>
        <w:t>ces institutions doivent habiliter au moins un cadre supérieur responsable</w:t>
      </w:r>
      <w:r w:rsidR="00EF2D17">
        <w:rPr>
          <w:rFonts w:asciiTheme="majorBidi" w:hAnsiTheme="majorBidi" w:cstheme="majorBidi"/>
          <w:sz w:val="24"/>
          <w:szCs w:val="24"/>
        </w:rPr>
        <w:t>,</w:t>
      </w:r>
      <w:r w:rsidR="00780C14" w:rsidRPr="00E812F3">
        <w:rPr>
          <w:rFonts w:asciiTheme="majorBidi" w:hAnsiTheme="majorBidi" w:cstheme="majorBidi"/>
          <w:sz w:val="24"/>
          <w:szCs w:val="24"/>
        </w:rPr>
        <w:t xml:space="preserve"> </w:t>
      </w:r>
      <w:r w:rsidR="003A49E3" w:rsidRPr="00E812F3">
        <w:rPr>
          <w:rFonts w:asciiTheme="majorBidi" w:hAnsiTheme="majorBidi" w:cstheme="majorBidi"/>
          <w:sz w:val="24"/>
          <w:szCs w:val="24"/>
        </w:rPr>
        <w:t xml:space="preserve">chargé de veiller au respect des politiques et procédures en matière de lutte contre le blanchiment d’argent et le financement du terrorisme, tout </w:t>
      </w:r>
      <w:r w:rsidR="00780C14" w:rsidRPr="00E812F3">
        <w:rPr>
          <w:rFonts w:asciiTheme="majorBidi" w:hAnsiTheme="majorBidi" w:cstheme="majorBidi"/>
          <w:sz w:val="24"/>
          <w:szCs w:val="24"/>
        </w:rPr>
        <w:t>en</w:t>
      </w:r>
      <w:r w:rsidR="003A49E3" w:rsidRPr="00E812F3">
        <w:rPr>
          <w:rFonts w:asciiTheme="majorBidi" w:hAnsiTheme="majorBidi" w:cstheme="majorBidi"/>
          <w:sz w:val="24"/>
          <w:szCs w:val="24"/>
        </w:rPr>
        <w:t xml:space="preserve"> lui</w:t>
      </w:r>
      <w:r w:rsidR="00780C14" w:rsidRPr="00E812F3">
        <w:rPr>
          <w:rFonts w:asciiTheme="majorBidi" w:hAnsiTheme="majorBidi" w:cstheme="majorBidi"/>
          <w:sz w:val="24"/>
          <w:szCs w:val="24"/>
        </w:rPr>
        <w:t xml:space="preserve"> attribuant la fonction de correspondant de la </w:t>
      </w:r>
      <w:r w:rsidR="003A49E3" w:rsidRPr="00E812F3">
        <w:rPr>
          <w:rFonts w:asciiTheme="majorBidi" w:hAnsiTheme="majorBidi" w:cstheme="majorBidi"/>
          <w:sz w:val="24"/>
          <w:szCs w:val="24"/>
        </w:rPr>
        <w:t xml:space="preserve">CTRF. </w:t>
      </w:r>
    </w:p>
    <w:p w:rsidR="00780C14" w:rsidRPr="00E812F3" w:rsidRDefault="00780C14" w:rsidP="00E812F3">
      <w:pPr>
        <w:autoSpaceDE w:val="0"/>
        <w:autoSpaceDN w:val="0"/>
        <w:adjustRightInd w:val="0"/>
        <w:spacing w:after="0" w:line="360" w:lineRule="auto"/>
        <w:jc w:val="both"/>
        <w:rPr>
          <w:rFonts w:asciiTheme="majorBidi" w:hAnsiTheme="majorBidi" w:cstheme="majorBidi"/>
          <w:sz w:val="24"/>
          <w:szCs w:val="24"/>
        </w:rPr>
      </w:pPr>
    </w:p>
    <w:p w:rsidR="00780C14" w:rsidRPr="00E812F3" w:rsidRDefault="00806DDE" w:rsidP="00E812F3">
      <w:pPr>
        <w:spacing w:line="360" w:lineRule="auto"/>
        <w:jc w:val="both"/>
        <w:rPr>
          <w:rFonts w:asciiTheme="majorBidi" w:hAnsiTheme="majorBidi" w:cstheme="majorBidi"/>
          <w:sz w:val="24"/>
          <w:szCs w:val="24"/>
        </w:rPr>
      </w:pPr>
      <w:r>
        <w:rPr>
          <w:rStyle w:val="Style13pt"/>
          <w:rFonts w:asciiTheme="majorBidi" w:hAnsiTheme="majorBidi" w:cstheme="majorBidi"/>
          <w:szCs w:val="24"/>
        </w:rPr>
        <w:tab/>
      </w:r>
      <w:r w:rsidR="00EF2D17">
        <w:rPr>
          <w:rStyle w:val="Style13pt"/>
          <w:rFonts w:asciiTheme="majorBidi" w:hAnsiTheme="majorBidi" w:cstheme="majorBidi"/>
          <w:szCs w:val="24"/>
        </w:rPr>
        <w:tab/>
      </w:r>
      <w:r w:rsidR="00780C14" w:rsidRPr="00E812F3">
        <w:rPr>
          <w:rStyle w:val="Style13pt"/>
          <w:rFonts w:asciiTheme="majorBidi" w:hAnsiTheme="majorBidi" w:cstheme="majorBidi"/>
          <w:szCs w:val="24"/>
        </w:rPr>
        <w:t xml:space="preserve">Il est à préciser qu’à l’échelle internationale, </w:t>
      </w:r>
      <w:r w:rsidR="003A49E3" w:rsidRPr="00E812F3">
        <w:rPr>
          <w:rStyle w:val="Style13pt"/>
          <w:rFonts w:asciiTheme="majorBidi" w:hAnsiTheme="majorBidi" w:cstheme="majorBidi"/>
          <w:szCs w:val="24"/>
        </w:rPr>
        <w:t xml:space="preserve">la </w:t>
      </w:r>
      <w:r w:rsidR="00780C14" w:rsidRPr="00E812F3">
        <w:rPr>
          <w:rStyle w:val="Style13pt"/>
          <w:rFonts w:asciiTheme="majorBidi" w:hAnsiTheme="majorBidi" w:cstheme="majorBidi"/>
          <w:szCs w:val="24"/>
        </w:rPr>
        <w:t>fonction</w:t>
      </w:r>
      <w:r w:rsidR="003A49E3" w:rsidRPr="00E812F3">
        <w:rPr>
          <w:rStyle w:val="Style13pt"/>
          <w:rFonts w:asciiTheme="majorBidi" w:hAnsiTheme="majorBidi" w:cstheme="majorBidi"/>
          <w:szCs w:val="24"/>
        </w:rPr>
        <w:t xml:space="preserve"> d’agent de conformité </w:t>
      </w:r>
      <w:r w:rsidR="00780C14" w:rsidRPr="00E812F3">
        <w:rPr>
          <w:rStyle w:val="Style13pt"/>
          <w:rFonts w:asciiTheme="majorBidi" w:hAnsiTheme="majorBidi" w:cstheme="majorBidi"/>
          <w:szCs w:val="24"/>
        </w:rPr>
        <w:t>a vu le jour au milieu des années 80</w:t>
      </w:r>
      <w:r w:rsidR="003A49E3" w:rsidRPr="00E812F3">
        <w:rPr>
          <w:rStyle w:val="Style13pt"/>
          <w:rFonts w:asciiTheme="majorBidi" w:hAnsiTheme="majorBidi" w:cstheme="majorBidi"/>
          <w:szCs w:val="24"/>
        </w:rPr>
        <w:t>,</w:t>
      </w:r>
      <w:r w:rsidR="00780C14" w:rsidRPr="00E812F3">
        <w:rPr>
          <w:rStyle w:val="Style13pt"/>
          <w:rFonts w:asciiTheme="majorBidi" w:hAnsiTheme="majorBidi" w:cstheme="majorBidi"/>
          <w:szCs w:val="24"/>
        </w:rPr>
        <w:t xml:space="preserve"> durant lesquelles le département de défense aux Etats-Unis a constaté une augmentation du gaspillage et de la fraude, ce qui a poussé le président Ronald Reagan à ordonner la création de « </w:t>
      </w:r>
      <w:r w:rsidR="00780C14" w:rsidRPr="007A5944">
        <w:rPr>
          <w:rStyle w:val="Style13pt"/>
          <w:rFonts w:asciiTheme="majorBidi" w:hAnsiTheme="majorBidi" w:cstheme="majorBidi"/>
          <w:i/>
          <w:iCs/>
          <w:szCs w:val="24"/>
        </w:rPr>
        <w:t>The Blue Ribbon Commission</w:t>
      </w:r>
      <w:r w:rsidR="00780C14" w:rsidRPr="00E812F3">
        <w:rPr>
          <w:rStyle w:val="Style13pt"/>
          <w:rFonts w:asciiTheme="majorBidi" w:hAnsiTheme="majorBidi" w:cstheme="majorBidi"/>
          <w:szCs w:val="24"/>
        </w:rPr>
        <w:t> », qui a été tenue de proposer des solutions à ces problèmes qui nuisent à la réputation de l’armée américaine. Parmi les recommandations de cette commission, on lit « le département de défense doit promulguer et appliquer avec vigilance les codes de déontologie qui traitent les problèmes et les incidents lors des procédures d’achat. Il doit également élaborer et mettre en œuvre les contrôles internes pour assurer le suivi de l’application de ces codes d'éthique et les aspects sensibles du contrat de conformité»</w:t>
      </w:r>
      <w:r w:rsidR="00780C14" w:rsidRPr="00E812F3">
        <w:rPr>
          <w:rStyle w:val="Appelnotedebasdep"/>
          <w:rFonts w:asciiTheme="majorBidi" w:hAnsiTheme="majorBidi" w:cstheme="majorBidi"/>
          <w:sz w:val="24"/>
          <w:szCs w:val="24"/>
        </w:rPr>
        <w:footnoteReference w:id="16"/>
      </w:r>
      <w:r w:rsidR="00780C14" w:rsidRPr="00E812F3">
        <w:rPr>
          <w:rFonts w:asciiTheme="majorBidi" w:hAnsiTheme="majorBidi" w:cstheme="majorBidi"/>
          <w:sz w:val="24"/>
          <w:szCs w:val="24"/>
        </w:rPr>
        <w:t>.</w:t>
      </w:r>
    </w:p>
    <w:p w:rsidR="00C333A9" w:rsidRDefault="00806DDE" w:rsidP="007A5944">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0D5A06">
        <w:rPr>
          <w:rFonts w:asciiTheme="majorBidi" w:hAnsiTheme="majorBidi" w:cstheme="majorBidi"/>
          <w:sz w:val="24"/>
          <w:szCs w:val="24"/>
        </w:rPr>
        <w:tab/>
      </w:r>
      <w:r w:rsidR="007A5944">
        <w:rPr>
          <w:rFonts w:asciiTheme="majorBidi" w:hAnsiTheme="majorBidi" w:cstheme="majorBidi"/>
          <w:sz w:val="24"/>
          <w:szCs w:val="24"/>
        </w:rPr>
        <w:t>En ce qui concerne ce point et d</w:t>
      </w:r>
      <w:r w:rsidR="00780C14" w:rsidRPr="00E812F3">
        <w:rPr>
          <w:rFonts w:asciiTheme="majorBidi" w:hAnsiTheme="majorBidi" w:cstheme="majorBidi"/>
          <w:sz w:val="24"/>
          <w:szCs w:val="24"/>
        </w:rPr>
        <w:t xml:space="preserve">’après le rapport </w:t>
      </w:r>
      <w:r w:rsidR="00C333A9" w:rsidRPr="00E812F3">
        <w:rPr>
          <w:rFonts w:asciiTheme="majorBidi" w:hAnsiTheme="majorBidi" w:cstheme="majorBidi"/>
          <w:sz w:val="24"/>
          <w:szCs w:val="24"/>
        </w:rPr>
        <w:t>ét</w:t>
      </w:r>
      <w:r w:rsidR="000D5A06">
        <w:rPr>
          <w:rFonts w:asciiTheme="majorBidi" w:hAnsiTheme="majorBidi" w:cstheme="majorBidi"/>
          <w:sz w:val="24"/>
          <w:szCs w:val="24"/>
        </w:rPr>
        <w:t>abli par les inspecteurs de la b</w:t>
      </w:r>
      <w:r w:rsidR="00C333A9" w:rsidRPr="00E812F3">
        <w:rPr>
          <w:rFonts w:asciiTheme="majorBidi" w:hAnsiTheme="majorBidi" w:cstheme="majorBidi"/>
          <w:sz w:val="24"/>
          <w:szCs w:val="24"/>
        </w:rPr>
        <w:t>anque d’Algérie en</w:t>
      </w:r>
      <w:r w:rsidR="00780C14" w:rsidRPr="00E812F3">
        <w:rPr>
          <w:rFonts w:asciiTheme="majorBidi" w:hAnsiTheme="majorBidi" w:cstheme="majorBidi"/>
          <w:sz w:val="24"/>
          <w:szCs w:val="24"/>
        </w:rPr>
        <w:t xml:space="preserve"> juin 2009 suite à une mission </w:t>
      </w:r>
      <w:r w:rsidR="00C333A9" w:rsidRPr="00E812F3">
        <w:rPr>
          <w:rFonts w:asciiTheme="majorBidi" w:hAnsiTheme="majorBidi" w:cstheme="majorBidi"/>
          <w:sz w:val="24"/>
          <w:szCs w:val="24"/>
        </w:rPr>
        <w:t xml:space="preserve">effectuée </w:t>
      </w:r>
      <w:r w:rsidR="00780C14" w:rsidRPr="00E812F3">
        <w:rPr>
          <w:rFonts w:asciiTheme="majorBidi" w:hAnsiTheme="majorBidi" w:cstheme="majorBidi"/>
          <w:sz w:val="24"/>
          <w:szCs w:val="24"/>
        </w:rPr>
        <w:t xml:space="preserve">auprès d’une banque ayant pour seul thème « évaluation du dispositif anti blanchiment et de lutte contre le financement du terrorisme », il s’est avéré que le correspondant de la CTRF de cette banque contrôlée occupe </w:t>
      </w:r>
      <w:r w:rsidR="00C333A9" w:rsidRPr="00E812F3">
        <w:rPr>
          <w:rFonts w:asciiTheme="majorBidi" w:hAnsiTheme="majorBidi" w:cstheme="majorBidi"/>
          <w:sz w:val="24"/>
          <w:szCs w:val="24"/>
        </w:rPr>
        <w:t>à coté de sa responsabilité de correspondant bancaire un poste de responsable d’audit rattaché directement à la direction générale. Cette double tâche ou plutôt cette pratique bancaire montre l’implication réduite de cette banque dans la lutte contre le blanchiment d’argent dans la mesure où les deux fonctions assurées par la même personne peuvent accentuer la subjectivité de cette dernière.</w:t>
      </w:r>
    </w:p>
    <w:p w:rsidR="000D5A06" w:rsidRDefault="000D5A06" w:rsidP="00806DDE">
      <w:pPr>
        <w:tabs>
          <w:tab w:val="left" w:pos="0"/>
          <w:tab w:val="left" w:pos="142"/>
          <w:tab w:val="left" w:pos="284"/>
        </w:tabs>
        <w:autoSpaceDE w:val="0"/>
        <w:autoSpaceDN w:val="0"/>
        <w:adjustRightInd w:val="0"/>
        <w:spacing w:line="360" w:lineRule="auto"/>
        <w:jc w:val="center"/>
        <w:rPr>
          <w:rStyle w:val="Emphaseintense"/>
          <w:rFonts w:asciiTheme="majorBidi" w:hAnsiTheme="majorBidi" w:cstheme="majorBidi"/>
          <w:i w:val="0"/>
          <w:iCs w:val="0"/>
          <w:color w:val="auto"/>
          <w:sz w:val="28"/>
          <w:szCs w:val="28"/>
        </w:rPr>
      </w:pPr>
    </w:p>
    <w:p w:rsidR="00780C14" w:rsidRDefault="00780C14" w:rsidP="00806DDE">
      <w:pPr>
        <w:tabs>
          <w:tab w:val="left" w:pos="0"/>
          <w:tab w:val="left" w:pos="142"/>
          <w:tab w:val="left" w:pos="284"/>
        </w:tabs>
        <w:autoSpaceDE w:val="0"/>
        <w:autoSpaceDN w:val="0"/>
        <w:adjustRightInd w:val="0"/>
        <w:spacing w:line="360" w:lineRule="auto"/>
        <w:jc w:val="center"/>
        <w:rPr>
          <w:rStyle w:val="Emphaseintense"/>
          <w:rFonts w:asciiTheme="majorBidi" w:hAnsiTheme="majorBidi" w:cstheme="majorBidi"/>
          <w:i w:val="0"/>
          <w:iCs w:val="0"/>
          <w:color w:val="auto"/>
          <w:sz w:val="28"/>
          <w:szCs w:val="28"/>
        </w:rPr>
      </w:pPr>
      <w:r w:rsidRPr="001C3F98">
        <w:rPr>
          <w:rStyle w:val="Emphaseintense"/>
          <w:rFonts w:asciiTheme="majorBidi" w:hAnsiTheme="majorBidi" w:cstheme="majorBidi"/>
          <w:i w:val="0"/>
          <w:iCs w:val="0"/>
          <w:color w:val="auto"/>
          <w:sz w:val="28"/>
          <w:szCs w:val="28"/>
        </w:rPr>
        <w:t>SECTION IV </w:t>
      </w:r>
      <w:r w:rsidR="00806DDE" w:rsidRPr="001C3F98">
        <w:rPr>
          <w:rStyle w:val="Emphaseintense"/>
          <w:rFonts w:asciiTheme="majorBidi" w:hAnsiTheme="majorBidi" w:cstheme="majorBidi"/>
          <w:i w:val="0"/>
          <w:iCs w:val="0"/>
          <w:color w:val="auto"/>
          <w:sz w:val="28"/>
          <w:szCs w:val="28"/>
        </w:rPr>
        <w:t>: SYSTEME D’ALERTE ET DECLARATION DE SOUPÇON</w:t>
      </w:r>
    </w:p>
    <w:p w:rsidR="00780C14" w:rsidRDefault="00FB24D5" w:rsidP="001C3F98">
      <w:pPr>
        <w:pStyle w:val="Paragraphedeliste"/>
        <w:numPr>
          <w:ilvl w:val="0"/>
          <w:numId w:val="21"/>
        </w:numPr>
        <w:tabs>
          <w:tab w:val="left" w:pos="284"/>
        </w:tabs>
        <w:autoSpaceDE w:val="0"/>
        <w:autoSpaceDN w:val="0"/>
        <w:adjustRightInd w:val="0"/>
        <w:spacing w:line="360" w:lineRule="auto"/>
        <w:ind w:left="0" w:firstLine="0"/>
        <w:jc w:val="both"/>
        <w:rPr>
          <w:rStyle w:val="Emphaseintense"/>
          <w:rFonts w:asciiTheme="majorBidi" w:hAnsiTheme="majorBidi" w:cstheme="majorBidi"/>
          <w:i w:val="0"/>
          <w:iCs w:val="0"/>
          <w:color w:val="auto"/>
          <w:sz w:val="24"/>
          <w:szCs w:val="24"/>
        </w:rPr>
      </w:pPr>
      <w:r>
        <w:rPr>
          <w:rStyle w:val="Emphaseintense"/>
          <w:rFonts w:asciiTheme="majorBidi" w:hAnsiTheme="majorBidi" w:cstheme="majorBidi"/>
          <w:i w:val="0"/>
          <w:iCs w:val="0"/>
          <w:color w:val="auto"/>
          <w:sz w:val="24"/>
          <w:szCs w:val="24"/>
        </w:rPr>
        <w:t xml:space="preserve">LE </w:t>
      </w:r>
      <w:r w:rsidR="00806DDE" w:rsidRPr="001C3F98">
        <w:rPr>
          <w:rStyle w:val="Emphaseintense"/>
          <w:rFonts w:asciiTheme="majorBidi" w:hAnsiTheme="majorBidi" w:cstheme="majorBidi"/>
          <w:i w:val="0"/>
          <w:iCs w:val="0"/>
          <w:color w:val="auto"/>
          <w:sz w:val="24"/>
          <w:szCs w:val="24"/>
        </w:rPr>
        <w:t>SYSTEME D’ALERTE</w:t>
      </w:r>
    </w:p>
    <w:p w:rsidR="00780C14" w:rsidRDefault="00806DDE" w:rsidP="0087169F">
      <w:pPr>
        <w:autoSpaceDE w:val="0"/>
        <w:autoSpaceDN w:val="0"/>
        <w:adjustRightInd w:val="0"/>
        <w:spacing w:line="360" w:lineRule="auto"/>
        <w:jc w:val="both"/>
        <w:rPr>
          <w:rFonts w:asciiTheme="majorBidi" w:hAnsiTheme="majorBidi" w:cstheme="majorBidi"/>
          <w:bCs/>
          <w:sz w:val="24"/>
          <w:szCs w:val="24"/>
        </w:rPr>
      </w:pPr>
      <w:r>
        <w:rPr>
          <w:rFonts w:asciiTheme="majorBidi" w:hAnsiTheme="majorBidi" w:cstheme="majorBidi"/>
          <w:bCs/>
          <w:sz w:val="24"/>
          <w:szCs w:val="24"/>
        </w:rPr>
        <w:tab/>
      </w:r>
      <w:r w:rsidR="000D5A06">
        <w:rPr>
          <w:rFonts w:asciiTheme="majorBidi" w:hAnsiTheme="majorBidi" w:cstheme="majorBidi"/>
          <w:bCs/>
          <w:sz w:val="24"/>
          <w:szCs w:val="24"/>
        </w:rPr>
        <w:tab/>
      </w:r>
      <w:r w:rsidR="00C333A9" w:rsidRPr="00E812F3">
        <w:rPr>
          <w:rFonts w:asciiTheme="majorBidi" w:hAnsiTheme="majorBidi" w:cstheme="majorBidi"/>
          <w:bCs/>
          <w:sz w:val="24"/>
          <w:szCs w:val="24"/>
        </w:rPr>
        <w:t xml:space="preserve">Vu </w:t>
      </w:r>
      <w:r w:rsidR="0001712C" w:rsidRPr="00E812F3">
        <w:rPr>
          <w:rFonts w:asciiTheme="majorBidi" w:hAnsiTheme="majorBidi" w:cstheme="majorBidi"/>
          <w:bCs/>
          <w:sz w:val="24"/>
          <w:szCs w:val="24"/>
        </w:rPr>
        <w:t>la quantité importante des opérations</w:t>
      </w:r>
      <w:r w:rsidR="00500B6D" w:rsidRPr="00E812F3">
        <w:rPr>
          <w:rFonts w:asciiTheme="majorBidi" w:hAnsiTheme="majorBidi" w:cstheme="majorBidi"/>
          <w:bCs/>
          <w:sz w:val="24"/>
          <w:szCs w:val="24"/>
        </w:rPr>
        <w:t xml:space="preserve"> traitées chaque jour par les</w:t>
      </w:r>
      <w:r w:rsidR="0001712C" w:rsidRPr="00E812F3">
        <w:rPr>
          <w:rFonts w:asciiTheme="majorBidi" w:hAnsiTheme="majorBidi" w:cstheme="majorBidi"/>
          <w:bCs/>
          <w:sz w:val="24"/>
          <w:szCs w:val="24"/>
        </w:rPr>
        <w:t xml:space="preserve"> banque</w:t>
      </w:r>
      <w:r w:rsidR="00500B6D" w:rsidRPr="00E812F3">
        <w:rPr>
          <w:rFonts w:asciiTheme="majorBidi" w:hAnsiTheme="majorBidi" w:cstheme="majorBidi"/>
          <w:bCs/>
          <w:sz w:val="24"/>
          <w:szCs w:val="24"/>
        </w:rPr>
        <w:t>s</w:t>
      </w:r>
      <w:r w:rsidR="0001712C" w:rsidRPr="00E812F3">
        <w:rPr>
          <w:rFonts w:asciiTheme="majorBidi" w:hAnsiTheme="majorBidi" w:cstheme="majorBidi"/>
          <w:bCs/>
          <w:sz w:val="24"/>
          <w:szCs w:val="24"/>
        </w:rPr>
        <w:t>, l</w:t>
      </w:r>
      <w:r w:rsidR="00780C14" w:rsidRPr="00E812F3">
        <w:rPr>
          <w:rFonts w:asciiTheme="majorBidi" w:hAnsiTheme="majorBidi" w:cstheme="majorBidi"/>
          <w:bCs/>
          <w:sz w:val="24"/>
          <w:szCs w:val="24"/>
        </w:rPr>
        <w:t>a</w:t>
      </w:r>
      <w:r w:rsidR="0001712C" w:rsidRPr="00E812F3">
        <w:rPr>
          <w:rFonts w:asciiTheme="majorBidi" w:hAnsiTheme="majorBidi" w:cstheme="majorBidi"/>
          <w:bCs/>
          <w:sz w:val="24"/>
          <w:szCs w:val="24"/>
        </w:rPr>
        <w:t xml:space="preserve"> détection des opérations douteuses devient un tâche difficile</w:t>
      </w:r>
      <w:r w:rsidR="0087169F">
        <w:rPr>
          <w:rFonts w:asciiTheme="majorBidi" w:hAnsiTheme="majorBidi" w:cstheme="majorBidi"/>
          <w:bCs/>
          <w:sz w:val="24"/>
          <w:szCs w:val="24"/>
        </w:rPr>
        <w:t>, ce qui fait d’</w:t>
      </w:r>
      <w:r w:rsidR="0001712C" w:rsidRPr="00E812F3">
        <w:rPr>
          <w:rFonts w:asciiTheme="majorBidi" w:hAnsiTheme="majorBidi" w:cstheme="majorBidi"/>
          <w:bCs/>
          <w:sz w:val="24"/>
          <w:szCs w:val="24"/>
        </w:rPr>
        <w:t xml:space="preserve">un système efficace de détection des tentatives de fraude </w:t>
      </w:r>
      <w:r w:rsidR="00780C14" w:rsidRPr="00E812F3">
        <w:rPr>
          <w:rFonts w:asciiTheme="majorBidi" w:hAnsiTheme="majorBidi" w:cstheme="majorBidi"/>
          <w:bCs/>
          <w:sz w:val="24"/>
          <w:szCs w:val="24"/>
        </w:rPr>
        <w:t xml:space="preserve">un élément central </w:t>
      </w:r>
      <w:r w:rsidR="0001712C" w:rsidRPr="00E812F3">
        <w:rPr>
          <w:rFonts w:asciiTheme="majorBidi" w:hAnsiTheme="majorBidi" w:cstheme="majorBidi"/>
          <w:bCs/>
          <w:sz w:val="24"/>
          <w:szCs w:val="24"/>
        </w:rPr>
        <w:t>pour toute</w:t>
      </w:r>
      <w:r w:rsidR="00780C14" w:rsidRPr="00E812F3">
        <w:rPr>
          <w:rFonts w:asciiTheme="majorBidi" w:hAnsiTheme="majorBidi" w:cstheme="majorBidi"/>
          <w:bCs/>
          <w:sz w:val="24"/>
          <w:szCs w:val="24"/>
        </w:rPr>
        <w:t xml:space="preserve"> institution financière.</w:t>
      </w:r>
    </w:p>
    <w:p w:rsidR="00780C14" w:rsidRPr="00E812F3" w:rsidRDefault="0087169F" w:rsidP="008836DD">
      <w:pPr>
        <w:autoSpaceDE w:val="0"/>
        <w:autoSpaceDN w:val="0"/>
        <w:adjustRightInd w:val="0"/>
        <w:spacing w:after="0" w:line="360" w:lineRule="auto"/>
        <w:jc w:val="both"/>
        <w:rPr>
          <w:rFonts w:asciiTheme="majorBidi" w:hAnsiTheme="majorBidi" w:cstheme="majorBidi"/>
          <w:bCs/>
          <w:sz w:val="24"/>
          <w:szCs w:val="24"/>
        </w:rPr>
      </w:pPr>
      <w:r>
        <w:rPr>
          <w:rFonts w:asciiTheme="majorBidi" w:hAnsiTheme="majorBidi" w:cstheme="majorBidi"/>
          <w:bCs/>
          <w:sz w:val="24"/>
          <w:szCs w:val="24"/>
        </w:rPr>
        <w:tab/>
      </w:r>
      <w:r w:rsidR="00806DDE">
        <w:rPr>
          <w:rFonts w:asciiTheme="majorBidi" w:hAnsiTheme="majorBidi" w:cstheme="majorBidi"/>
          <w:bCs/>
          <w:sz w:val="24"/>
          <w:szCs w:val="24"/>
        </w:rPr>
        <w:tab/>
      </w:r>
      <w:r w:rsidR="00780C14" w:rsidRPr="00E812F3">
        <w:rPr>
          <w:rFonts w:asciiTheme="majorBidi" w:hAnsiTheme="majorBidi" w:cstheme="majorBidi"/>
          <w:bCs/>
          <w:sz w:val="24"/>
          <w:szCs w:val="24"/>
        </w:rPr>
        <w:t xml:space="preserve">D’après l’article 10 de la loi </w:t>
      </w:r>
      <w:r w:rsidR="0001712C" w:rsidRPr="00E812F3">
        <w:rPr>
          <w:rFonts w:asciiTheme="majorBidi" w:hAnsiTheme="majorBidi" w:cstheme="majorBidi"/>
          <w:bCs/>
          <w:sz w:val="24"/>
          <w:szCs w:val="24"/>
        </w:rPr>
        <w:t xml:space="preserve">n° </w:t>
      </w:r>
      <w:r w:rsidR="00780C14" w:rsidRPr="00E812F3">
        <w:rPr>
          <w:rFonts w:asciiTheme="majorBidi" w:hAnsiTheme="majorBidi" w:cstheme="majorBidi"/>
          <w:bCs/>
          <w:sz w:val="24"/>
          <w:szCs w:val="24"/>
        </w:rPr>
        <w:t>01-05 , les banques ,les établissements financiers ou les autres institutions financières apparentées sont tenus de se renseigner sur l’origine et la destination des fonds ainsi que sur l’objet de l’opération et l’identi</w:t>
      </w:r>
      <w:r>
        <w:rPr>
          <w:rFonts w:asciiTheme="majorBidi" w:hAnsiTheme="majorBidi" w:cstheme="majorBidi"/>
          <w:bCs/>
          <w:sz w:val="24"/>
          <w:szCs w:val="24"/>
        </w:rPr>
        <w:t>té des intervenants économiques</w:t>
      </w:r>
      <w:r w:rsidR="00780C14" w:rsidRPr="00E812F3">
        <w:rPr>
          <w:rFonts w:asciiTheme="majorBidi" w:hAnsiTheme="majorBidi" w:cstheme="majorBidi"/>
          <w:bCs/>
          <w:sz w:val="24"/>
          <w:szCs w:val="24"/>
        </w:rPr>
        <w:t>,</w:t>
      </w:r>
      <w:r>
        <w:rPr>
          <w:rFonts w:asciiTheme="majorBidi" w:hAnsiTheme="majorBidi" w:cstheme="majorBidi"/>
          <w:bCs/>
          <w:sz w:val="24"/>
          <w:szCs w:val="24"/>
        </w:rPr>
        <w:t xml:space="preserve"> </w:t>
      </w:r>
      <w:r w:rsidR="00780C14" w:rsidRPr="00E812F3">
        <w:rPr>
          <w:rFonts w:asciiTheme="majorBidi" w:hAnsiTheme="majorBidi" w:cstheme="majorBidi"/>
          <w:bCs/>
          <w:sz w:val="24"/>
          <w:szCs w:val="24"/>
        </w:rPr>
        <w:t>dés qu’une opération est effectuée dans des conditions de complexité inhabituelle ou injustifiée.</w:t>
      </w:r>
    </w:p>
    <w:p w:rsidR="008836DD" w:rsidRDefault="008836DD" w:rsidP="008836DD">
      <w:pPr>
        <w:autoSpaceDE w:val="0"/>
        <w:autoSpaceDN w:val="0"/>
        <w:adjustRightInd w:val="0"/>
        <w:spacing w:after="0" w:line="360" w:lineRule="auto"/>
        <w:jc w:val="both"/>
        <w:rPr>
          <w:rFonts w:asciiTheme="majorBidi" w:hAnsiTheme="majorBidi" w:cstheme="majorBidi"/>
          <w:bCs/>
          <w:sz w:val="24"/>
          <w:szCs w:val="24"/>
        </w:rPr>
      </w:pPr>
    </w:p>
    <w:p w:rsidR="00780C14" w:rsidRDefault="00806DDE" w:rsidP="008836DD">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bCs/>
          <w:sz w:val="24"/>
          <w:szCs w:val="24"/>
        </w:rPr>
        <w:tab/>
      </w:r>
      <w:r w:rsidR="0087169F">
        <w:rPr>
          <w:rFonts w:asciiTheme="majorBidi" w:hAnsiTheme="majorBidi" w:cstheme="majorBidi"/>
          <w:bCs/>
          <w:sz w:val="24"/>
          <w:szCs w:val="24"/>
        </w:rPr>
        <w:tab/>
      </w:r>
      <w:r w:rsidR="00500B6D" w:rsidRPr="00E812F3">
        <w:rPr>
          <w:rFonts w:asciiTheme="majorBidi" w:hAnsiTheme="majorBidi" w:cstheme="majorBidi"/>
          <w:bCs/>
          <w:sz w:val="24"/>
          <w:szCs w:val="24"/>
        </w:rPr>
        <w:t>A cet effet et</w:t>
      </w:r>
      <w:r w:rsidR="008836DD">
        <w:rPr>
          <w:rFonts w:asciiTheme="majorBidi" w:hAnsiTheme="majorBidi" w:cstheme="majorBidi"/>
          <w:bCs/>
          <w:sz w:val="24"/>
          <w:szCs w:val="24"/>
        </w:rPr>
        <w:t xml:space="preserve"> pour</w:t>
      </w:r>
      <w:r w:rsidR="00500B6D" w:rsidRPr="00E812F3">
        <w:rPr>
          <w:rFonts w:asciiTheme="majorBidi" w:hAnsiTheme="majorBidi" w:cstheme="majorBidi"/>
          <w:bCs/>
          <w:sz w:val="24"/>
          <w:szCs w:val="24"/>
        </w:rPr>
        <w:t xml:space="preserve"> faire face à ces </w:t>
      </w:r>
      <w:r w:rsidR="00780C14" w:rsidRPr="00E812F3">
        <w:rPr>
          <w:rFonts w:asciiTheme="majorBidi" w:hAnsiTheme="majorBidi" w:cstheme="majorBidi"/>
          <w:bCs/>
          <w:sz w:val="24"/>
          <w:szCs w:val="24"/>
        </w:rPr>
        <w:t>opérations de caractère complexe</w:t>
      </w:r>
      <w:r w:rsidR="0087169F">
        <w:rPr>
          <w:rFonts w:asciiTheme="majorBidi" w:hAnsiTheme="majorBidi" w:cstheme="majorBidi"/>
          <w:bCs/>
          <w:sz w:val="24"/>
          <w:szCs w:val="24"/>
        </w:rPr>
        <w:t>, inhabituel et injustifié, la b</w:t>
      </w:r>
      <w:r w:rsidR="0001712C" w:rsidRPr="00E812F3">
        <w:rPr>
          <w:rFonts w:asciiTheme="majorBidi" w:hAnsiTheme="majorBidi" w:cstheme="majorBidi"/>
          <w:bCs/>
          <w:sz w:val="24"/>
          <w:szCs w:val="24"/>
        </w:rPr>
        <w:t>anque d’</w:t>
      </w:r>
      <w:r w:rsidR="00780C14" w:rsidRPr="00E812F3">
        <w:rPr>
          <w:rFonts w:asciiTheme="majorBidi" w:hAnsiTheme="majorBidi" w:cstheme="majorBidi"/>
          <w:bCs/>
          <w:sz w:val="24"/>
          <w:szCs w:val="24"/>
        </w:rPr>
        <w:t>A</w:t>
      </w:r>
      <w:r w:rsidR="0001712C" w:rsidRPr="00E812F3">
        <w:rPr>
          <w:rFonts w:asciiTheme="majorBidi" w:hAnsiTheme="majorBidi" w:cstheme="majorBidi"/>
          <w:bCs/>
          <w:sz w:val="24"/>
          <w:szCs w:val="24"/>
        </w:rPr>
        <w:t>lgérie</w:t>
      </w:r>
      <w:r w:rsidR="00780C14" w:rsidRPr="00E812F3">
        <w:rPr>
          <w:rFonts w:asciiTheme="majorBidi" w:hAnsiTheme="majorBidi" w:cstheme="majorBidi"/>
          <w:bCs/>
          <w:sz w:val="24"/>
          <w:szCs w:val="24"/>
        </w:rPr>
        <w:t xml:space="preserve"> </w:t>
      </w:r>
      <w:r w:rsidR="00500B6D" w:rsidRPr="00E812F3">
        <w:rPr>
          <w:rFonts w:asciiTheme="majorBidi" w:hAnsiTheme="majorBidi" w:cstheme="majorBidi"/>
          <w:bCs/>
          <w:sz w:val="24"/>
          <w:szCs w:val="24"/>
        </w:rPr>
        <w:t xml:space="preserve">a obligé </w:t>
      </w:r>
      <w:r w:rsidR="00780C14" w:rsidRPr="00E812F3">
        <w:rPr>
          <w:rFonts w:asciiTheme="majorBidi" w:hAnsiTheme="majorBidi" w:cstheme="majorBidi"/>
          <w:bCs/>
          <w:sz w:val="24"/>
          <w:szCs w:val="24"/>
        </w:rPr>
        <w:t>les institutions financières</w:t>
      </w:r>
      <w:r w:rsidR="00780C14" w:rsidRPr="00E812F3">
        <w:rPr>
          <w:rFonts w:asciiTheme="majorBidi" w:hAnsiTheme="majorBidi" w:cstheme="majorBidi"/>
          <w:sz w:val="24"/>
          <w:szCs w:val="24"/>
        </w:rPr>
        <w:t xml:space="preserve"> de disposer de systèmes permettant, pour tous les comptes, de déceler les activités ayant un caractère inhabituel ou suspect.</w:t>
      </w:r>
      <w:r w:rsidR="008836DD">
        <w:rPr>
          <w:rFonts w:asciiTheme="majorBidi" w:hAnsiTheme="majorBidi" w:cstheme="majorBidi"/>
          <w:sz w:val="24"/>
          <w:szCs w:val="24"/>
        </w:rPr>
        <w:t xml:space="preserve"> </w:t>
      </w:r>
      <w:r w:rsidR="00780C14" w:rsidRPr="00E812F3">
        <w:rPr>
          <w:rFonts w:asciiTheme="majorBidi" w:hAnsiTheme="majorBidi" w:cstheme="majorBidi"/>
          <w:sz w:val="24"/>
          <w:szCs w:val="24"/>
        </w:rPr>
        <w:t>Pour ces opérations, les banques, les établissements financiers et les services financiers d’Algérie-poste sont tenus de se renseigner sur l’origine et la destination des fonds ainsi que sur l’objet de l’opération</w:t>
      </w:r>
      <w:r w:rsidR="008836DD">
        <w:rPr>
          <w:rFonts w:asciiTheme="majorBidi" w:hAnsiTheme="majorBidi" w:cstheme="majorBidi"/>
          <w:sz w:val="24"/>
          <w:szCs w:val="24"/>
        </w:rPr>
        <w:t>.</w:t>
      </w:r>
    </w:p>
    <w:p w:rsidR="00C21282" w:rsidRDefault="0087169F" w:rsidP="00806DDE">
      <w:pPr>
        <w:autoSpaceDE w:val="0"/>
        <w:autoSpaceDN w:val="0"/>
        <w:adjustRightInd w:val="0"/>
        <w:spacing w:before="240" w:after="0" w:line="360" w:lineRule="auto"/>
        <w:jc w:val="both"/>
        <w:rPr>
          <w:rFonts w:asciiTheme="majorBidi" w:hAnsiTheme="majorBidi" w:cstheme="majorBidi"/>
          <w:bCs/>
          <w:sz w:val="24"/>
          <w:szCs w:val="24"/>
        </w:rPr>
      </w:pPr>
      <w:r>
        <w:rPr>
          <w:rFonts w:asciiTheme="majorBidi" w:hAnsiTheme="majorBidi" w:cstheme="majorBidi"/>
          <w:bCs/>
          <w:sz w:val="24"/>
          <w:szCs w:val="24"/>
        </w:rPr>
        <w:tab/>
      </w:r>
      <w:r w:rsidR="00806DDE">
        <w:rPr>
          <w:rFonts w:asciiTheme="majorBidi" w:hAnsiTheme="majorBidi" w:cstheme="majorBidi"/>
          <w:bCs/>
          <w:sz w:val="24"/>
          <w:szCs w:val="24"/>
        </w:rPr>
        <w:tab/>
      </w:r>
      <w:r w:rsidR="00780C14" w:rsidRPr="00E812F3">
        <w:rPr>
          <w:rFonts w:asciiTheme="majorBidi" w:hAnsiTheme="majorBidi" w:cstheme="majorBidi"/>
          <w:bCs/>
          <w:sz w:val="24"/>
          <w:szCs w:val="24"/>
        </w:rPr>
        <w:t>En fait, aujourd’hui la plupart des grands groupes bancaires disposent de système informatisé comme le logiciel SONAR</w:t>
      </w:r>
      <w:r w:rsidR="00780C14" w:rsidRPr="00E812F3">
        <w:rPr>
          <w:rStyle w:val="Appelnotedebasdep"/>
          <w:rFonts w:asciiTheme="majorBidi" w:hAnsiTheme="majorBidi" w:cstheme="majorBidi"/>
          <w:bCs/>
          <w:sz w:val="24"/>
          <w:szCs w:val="24"/>
        </w:rPr>
        <w:footnoteReference w:id="17"/>
      </w:r>
      <w:r w:rsidR="00780C14" w:rsidRPr="00E812F3">
        <w:rPr>
          <w:rFonts w:asciiTheme="majorBidi" w:hAnsiTheme="majorBidi" w:cstheme="majorBidi"/>
          <w:bCs/>
          <w:sz w:val="24"/>
          <w:szCs w:val="24"/>
        </w:rPr>
        <w:t xml:space="preserve"> </w:t>
      </w:r>
      <w:r w:rsidR="00500B6D" w:rsidRPr="00E812F3">
        <w:rPr>
          <w:rFonts w:asciiTheme="majorBidi" w:hAnsiTheme="majorBidi" w:cstheme="majorBidi"/>
          <w:bCs/>
          <w:sz w:val="24"/>
          <w:szCs w:val="24"/>
        </w:rPr>
        <w:t>allemand, considéré</w:t>
      </w:r>
      <w:r w:rsidR="00780C14" w:rsidRPr="00E812F3">
        <w:rPr>
          <w:rFonts w:asciiTheme="majorBidi" w:hAnsiTheme="majorBidi" w:cstheme="majorBidi"/>
          <w:bCs/>
          <w:sz w:val="24"/>
          <w:szCs w:val="24"/>
        </w:rPr>
        <w:t xml:space="preserve"> comme l’un des plus modernes et performants du </w:t>
      </w:r>
      <w:r w:rsidR="00500B6D" w:rsidRPr="00E812F3">
        <w:rPr>
          <w:rFonts w:asciiTheme="majorBidi" w:hAnsiTheme="majorBidi" w:cstheme="majorBidi"/>
          <w:bCs/>
          <w:sz w:val="24"/>
          <w:szCs w:val="24"/>
        </w:rPr>
        <w:t>moment</w:t>
      </w:r>
      <w:r w:rsidR="00C21282">
        <w:rPr>
          <w:rFonts w:asciiTheme="majorBidi" w:hAnsiTheme="majorBidi" w:cstheme="majorBidi"/>
          <w:bCs/>
          <w:sz w:val="24"/>
          <w:szCs w:val="24"/>
        </w:rPr>
        <w:t xml:space="preserve">. Il est </w:t>
      </w:r>
      <w:r w:rsidR="00500B6D" w:rsidRPr="00E812F3">
        <w:rPr>
          <w:rFonts w:asciiTheme="majorBidi" w:hAnsiTheme="majorBidi" w:cstheme="majorBidi"/>
          <w:bCs/>
          <w:sz w:val="24"/>
          <w:szCs w:val="24"/>
        </w:rPr>
        <w:t>mis</w:t>
      </w:r>
      <w:r w:rsidR="00780C14" w:rsidRPr="00E812F3">
        <w:rPr>
          <w:rFonts w:asciiTheme="majorBidi" w:hAnsiTheme="majorBidi" w:cstheme="majorBidi"/>
          <w:bCs/>
          <w:sz w:val="24"/>
          <w:szCs w:val="24"/>
        </w:rPr>
        <w:t xml:space="preserve"> en place auprès des banques populaires</w:t>
      </w:r>
      <w:r w:rsidR="00C21282">
        <w:rPr>
          <w:rFonts w:asciiTheme="majorBidi" w:hAnsiTheme="majorBidi" w:cstheme="majorBidi"/>
          <w:bCs/>
          <w:sz w:val="24"/>
          <w:szCs w:val="24"/>
        </w:rPr>
        <w:t xml:space="preserve"> en Allemagne</w:t>
      </w:r>
      <w:r w:rsidR="00780C14" w:rsidRPr="00E812F3">
        <w:rPr>
          <w:rFonts w:asciiTheme="majorBidi" w:hAnsiTheme="majorBidi" w:cstheme="majorBidi"/>
          <w:bCs/>
          <w:sz w:val="24"/>
          <w:szCs w:val="24"/>
        </w:rPr>
        <w:t xml:space="preserve"> depuis l’été 2004</w:t>
      </w:r>
      <w:r w:rsidR="00500B6D" w:rsidRPr="00E812F3">
        <w:rPr>
          <w:rFonts w:asciiTheme="majorBidi" w:hAnsiTheme="majorBidi" w:cstheme="majorBidi"/>
          <w:bCs/>
          <w:sz w:val="24"/>
          <w:szCs w:val="24"/>
        </w:rPr>
        <w:t>.</w:t>
      </w:r>
    </w:p>
    <w:p w:rsidR="00F804A0" w:rsidRDefault="00806DDE" w:rsidP="0087169F">
      <w:pPr>
        <w:autoSpaceDE w:val="0"/>
        <w:autoSpaceDN w:val="0"/>
        <w:adjustRightInd w:val="0"/>
        <w:spacing w:before="240" w:line="360" w:lineRule="auto"/>
        <w:jc w:val="both"/>
        <w:rPr>
          <w:rFonts w:asciiTheme="majorBidi" w:hAnsiTheme="majorBidi" w:cstheme="majorBidi"/>
          <w:bCs/>
          <w:sz w:val="24"/>
          <w:szCs w:val="24"/>
        </w:rPr>
      </w:pPr>
      <w:r>
        <w:rPr>
          <w:rFonts w:asciiTheme="majorBidi" w:hAnsiTheme="majorBidi" w:cstheme="majorBidi"/>
          <w:bCs/>
          <w:sz w:val="24"/>
          <w:szCs w:val="24"/>
        </w:rPr>
        <w:tab/>
      </w:r>
      <w:r w:rsidR="0087169F">
        <w:rPr>
          <w:rFonts w:asciiTheme="majorBidi" w:hAnsiTheme="majorBidi" w:cstheme="majorBidi"/>
          <w:bCs/>
          <w:sz w:val="24"/>
          <w:szCs w:val="24"/>
        </w:rPr>
        <w:tab/>
      </w:r>
      <w:r w:rsidR="00500B6D" w:rsidRPr="00E812F3">
        <w:rPr>
          <w:rFonts w:asciiTheme="majorBidi" w:hAnsiTheme="majorBidi" w:cstheme="majorBidi"/>
          <w:bCs/>
          <w:sz w:val="24"/>
          <w:szCs w:val="24"/>
        </w:rPr>
        <w:t xml:space="preserve">Il </w:t>
      </w:r>
      <w:r w:rsidR="00585A76" w:rsidRPr="00E812F3">
        <w:rPr>
          <w:rFonts w:asciiTheme="majorBidi" w:hAnsiTheme="majorBidi" w:cstheme="majorBidi"/>
          <w:bCs/>
          <w:sz w:val="24"/>
          <w:szCs w:val="24"/>
        </w:rPr>
        <w:t xml:space="preserve">est </w:t>
      </w:r>
      <w:r w:rsidR="00500B6D" w:rsidRPr="00E812F3">
        <w:rPr>
          <w:rFonts w:asciiTheme="majorBidi" w:hAnsiTheme="majorBidi" w:cstheme="majorBidi"/>
          <w:bCs/>
          <w:sz w:val="24"/>
          <w:szCs w:val="24"/>
        </w:rPr>
        <w:t xml:space="preserve">à noter que </w:t>
      </w:r>
      <w:r w:rsidR="00780C14" w:rsidRPr="00E812F3">
        <w:rPr>
          <w:rFonts w:asciiTheme="majorBidi" w:hAnsiTheme="majorBidi" w:cstheme="majorBidi"/>
          <w:bCs/>
          <w:sz w:val="24"/>
          <w:szCs w:val="24"/>
        </w:rPr>
        <w:t>l’immense volume des flux financiers auquel une grande banque est confrontée, ne peut pas être géré et contrôlé par des p</w:t>
      </w:r>
      <w:r w:rsidR="00860100" w:rsidRPr="00E812F3">
        <w:rPr>
          <w:rFonts w:asciiTheme="majorBidi" w:hAnsiTheme="majorBidi" w:cstheme="majorBidi"/>
          <w:bCs/>
          <w:sz w:val="24"/>
          <w:szCs w:val="24"/>
        </w:rPr>
        <w:t xml:space="preserve">rocédures manuelles </w:t>
      </w:r>
      <w:r w:rsidR="00C21282">
        <w:rPr>
          <w:rFonts w:asciiTheme="majorBidi" w:hAnsiTheme="majorBidi" w:cstheme="majorBidi"/>
          <w:bCs/>
          <w:sz w:val="24"/>
          <w:szCs w:val="24"/>
        </w:rPr>
        <w:t xml:space="preserve">comme celles </w:t>
      </w:r>
      <w:r w:rsidR="00B61A24">
        <w:rPr>
          <w:rFonts w:asciiTheme="majorBidi" w:hAnsiTheme="majorBidi" w:cstheme="majorBidi"/>
          <w:bCs/>
          <w:sz w:val="24"/>
          <w:szCs w:val="24"/>
        </w:rPr>
        <w:t xml:space="preserve">adoptées </w:t>
      </w:r>
      <w:r w:rsidR="00780C14" w:rsidRPr="00E812F3">
        <w:rPr>
          <w:rFonts w:asciiTheme="majorBidi" w:hAnsiTheme="majorBidi" w:cstheme="majorBidi"/>
          <w:bCs/>
          <w:sz w:val="24"/>
          <w:szCs w:val="24"/>
        </w:rPr>
        <w:t xml:space="preserve">par les banques </w:t>
      </w:r>
      <w:r w:rsidR="00C21282">
        <w:rPr>
          <w:rFonts w:asciiTheme="majorBidi" w:hAnsiTheme="majorBidi" w:cstheme="majorBidi"/>
          <w:bCs/>
          <w:sz w:val="24"/>
          <w:szCs w:val="24"/>
        </w:rPr>
        <w:t xml:space="preserve">algérienne </w:t>
      </w:r>
      <w:r w:rsidR="0087169F">
        <w:rPr>
          <w:rFonts w:asciiTheme="majorBidi" w:hAnsiTheme="majorBidi" w:cstheme="majorBidi"/>
          <w:bCs/>
          <w:sz w:val="24"/>
          <w:szCs w:val="24"/>
        </w:rPr>
        <w:t>qui justifient cette carence par leur</w:t>
      </w:r>
      <w:r w:rsidR="00860100" w:rsidRPr="00E812F3">
        <w:rPr>
          <w:rFonts w:asciiTheme="majorBidi" w:hAnsiTheme="majorBidi" w:cstheme="majorBidi"/>
          <w:bCs/>
          <w:sz w:val="24"/>
          <w:szCs w:val="24"/>
        </w:rPr>
        <w:t xml:space="preserve"> </w:t>
      </w:r>
      <w:r w:rsidR="00306E06">
        <w:rPr>
          <w:rFonts w:asciiTheme="majorBidi" w:hAnsiTheme="majorBidi" w:cstheme="majorBidi"/>
          <w:bCs/>
          <w:sz w:val="24"/>
          <w:szCs w:val="24"/>
        </w:rPr>
        <w:t>interconnexion réduite</w:t>
      </w:r>
      <w:r w:rsidR="00B61A24">
        <w:rPr>
          <w:rFonts w:asciiTheme="majorBidi" w:hAnsiTheme="majorBidi" w:cstheme="majorBidi"/>
          <w:bCs/>
          <w:sz w:val="24"/>
          <w:szCs w:val="24"/>
        </w:rPr>
        <w:t xml:space="preserve"> avec la s</w:t>
      </w:r>
      <w:r w:rsidR="006737E9">
        <w:rPr>
          <w:rFonts w:asciiTheme="majorBidi" w:hAnsiTheme="majorBidi" w:cstheme="majorBidi"/>
          <w:bCs/>
          <w:sz w:val="24"/>
          <w:szCs w:val="24"/>
        </w:rPr>
        <w:t>phère financière internationale</w:t>
      </w:r>
      <w:r w:rsidR="00860100" w:rsidRPr="00E812F3">
        <w:rPr>
          <w:rFonts w:asciiTheme="majorBidi" w:hAnsiTheme="majorBidi" w:cstheme="majorBidi"/>
          <w:bCs/>
          <w:sz w:val="24"/>
          <w:szCs w:val="24"/>
        </w:rPr>
        <w:t>.</w:t>
      </w:r>
    </w:p>
    <w:p w:rsidR="00B35169" w:rsidRDefault="00B35169" w:rsidP="00C21282">
      <w:pPr>
        <w:autoSpaceDE w:val="0"/>
        <w:autoSpaceDN w:val="0"/>
        <w:adjustRightInd w:val="0"/>
        <w:spacing w:after="0" w:line="360" w:lineRule="auto"/>
        <w:jc w:val="both"/>
        <w:rPr>
          <w:rFonts w:asciiTheme="majorBidi" w:hAnsiTheme="majorBidi" w:cstheme="majorBidi"/>
          <w:bCs/>
          <w:sz w:val="24"/>
          <w:szCs w:val="24"/>
        </w:rPr>
      </w:pPr>
    </w:p>
    <w:p w:rsidR="00E341D7" w:rsidRDefault="00E341D7" w:rsidP="00C21282">
      <w:pPr>
        <w:autoSpaceDE w:val="0"/>
        <w:autoSpaceDN w:val="0"/>
        <w:adjustRightInd w:val="0"/>
        <w:spacing w:after="0" w:line="360" w:lineRule="auto"/>
        <w:jc w:val="both"/>
        <w:rPr>
          <w:rFonts w:asciiTheme="majorBidi" w:hAnsiTheme="majorBidi" w:cstheme="majorBidi"/>
          <w:bCs/>
          <w:sz w:val="24"/>
          <w:szCs w:val="24"/>
        </w:rPr>
      </w:pPr>
    </w:p>
    <w:p w:rsidR="00780C14" w:rsidRPr="00E341D7" w:rsidRDefault="00806DDE" w:rsidP="00E341D7">
      <w:pPr>
        <w:pStyle w:val="Paragraphedeliste"/>
        <w:numPr>
          <w:ilvl w:val="0"/>
          <w:numId w:val="21"/>
        </w:numPr>
        <w:tabs>
          <w:tab w:val="left" w:pos="284"/>
        </w:tabs>
        <w:autoSpaceDE w:val="0"/>
        <w:autoSpaceDN w:val="0"/>
        <w:adjustRightInd w:val="0"/>
        <w:spacing w:after="0" w:line="360" w:lineRule="auto"/>
        <w:ind w:left="0" w:firstLine="0"/>
        <w:jc w:val="both"/>
        <w:rPr>
          <w:rStyle w:val="Emphaseintense"/>
          <w:rFonts w:asciiTheme="majorBidi" w:hAnsiTheme="majorBidi" w:cstheme="majorBidi"/>
          <w:i w:val="0"/>
          <w:iCs w:val="0"/>
          <w:color w:val="auto"/>
          <w:sz w:val="24"/>
          <w:szCs w:val="24"/>
        </w:rPr>
      </w:pPr>
      <w:r w:rsidRPr="00E341D7">
        <w:rPr>
          <w:rStyle w:val="Emphaseintense"/>
          <w:rFonts w:asciiTheme="majorBidi" w:hAnsiTheme="majorBidi" w:cstheme="majorBidi"/>
          <w:i w:val="0"/>
          <w:iCs w:val="0"/>
          <w:color w:val="auto"/>
          <w:sz w:val="24"/>
          <w:szCs w:val="24"/>
        </w:rPr>
        <w:t>LA DECLARATION DE SOUPÇON</w:t>
      </w:r>
    </w:p>
    <w:p w:rsidR="00780C14" w:rsidRPr="00E812F3" w:rsidRDefault="00806DDE" w:rsidP="00E812F3">
      <w:pPr>
        <w:pStyle w:val="Style13ptJustifiPremireligne095cmAvant18ptApr"/>
        <w:autoSpaceDE w:val="0"/>
        <w:autoSpaceDN w:val="0"/>
        <w:adjustRightInd w:val="0"/>
        <w:spacing w:after="240"/>
        <w:ind w:firstLine="0"/>
        <w:rPr>
          <w:rStyle w:val="Style13pt"/>
          <w:rFonts w:asciiTheme="majorBidi" w:hAnsiTheme="majorBidi" w:cstheme="majorBidi"/>
          <w:szCs w:val="24"/>
        </w:rPr>
      </w:pPr>
      <w:r>
        <w:rPr>
          <w:rStyle w:val="Style13pt"/>
          <w:rFonts w:asciiTheme="majorBidi" w:hAnsiTheme="majorBidi" w:cstheme="majorBidi"/>
          <w:szCs w:val="24"/>
        </w:rPr>
        <w:tab/>
      </w:r>
      <w:r w:rsidR="006737E9">
        <w:rPr>
          <w:rStyle w:val="Style13pt"/>
          <w:rFonts w:asciiTheme="majorBidi" w:hAnsiTheme="majorBidi" w:cstheme="majorBidi"/>
          <w:szCs w:val="24"/>
        </w:rPr>
        <w:tab/>
      </w:r>
      <w:r w:rsidR="00780C14" w:rsidRPr="00E812F3">
        <w:rPr>
          <w:rStyle w:val="Style13pt"/>
          <w:rFonts w:asciiTheme="majorBidi" w:hAnsiTheme="majorBidi" w:cstheme="majorBidi"/>
          <w:szCs w:val="24"/>
        </w:rPr>
        <w:t>D</w:t>
      </w:r>
      <w:r w:rsidR="00275972" w:rsidRPr="00E812F3">
        <w:rPr>
          <w:rStyle w:val="Style13pt"/>
          <w:rFonts w:asciiTheme="majorBidi" w:hAnsiTheme="majorBidi" w:cstheme="majorBidi"/>
          <w:szCs w:val="24"/>
        </w:rPr>
        <w:t>éclarer une opération suspecte équivaut au déclenchement de l’état d’alerte, c</w:t>
      </w:r>
      <w:r w:rsidR="00780C14" w:rsidRPr="00E812F3">
        <w:rPr>
          <w:rStyle w:val="Style13pt"/>
          <w:rFonts w:asciiTheme="majorBidi" w:hAnsiTheme="majorBidi" w:cstheme="majorBidi"/>
          <w:szCs w:val="24"/>
        </w:rPr>
        <w:t>’est le premier pas à faire dans un processus long d’investigation mais une telle obligation peut aussi être considérée comme une façon pour dissuader les criminels d’utiliser les banques à des fins criminelles.</w:t>
      </w:r>
    </w:p>
    <w:p w:rsidR="00780C14" w:rsidRPr="00E812F3" w:rsidRDefault="00806DDE" w:rsidP="001C5E3D">
      <w:pPr>
        <w:autoSpaceDE w:val="0"/>
        <w:autoSpaceDN w:val="0"/>
        <w:adjustRightInd w:val="0"/>
        <w:spacing w:line="360" w:lineRule="auto"/>
        <w:jc w:val="both"/>
        <w:rPr>
          <w:rFonts w:asciiTheme="majorBidi" w:hAnsiTheme="majorBidi" w:cstheme="majorBidi"/>
          <w:sz w:val="24"/>
          <w:szCs w:val="24"/>
        </w:rPr>
      </w:pPr>
      <w:r>
        <w:rPr>
          <w:rStyle w:val="Style13pt"/>
          <w:rFonts w:asciiTheme="majorBidi" w:hAnsiTheme="majorBidi" w:cstheme="majorBidi"/>
          <w:szCs w:val="24"/>
        </w:rPr>
        <w:tab/>
      </w:r>
      <w:r w:rsidR="006737E9">
        <w:rPr>
          <w:rStyle w:val="Style13pt"/>
          <w:rFonts w:asciiTheme="majorBidi" w:hAnsiTheme="majorBidi" w:cstheme="majorBidi"/>
          <w:szCs w:val="24"/>
        </w:rPr>
        <w:tab/>
      </w:r>
      <w:r w:rsidR="00780C14" w:rsidRPr="00E812F3">
        <w:rPr>
          <w:rStyle w:val="Style13pt"/>
          <w:rFonts w:asciiTheme="majorBidi" w:hAnsiTheme="majorBidi" w:cstheme="majorBidi"/>
          <w:szCs w:val="24"/>
        </w:rPr>
        <w:t xml:space="preserve">Cette obligation a </w:t>
      </w:r>
      <w:r w:rsidR="00275972" w:rsidRPr="00E812F3">
        <w:rPr>
          <w:rStyle w:val="Style13pt"/>
          <w:rFonts w:asciiTheme="majorBidi" w:hAnsiTheme="majorBidi" w:cstheme="majorBidi"/>
          <w:szCs w:val="24"/>
        </w:rPr>
        <w:t xml:space="preserve">été </w:t>
      </w:r>
      <w:r w:rsidR="001C5E3D">
        <w:rPr>
          <w:rStyle w:val="Style13pt"/>
          <w:rFonts w:asciiTheme="majorBidi" w:hAnsiTheme="majorBidi" w:cstheme="majorBidi"/>
          <w:szCs w:val="24"/>
        </w:rPr>
        <w:t>adoptée par le législateur algérien</w:t>
      </w:r>
      <w:r w:rsidR="00275972" w:rsidRPr="00E812F3">
        <w:rPr>
          <w:rStyle w:val="Style13pt"/>
          <w:rFonts w:asciiTheme="majorBidi" w:hAnsiTheme="majorBidi" w:cstheme="majorBidi"/>
          <w:szCs w:val="24"/>
        </w:rPr>
        <w:t xml:space="preserve"> </w:t>
      </w:r>
      <w:r w:rsidR="001C5E3D">
        <w:rPr>
          <w:rStyle w:val="Style13pt"/>
          <w:rFonts w:asciiTheme="majorBidi" w:hAnsiTheme="majorBidi" w:cstheme="majorBidi"/>
          <w:szCs w:val="24"/>
        </w:rPr>
        <w:t>à travers</w:t>
      </w:r>
      <w:r w:rsidR="00780C14" w:rsidRPr="00E812F3">
        <w:rPr>
          <w:rStyle w:val="Style13pt"/>
          <w:rFonts w:asciiTheme="majorBidi" w:hAnsiTheme="majorBidi" w:cstheme="majorBidi"/>
          <w:szCs w:val="24"/>
        </w:rPr>
        <w:t xml:space="preserve"> l’article 19 de la loi 01-05</w:t>
      </w:r>
      <w:r w:rsidR="001C5E3D">
        <w:rPr>
          <w:rFonts w:asciiTheme="majorBidi" w:hAnsiTheme="majorBidi" w:cstheme="majorBidi"/>
          <w:sz w:val="24"/>
          <w:szCs w:val="24"/>
        </w:rPr>
        <w:t xml:space="preserve"> et </w:t>
      </w:r>
      <w:r w:rsidR="00780C14" w:rsidRPr="00E812F3">
        <w:rPr>
          <w:rStyle w:val="Style13pt"/>
          <w:rFonts w:asciiTheme="majorBidi" w:hAnsiTheme="majorBidi" w:cstheme="majorBidi"/>
          <w:szCs w:val="24"/>
        </w:rPr>
        <w:t>l’article 11</w:t>
      </w:r>
      <w:r w:rsidR="004D7191" w:rsidRPr="00E812F3">
        <w:rPr>
          <w:rStyle w:val="Style13pt"/>
          <w:rFonts w:asciiTheme="majorBidi" w:hAnsiTheme="majorBidi" w:cstheme="majorBidi"/>
          <w:szCs w:val="24"/>
        </w:rPr>
        <w:t xml:space="preserve"> </w:t>
      </w:r>
      <w:r w:rsidR="006737E9">
        <w:rPr>
          <w:rStyle w:val="Style13pt"/>
          <w:rFonts w:asciiTheme="majorBidi" w:hAnsiTheme="majorBidi" w:cstheme="majorBidi"/>
          <w:szCs w:val="24"/>
        </w:rPr>
        <w:t>du règlement 05-05 de la b</w:t>
      </w:r>
      <w:r w:rsidR="004D7191" w:rsidRPr="00E812F3">
        <w:rPr>
          <w:rStyle w:val="Style13pt"/>
          <w:rFonts w:asciiTheme="majorBidi" w:hAnsiTheme="majorBidi" w:cstheme="majorBidi"/>
          <w:szCs w:val="24"/>
        </w:rPr>
        <w:t>anque d’</w:t>
      </w:r>
      <w:r w:rsidR="00780C14" w:rsidRPr="00E812F3">
        <w:rPr>
          <w:rStyle w:val="Style13pt"/>
          <w:rFonts w:asciiTheme="majorBidi" w:hAnsiTheme="majorBidi" w:cstheme="majorBidi"/>
          <w:szCs w:val="24"/>
        </w:rPr>
        <w:t>A</w:t>
      </w:r>
      <w:r w:rsidR="004D7191" w:rsidRPr="00E812F3">
        <w:rPr>
          <w:rStyle w:val="Style13pt"/>
          <w:rFonts w:asciiTheme="majorBidi" w:hAnsiTheme="majorBidi" w:cstheme="majorBidi"/>
          <w:szCs w:val="24"/>
        </w:rPr>
        <w:t xml:space="preserve">lgérie </w:t>
      </w:r>
      <w:r w:rsidR="00780C14" w:rsidRPr="00E812F3">
        <w:rPr>
          <w:rStyle w:val="Style13pt"/>
          <w:rFonts w:asciiTheme="majorBidi" w:hAnsiTheme="majorBidi" w:cstheme="majorBidi"/>
          <w:szCs w:val="24"/>
        </w:rPr>
        <w:t>qui stipule que </w:t>
      </w:r>
      <w:r w:rsidR="00780C14" w:rsidRPr="00E812F3">
        <w:rPr>
          <w:rFonts w:asciiTheme="majorBidi" w:hAnsiTheme="majorBidi" w:cstheme="majorBidi"/>
          <w:b/>
          <w:bCs/>
          <w:sz w:val="24"/>
          <w:szCs w:val="24"/>
        </w:rPr>
        <w:t xml:space="preserve"> </w:t>
      </w:r>
      <w:r w:rsidR="001C5E3D">
        <w:rPr>
          <w:rFonts w:asciiTheme="majorBidi" w:hAnsiTheme="majorBidi" w:cstheme="majorBidi"/>
          <w:sz w:val="24"/>
          <w:szCs w:val="24"/>
        </w:rPr>
        <w:t>l</w:t>
      </w:r>
      <w:r w:rsidR="00780C14" w:rsidRPr="00E812F3">
        <w:rPr>
          <w:rFonts w:asciiTheme="majorBidi" w:hAnsiTheme="majorBidi" w:cstheme="majorBidi"/>
          <w:sz w:val="24"/>
          <w:szCs w:val="24"/>
        </w:rPr>
        <w:t xml:space="preserve">es banques, les établissements financiers et les services financiers d’Algérie-poste sont soumis à l’obligation légale de déclaration de soupçon dans les formes réglementaires et à en requérir </w:t>
      </w:r>
      <w:r w:rsidR="004D7191" w:rsidRPr="00E812F3">
        <w:rPr>
          <w:rFonts w:asciiTheme="majorBidi" w:hAnsiTheme="majorBidi" w:cstheme="majorBidi"/>
          <w:sz w:val="24"/>
          <w:szCs w:val="24"/>
        </w:rPr>
        <w:t xml:space="preserve">un </w:t>
      </w:r>
      <w:r w:rsidR="00780C14" w:rsidRPr="00E812F3">
        <w:rPr>
          <w:rFonts w:asciiTheme="majorBidi" w:hAnsiTheme="majorBidi" w:cstheme="majorBidi"/>
          <w:sz w:val="24"/>
          <w:szCs w:val="24"/>
        </w:rPr>
        <w:t>accusé de réception.</w:t>
      </w:r>
    </w:p>
    <w:p w:rsidR="00780C14" w:rsidRPr="00E812F3" w:rsidRDefault="00806DDE" w:rsidP="006737E9">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ab/>
      </w:r>
      <w:r w:rsidR="006737E9">
        <w:rPr>
          <w:rFonts w:asciiTheme="majorBidi" w:hAnsiTheme="majorBidi" w:cstheme="majorBidi"/>
          <w:sz w:val="24"/>
          <w:szCs w:val="24"/>
        </w:rPr>
        <w:tab/>
      </w:r>
      <w:r w:rsidR="00EF736D">
        <w:rPr>
          <w:rFonts w:asciiTheme="majorBidi" w:hAnsiTheme="majorBidi" w:cstheme="majorBidi"/>
          <w:sz w:val="24"/>
          <w:szCs w:val="24"/>
        </w:rPr>
        <w:t>A la lumière de ces articles, l</w:t>
      </w:r>
      <w:r w:rsidR="00780C14" w:rsidRPr="00E812F3">
        <w:rPr>
          <w:rFonts w:asciiTheme="majorBidi" w:hAnsiTheme="majorBidi" w:cstheme="majorBidi"/>
          <w:sz w:val="24"/>
          <w:szCs w:val="24"/>
        </w:rPr>
        <w:t>es banques et les établissements financi</w:t>
      </w:r>
      <w:r w:rsidR="006737E9">
        <w:rPr>
          <w:rFonts w:asciiTheme="majorBidi" w:hAnsiTheme="majorBidi" w:cstheme="majorBidi"/>
          <w:sz w:val="24"/>
          <w:szCs w:val="24"/>
        </w:rPr>
        <w:t xml:space="preserve">ers doivent déclarer à la CTRF toutes les opérations qui </w:t>
      </w:r>
      <w:r w:rsidR="00780C14" w:rsidRPr="00E812F3">
        <w:rPr>
          <w:rFonts w:asciiTheme="majorBidi" w:hAnsiTheme="majorBidi" w:cstheme="majorBidi"/>
          <w:sz w:val="24"/>
          <w:szCs w:val="24"/>
        </w:rPr>
        <w:t>porte</w:t>
      </w:r>
      <w:r w:rsidR="006737E9">
        <w:rPr>
          <w:rFonts w:asciiTheme="majorBidi" w:hAnsiTheme="majorBidi" w:cstheme="majorBidi"/>
          <w:sz w:val="24"/>
          <w:szCs w:val="24"/>
        </w:rPr>
        <w:t>nt</w:t>
      </w:r>
      <w:r w:rsidR="00780C14" w:rsidRPr="00E812F3">
        <w:rPr>
          <w:rFonts w:asciiTheme="majorBidi" w:hAnsiTheme="majorBidi" w:cstheme="majorBidi"/>
          <w:sz w:val="24"/>
          <w:szCs w:val="24"/>
        </w:rPr>
        <w:t xml:space="preserve"> sur des fonds paraissant provenir d’un crime ou d’un délit notamment</w:t>
      </w:r>
      <w:r w:rsidR="004D7191" w:rsidRPr="00E812F3">
        <w:rPr>
          <w:rFonts w:asciiTheme="majorBidi" w:hAnsiTheme="majorBidi" w:cstheme="majorBidi"/>
          <w:sz w:val="24"/>
          <w:szCs w:val="24"/>
        </w:rPr>
        <w:t>,</w:t>
      </w:r>
      <w:r w:rsidR="006737E9">
        <w:rPr>
          <w:rFonts w:asciiTheme="majorBidi" w:hAnsiTheme="majorBidi" w:cstheme="majorBidi"/>
          <w:sz w:val="24"/>
          <w:szCs w:val="24"/>
        </w:rPr>
        <w:t xml:space="preserve"> le crime organisé et</w:t>
      </w:r>
      <w:r w:rsidR="00780C14" w:rsidRPr="00E812F3">
        <w:rPr>
          <w:rFonts w:asciiTheme="majorBidi" w:hAnsiTheme="majorBidi" w:cstheme="majorBidi"/>
          <w:sz w:val="24"/>
          <w:szCs w:val="24"/>
        </w:rPr>
        <w:t xml:space="preserve"> le trafic de stupéfiants et de substances psychotropes ou en relation avec le financement du terrorisme. Les déclarations de soupçon doivent être faites dès qu’il y a soupçon, même s’il a été impossible de surseoir à l’exécution des opérations ou postérieurement à leur réalisation.</w:t>
      </w:r>
      <w:r w:rsidR="004D7191" w:rsidRPr="00E812F3">
        <w:rPr>
          <w:rFonts w:asciiTheme="majorBidi" w:hAnsiTheme="majorBidi" w:cstheme="majorBidi"/>
          <w:sz w:val="24"/>
          <w:szCs w:val="24"/>
        </w:rPr>
        <w:t xml:space="preserve"> Aussi, les banques sont tenues d’informer la CTRF, sans délai, de t</w:t>
      </w:r>
      <w:r w:rsidR="00780C14" w:rsidRPr="00E812F3">
        <w:rPr>
          <w:rFonts w:asciiTheme="majorBidi" w:hAnsiTheme="majorBidi" w:cstheme="majorBidi"/>
          <w:sz w:val="24"/>
          <w:szCs w:val="24"/>
        </w:rPr>
        <w:t>out élément tendant à renfo</w:t>
      </w:r>
      <w:r w:rsidR="00EF736D">
        <w:rPr>
          <w:rFonts w:asciiTheme="majorBidi" w:hAnsiTheme="majorBidi" w:cstheme="majorBidi"/>
          <w:sz w:val="24"/>
          <w:szCs w:val="24"/>
        </w:rPr>
        <w:t>rcer le soupçon ou à l’infirmer.</w:t>
      </w:r>
    </w:p>
    <w:p w:rsidR="00780C14" w:rsidRPr="00E812F3" w:rsidRDefault="00806DDE" w:rsidP="00E812F3">
      <w:pPr>
        <w:autoSpaceDE w:val="0"/>
        <w:autoSpaceDN w:val="0"/>
        <w:adjustRightInd w:val="0"/>
        <w:spacing w:after="0" w:line="360" w:lineRule="auto"/>
        <w:jc w:val="both"/>
        <w:rPr>
          <w:rStyle w:val="Style13pt"/>
          <w:rFonts w:asciiTheme="majorBidi" w:hAnsiTheme="majorBidi" w:cstheme="majorBidi"/>
          <w:color w:val="FF0000"/>
          <w:szCs w:val="24"/>
        </w:rPr>
      </w:pPr>
      <w:r>
        <w:rPr>
          <w:rFonts w:asciiTheme="majorBidi" w:hAnsiTheme="majorBidi" w:cstheme="majorBidi"/>
          <w:sz w:val="24"/>
          <w:szCs w:val="24"/>
        </w:rPr>
        <w:tab/>
      </w:r>
      <w:r w:rsidR="00780C14" w:rsidRPr="00E812F3">
        <w:rPr>
          <w:rFonts w:asciiTheme="majorBidi" w:hAnsiTheme="majorBidi" w:cstheme="majorBidi"/>
          <w:sz w:val="24"/>
          <w:szCs w:val="24"/>
        </w:rPr>
        <w:t xml:space="preserve">La déclaration de soupçon doit être faite conformément au modèle réglementaire </w:t>
      </w:r>
      <w:r w:rsidR="00456F7C">
        <w:rPr>
          <w:rFonts w:asciiTheme="majorBidi" w:hAnsiTheme="majorBidi" w:cstheme="majorBidi"/>
          <w:sz w:val="24"/>
          <w:szCs w:val="24"/>
        </w:rPr>
        <w:t>(voir annexe 7</w:t>
      </w:r>
      <w:r w:rsidR="00780C14" w:rsidRPr="00456F7C">
        <w:rPr>
          <w:rFonts w:asciiTheme="majorBidi" w:hAnsiTheme="majorBidi" w:cstheme="majorBidi"/>
          <w:sz w:val="24"/>
          <w:szCs w:val="24"/>
        </w:rPr>
        <w:t>)</w:t>
      </w:r>
      <w:r w:rsidR="006737E9">
        <w:rPr>
          <w:rFonts w:asciiTheme="majorBidi" w:hAnsiTheme="majorBidi" w:cstheme="majorBidi"/>
          <w:sz w:val="24"/>
          <w:szCs w:val="24"/>
        </w:rPr>
        <w:t>.</w:t>
      </w:r>
    </w:p>
    <w:p w:rsidR="00780C14" w:rsidRPr="00EF736D" w:rsidRDefault="00FB24D5" w:rsidP="00FB24D5">
      <w:pPr>
        <w:pStyle w:val="Paragraphedeliste"/>
        <w:numPr>
          <w:ilvl w:val="1"/>
          <w:numId w:val="19"/>
        </w:numPr>
        <w:tabs>
          <w:tab w:val="left" w:pos="426"/>
        </w:tabs>
        <w:autoSpaceDE w:val="0"/>
        <w:autoSpaceDN w:val="0"/>
        <w:adjustRightInd w:val="0"/>
        <w:spacing w:before="360" w:after="240" w:line="360" w:lineRule="auto"/>
        <w:ind w:left="0" w:right="-137" w:firstLine="0"/>
        <w:jc w:val="both"/>
        <w:outlineLvl w:val="2"/>
        <w:rPr>
          <w:rStyle w:val="Emphaseintense"/>
          <w:rFonts w:asciiTheme="majorBidi" w:hAnsiTheme="majorBidi" w:cstheme="majorBidi"/>
          <w:i w:val="0"/>
          <w:iCs w:val="0"/>
          <w:color w:val="auto"/>
          <w:sz w:val="24"/>
          <w:szCs w:val="24"/>
        </w:rPr>
      </w:pPr>
      <w:bookmarkStart w:id="30" w:name="_Toc214819894"/>
      <w:bookmarkStart w:id="31" w:name="_Toc213679734"/>
      <w:bookmarkStart w:id="32" w:name="_Toc215034479"/>
      <w:bookmarkStart w:id="33" w:name="_Toc246078301"/>
      <w:r>
        <w:rPr>
          <w:rStyle w:val="Emphaseintense"/>
          <w:rFonts w:asciiTheme="majorBidi" w:hAnsiTheme="majorBidi" w:cstheme="majorBidi"/>
          <w:i w:val="0"/>
          <w:iCs w:val="0"/>
          <w:color w:val="auto"/>
          <w:sz w:val="24"/>
          <w:szCs w:val="24"/>
        </w:rPr>
        <w:t>L’o</w:t>
      </w:r>
      <w:r w:rsidR="00780C14" w:rsidRPr="00EF736D">
        <w:rPr>
          <w:rStyle w:val="Emphaseintense"/>
          <w:rFonts w:asciiTheme="majorBidi" w:hAnsiTheme="majorBidi" w:cstheme="majorBidi"/>
          <w:i w:val="0"/>
          <w:iCs w:val="0"/>
          <w:color w:val="auto"/>
          <w:sz w:val="24"/>
          <w:szCs w:val="24"/>
        </w:rPr>
        <w:t xml:space="preserve">bjet de la </w:t>
      </w:r>
      <w:bookmarkEnd w:id="30"/>
      <w:bookmarkEnd w:id="31"/>
      <w:r w:rsidR="00780C14" w:rsidRPr="00EF736D">
        <w:rPr>
          <w:rStyle w:val="Emphaseintense"/>
          <w:rFonts w:asciiTheme="majorBidi" w:hAnsiTheme="majorBidi" w:cstheme="majorBidi"/>
          <w:i w:val="0"/>
          <w:iCs w:val="0"/>
          <w:color w:val="auto"/>
          <w:sz w:val="24"/>
          <w:szCs w:val="24"/>
        </w:rPr>
        <w:t>déclaration de soupçon</w:t>
      </w:r>
      <w:bookmarkEnd w:id="32"/>
      <w:bookmarkEnd w:id="33"/>
    </w:p>
    <w:p w:rsidR="00780C14" w:rsidRPr="00E812F3" w:rsidRDefault="00780C14" w:rsidP="00EF736D">
      <w:pPr>
        <w:autoSpaceDE w:val="0"/>
        <w:autoSpaceDN w:val="0"/>
        <w:adjustRightInd w:val="0"/>
        <w:spacing w:line="360" w:lineRule="auto"/>
        <w:jc w:val="both"/>
        <w:rPr>
          <w:rFonts w:asciiTheme="majorBidi" w:hAnsiTheme="majorBidi" w:cstheme="majorBidi"/>
          <w:sz w:val="24"/>
          <w:szCs w:val="24"/>
        </w:rPr>
      </w:pPr>
      <w:r w:rsidRPr="00E812F3">
        <w:rPr>
          <w:rFonts w:asciiTheme="majorBidi" w:hAnsiTheme="majorBidi" w:cstheme="majorBidi"/>
          <w:sz w:val="24"/>
          <w:szCs w:val="24"/>
        </w:rPr>
        <w:t xml:space="preserve"> </w:t>
      </w:r>
      <w:r w:rsidR="00806DDE">
        <w:rPr>
          <w:rFonts w:asciiTheme="majorBidi" w:hAnsiTheme="majorBidi" w:cstheme="majorBidi"/>
          <w:sz w:val="24"/>
          <w:szCs w:val="24"/>
        </w:rPr>
        <w:tab/>
      </w:r>
      <w:r w:rsidR="006737E9">
        <w:rPr>
          <w:rFonts w:asciiTheme="majorBidi" w:hAnsiTheme="majorBidi" w:cstheme="majorBidi"/>
          <w:sz w:val="24"/>
          <w:szCs w:val="24"/>
        </w:rPr>
        <w:tab/>
      </w:r>
      <w:r w:rsidRPr="00E812F3">
        <w:rPr>
          <w:rFonts w:asciiTheme="majorBidi" w:hAnsiTheme="majorBidi" w:cstheme="majorBidi"/>
          <w:sz w:val="24"/>
          <w:szCs w:val="24"/>
        </w:rPr>
        <w:t xml:space="preserve">La fin des années 80 et le début des années 90 ont été marqués par une vive controverse </w:t>
      </w:r>
      <w:r w:rsidR="0074194F" w:rsidRPr="00E812F3">
        <w:rPr>
          <w:rFonts w:asciiTheme="majorBidi" w:hAnsiTheme="majorBidi" w:cstheme="majorBidi"/>
          <w:sz w:val="24"/>
          <w:szCs w:val="24"/>
        </w:rPr>
        <w:t>au sujet d</w:t>
      </w:r>
      <w:r w:rsidRPr="00E812F3">
        <w:rPr>
          <w:rFonts w:asciiTheme="majorBidi" w:hAnsiTheme="majorBidi" w:cstheme="majorBidi"/>
          <w:sz w:val="24"/>
          <w:szCs w:val="24"/>
        </w:rPr>
        <w:t>e savoir si les institutions déclarantes devaient déclarer toutes les opérations supérieures à un montant déterminé, ou, uniquement les opérations qui semblaient liées à une activité délictueuse, ou celles qui satisfaisaient aux deux cri</w:t>
      </w:r>
      <w:r w:rsidR="0074194F" w:rsidRPr="00E812F3">
        <w:rPr>
          <w:rFonts w:asciiTheme="majorBidi" w:hAnsiTheme="majorBidi" w:cstheme="majorBidi"/>
          <w:sz w:val="24"/>
          <w:szCs w:val="24"/>
        </w:rPr>
        <w:t>tères à la fois. Les premières r</w:t>
      </w:r>
      <w:r w:rsidRPr="00E812F3">
        <w:rPr>
          <w:rFonts w:asciiTheme="majorBidi" w:hAnsiTheme="majorBidi" w:cstheme="majorBidi"/>
          <w:sz w:val="24"/>
          <w:szCs w:val="24"/>
        </w:rPr>
        <w:t xml:space="preserve">ecommandations du GAFI, publiées en 1990, indiquaient que les pays devaient veiller à ce que les institutions financières accordent une attention particulière aux opérations suspectes; examiner leur arrière-plan et tenir les résultats à la disposition des autorités de contrôle, des </w:t>
      </w:r>
      <w:r w:rsidRPr="00E812F3">
        <w:rPr>
          <w:rFonts w:asciiTheme="majorBidi" w:hAnsiTheme="majorBidi" w:cstheme="majorBidi"/>
          <w:sz w:val="24"/>
          <w:szCs w:val="24"/>
        </w:rPr>
        <w:lastRenderedPageBreak/>
        <w:t>commissaires aux comptes et des organismes de police</w:t>
      </w:r>
      <w:r w:rsidR="00EF736D">
        <w:rPr>
          <w:rStyle w:val="Appelnotedebasdep"/>
          <w:rFonts w:asciiTheme="majorBidi" w:hAnsiTheme="majorBidi" w:cstheme="majorBidi"/>
          <w:sz w:val="24"/>
          <w:szCs w:val="24"/>
        </w:rPr>
        <w:footnoteReference w:id="18"/>
      </w:r>
      <w:r w:rsidRPr="00E812F3">
        <w:rPr>
          <w:rFonts w:asciiTheme="majorBidi" w:hAnsiTheme="majorBidi" w:cstheme="majorBidi"/>
          <w:sz w:val="24"/>
          <w:szCs w:val="24"/>
        </w:rPr>
        <w:t>. En réalité, les pays étaient incités à réfléchir à la faisabilité et à l’utilité d’un système de déclaration différent, axé sur l’obligation de déclarer à une agence centrale les opérations supérieures à un certain m</w:t>
      </w:r>
      <w:r w:rsidR="006737E9">
        <w:rPr>
          <w:rFonts w:asciiTheme="majorBidi" w:hAnsiTheme="majorBidi" w:cstheme="majorBidi"/>
          <w:sz w:val="24"/>
          <w:szCs w:val="24"/>
        </w:rPr>
        <w:t>ontant. Suite à l’adoption des r</w:t>
      </w:r>
      <w:r w:rsidRPr="00E812F3">
        <w:rPr>
          <w:rFonts w:asciiTheme="majorBidi" w:hAnsiTheme="majorBidi" w:cstheme="majorBidi"/>
          <w:sz w:val="24"/>
          <w:szCs w:val="24"/>
        </w:rPr>
        <w:t>ecommandations révisées du GAFI de 1996, la déclaration des opérations suspectes est devenue une norme internationale</w:t>
      </w:r>
      <w:r w:rsidRPr="00E812F3">
        <w:rPr>
          <w:rStyle w:val="Appelnotedebasdep"/>
          <w:rFonts w:asciiTheme="majorBidi" w:hAnsiTheme="majorBidi" w:cstheme="majorBidi"/>
          <w:sz w:val="24"/>
          <w:szCs w:val="24"/>
        </w:rPr>
        <w:footnoteReference w:id="19"/>
      </w:r>
      <w:r w:rsidRPr="00E812F3">
        <w:rPr>
          <w:rFonts w:asciiTheme="majorBidi" w:hAnsiTheme="majorBidi" w:cstheme="majorBidi"/>
          <w:sz w:val="24"/>
          <w:szCs w:val="24"/>
        </w:rPr>
        <w:t>.</w:t>
      </w:r>
    </w:p>
    <w:p w:rsidR="00780C14" w:rsidRDefault="00806DDE" w:rsidP="002C52E2">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ab/>
      </w:r>
      <w:r w:rsidR="003B2D15">
        <w:rPr>
          <w:rFonts w:asciiTheme="majorBidi" w:hAnsiTheme="majorBidi" w:cstheme="majorBidi"/>
          <w:sz w:val="24"/>
          <w:szCs w:val="24"/>
        </w:rPr>
        <w:tab/>
      </w:r>
      <w:r w:rsidR="002C52E2">
        <w:rPr>
          <w:rFonts w:asciiTheme="majorBidi" w:hAnsiTheme="majorBidi" w:cstheme="majorBidi"/>
          <w:sz w:val="24"/>
          <w:szCs w:val="24"/>
        </w:rPr>
        <w:t>Par ailleurs, d</w:t>
      </w:r>
      <w:r w:rsidR="00780C14" w:rsidRPr="00E812F3">
        <w:rPr>
          <w:rFonts w:asciiTheme="majorBidi" w:hAnsiTheme="majorBidi" w:cstheme="majorBidi"/>
          <w:sz w:val="24"/>
          <w:szCs w:val="24"/>
        </w:rPr>
        <w:t>ans certains pays, notamment aux États-Unis, les institutions financières sont tenues de déclarer les «activités suspectes» plutôt que les «opérations suspectes». La première expression a une signification plus large que la seconde, puisqu’elle comprend les opérations suspectes ainsi que d’autres circonstances qui font naître des soupçons d’activités criminelles.</w:t>
      </w:r>
    </w:p>
    <w:p w:rsidR="00780C14" w:rsidRDefault="00806DDE" w:rsidP="003B2D15">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ab/>
      </w:r>
      <w:r w:rsidR="003B2D15">
        <w:rPr>
          <w:rFonts w:asciiTheme="majorBidi" w:hAnsiTheme="majorBidi" w:cstheme="majorBidi"/>
          <w:sz w:val="24"/>
          <w:szCs w:val="24"/>
        </w:rPr>
        <w:tab/>
      </w:r>
      <w:r w:rsidR="00780C14" w:rsidRPr="00E812F3">
        <w:rPr>
          <w:rFonts w:asciiTheme="majorBidi" w:hAnsiTheme="majorBidi" w:cstheme="majorBidi"/>
          <w:sz w:val="24"/>
          <w:szCs w:val="24"/>
        </w:rPr>
        <w:t xml:space="preserve">Au fait, la différence entre les deux expressions </w:t>
      </w:r>
      <w:r w:rsidR="00AD2819" w:rsidRPr="00E812F3">
        <w:rPr>
          <w:rFonts w:asciiTheme="majorBidi" w:hAnsiTheme="majorBidi" w:cstheme="majorBidi"/>
          <w:sz w:val="24"/>
          <w:szCs w:val="24"/>
        </w:rPr>
        <w:t xml:space="preserve">est dans l’objet </w:t>
      </w:r>
      <w:r w:rsidR="0074194F" w:rsidRPr="00E812F3">
        <w:rPr>
          <w:rFonts w:asciiTheme="majorBidi" w:hAnsiTheme="majorBidi" w:cstheme="majorBidi"/>
          <w:sz w:val="24"/>
          <w:szCs w:val="24"/>
        </w:rPr>
        <w:t xml:space="preserve">de la déclaration de </w:t>
      </w:r>
      <w:r w:rsidR="003B2D15">
        <w:rPr>
          <w:rFonts w:asciiTheme="majorBidi" w:hAnsiTheme="majorBidi" w:cstheme="majorBidi"/>
          <w:sz w:val="24"/>
          <w:szCs w:val="24"/>
        </w:rPr>
        <w:t>soupçon par lequel</w:t>
      </w:r>
      <w:r w:rsidR="00AD2819" w:rsidRPr="00E812F3">
        <w:rPr>
          <w:rFonts w:asciiTheme="majorBidi" w:hAnsiTheme="majorBidi" w:cstheme="majorBidi"/>
          <w:sz w:val="24"/>
          <w:szCs w:val="24"/>
        </w:rPr>
        <w:t xml:space="preserve"> le</w:t>
      </w:r>
      <w:r w:rsidR="00780C14" w:rsidRPr="00E812F3">
        <w:rPr>
          <w:rFonts w:asciiTheme="majorBidi" w:hAnsiTheme="majorBidi" w:cstheme="majorBidi"/>
          <w:sz w:val="24"/>
          <w:szCs w:val="24"/>
        </w:rPr>
        <w:t>s entités déclarantes doivent signaler les opérations qui n’ont pas été exécutées si les circonstances qui ont entraîné leur non-exécution sont suspectes,</w:t>
      </w:r>
      <w:r w:rsidR="002C52E2">
        <w:rPr>
          <w:rFonts w:asciiTheme="majorBidi" w:hAnsiTheme="majorBidi" w:cstheme="majorBidi"/>
          <w:sz w:val="24"/>
          <w:szCs w:val="24"/>
        </w:rPr>
        <w:t xml:space="preserve">  </w:t>
      </w:r>
      <w:r w:rsidR="00780C14" w:rsidRPr="00E812F3">
        <w:rPr>
          <w:rFonts w:asciiTheme="majorBidi" w:hAnsiTheme="majorBidi" w:cstheme="majorBidi"/>
          <w:sz w:val="24"/>
          <w:szCs w:val="24"/>
        </w:rPr>
        <w:t>règle que l’on retrouve aujourd’hui dans de nombreux pays.</w:t>
      </w:r>
    </w:p>
    <w:p w:rsidR="00BE78C4" w:rsidRPr="00E812F3" w:rsidRDefault="00BE78C4" w:rsidP="00BE78C4">
      <w:pPr>
        <w:tabs>
          <w:tab w:val="left" w:pos="284"/>
          <w:tab w:val="left" w:pos="567"/>
          <w:tab w:val="left" w:pos="709"/>
        </w:tabs>
        <w:autoSpaceDE w:val="0"/>
        <w:autoSpaceDN w:val="0"/>
        <w:adjustRightInd w:val="0"/>
        <w:spacing w:before="360" w:after="240" w:line="36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Pr="00E812F3">
        <w:rPr>
          <w:rFonts w:asciiTheme="majorBidi" w:hAnsiTheme="majorBidi" w:cstheme="majorBidi"/>
          <w:sz w:val="24"/>
          <w:szCs w:val="24"/>
        </w:rPr>
        <w:t xml:space="preserve">Par exemple, </w:t>
      </w:r>
      <w:r>
        <w:rPr>
          <w:rFonts w:asciiTheme="majorBidi" w:hAnsiTheme="majorBidi" w:cstheme="majorBidi"/>
          <w:sz w:val="24"/>
          <w:szCs w:val="24"/>
        </w:rPr>
        <w:t xml:space="preserve">les </w:t>
      </w:r>
      <w:r w:rsidRPr="00E812F3">
        <w:rPr>
          <w:rFonts w:asciiTheme="majorBidi" w:hAnsiTheme="majorBidi" w:cstheme="majorBidi"/>
          <w:sz w:val="24"/>
          <w:szCs w:val="24"/>
        </w:rPr>
        <w:t>lois du Royaume-Uni et de l’É</w:t>
      </w:r>
      <w:r>
        <w:rPr>
          <w:rFonts w:asciiTheme="majorBidi" w:hAnsiTheme="majorBidi" w:cstheme="majorBidi"/>
          <w:sz w:val="24"/>
          <w:szCs w:val="24"/>
        </w:rPr>
        <w:t>cosse attribuent</w:t>
      </w:r>
      <w:r w:rsidRPr="00E812F3">
        <w:rPr>
          <w:rFonts w:asciiTheme="majorBidi" w:hAnsiTheme="majorBidi" w:cstheme="majorBidi"/>
          <w:sz w:val="24"/>
          <w:szCs w:val="24"/>
        </w:rPr>
        <w:t xml:space="preserve"> le sens ordinaire du terme anglais «suspicion» </w:t>
      </w:r>
      <w:r>
        <w:rPr>
          <w:rFonts w:asciiTheme="majorBidi" w:hAnsiTheme="majorBidi" w:cstheme="majorBidi"/>
          <w:sz w:val="24"/>
          <w:szCs w:val="24"/>
        </w:rPr>
        <w:t xml:space="preserve">qui </w:t>
      </w:r>
      <w:r w:rsidRPr="00E812F3">
        <w:rPr>
          <w:rFonts w:asciiTheme="majorBidi" w:hAnsiTheme="majorBidi" w:cstheme="majorBidi"/>
          <w:sz w:val="24"/>
          <w:szCs w:val="24"/>
        </w:rPr>
        <w:t>comprend l’idée «d’imaginer quelque chose sans preuve ou sur la base d’indices ténus»</w:t>
      </w:r>
      <w:r w:rsidRPr="00E812F3">
        <w:rPr>
          <w:rStyle w:val="Appelnotedebasdep"/>
          <w:rFonts w:asciiTheme="majorBidi" w:hAnsiTheme="majorBidi" w:cstheme="majorBidi"/>
          <w:sz w:val="24"/>
          <w:szCs w:val="24"/>
        </w:rPr>
        <w:footnoteReference w:id="20"/>
      </w:r>
      <w:r w:rsidRPr="00E812F3">
        <w:rPr>
          <w:rFonts w:asciiTheme="majorBidi" w:hAnsiTheme="majorBidi" w:cstheme="majorBidi"/>
          <w:sz w:val="24"/>
          <w:szCs w:val="24"/>
        </w:rPr>
        <w:t>. En français, le terme «soupçon» a un certain nombre de sens, dont certains impliquent des indices très minces, par exemple «une simple conjecture, avis, hypothèse ou intuition…»</w:t>
      </w:r>
      <w:r w:rsidRPr="00E812F3">
        <w:rPr>
          <w:rStyle w:val="Appelnotedebasdep"/>
          <w:rFonts w:asciiTheme="majorBidi" w:hAnsiTheme="majorBidi" w:cstheme="majorBidi"/>
          <w:sz w:val="24"/>
          <w:szCs w:val="24"/>
        </w:rPr>
        <w:footnoteReference w:id="21"/>
      </w:r>
      <w:r w:rsidRPr="00E812F3">
        <w:rPr>
          <w:rFonts w:asciiTheme="majorBidi" w:hAnsiTheme="majorBidi" w:cstheme="majorBidi"/>
          <w:sz w:val="24"/>
          <w:szCs w:val="24"/>
        </w:rPr>
        <w:t>. Bien que ces définitions n’aient pas force de loi, elles montrent clairement que les termes «suspecte» et «soupçon» peuvent avoir une série de significations différentes.</w:t>
      </w:r>
    </w:p>
    <w:p w:rsidR="00780C14" w:rsidRPr="00E812F3" w:rsidRDefault="003B2D15" w:rsidP="000A4AC2">
      <w:pPr>
        <w:autoSpaceDE w:val="0"/>
        <w:autoSpaceDN w:val="0"/>
        <w:adjustRightInd w:val="0"/>
        <w:spacing w:line="360" w:lineRule="auto"/>
        <w:jc w:val="both"/>
        <w:rPr>
          <w:rFonts w:asciiTheme="majorBidi" w:hAnsiTheme="majorBidi" w:cstheme="majorBidi"/>
          <w:sz w:val="24"/>
          <w:szCs w:val="24"/>
        </w:rPr>
      </w:pPr>
      <w:r>
        <w:rPr>
          <w:rStyle w:val="Style13pt"/>
          <w:rFonts w:asciiTheme="majorBidi" w:hAnsiTheme="majorBidi" w:cstheme="majorBidi"/>
          <w:szCs w:val="24"/>
        </w:rPr>
        <w:tab/>
      </w:r>
      <w:r>
        <w:rPr>
          <w:rStyle w:val="Style13pt"/>
          <w:rFonts w:asciiTheme="majorBidi" w:hAnsiTheme="majorBidi" w:cstheme="majorBidi"/>
          <w:szCs w:val="24"/>
        </w:rPr>
        <w:tab/>
      </w:r>
      <w:r w:rsidR="00780C14" w:rsidRPr="00E812F3">
        <w:rPr>
          <w:rStyle w:val="Style13pt"/>
          <w:rFonts w:asciiTheme="majorBidi" w:hAnsiTheme="majorBidi" w:cstheme="majorBidi"/>
          <w:szCs w:val="24"/>
        </w:rPr>
        <w:t xml:space="preserve">En ce qui concerne la </w:t>
      </w:r>
      <w:r w:rsidR="002C52E2">
        <w:rPr>
          <w:rStyle w:val="Style13pt"/>
          <w:rFonts w:asciiTheme="majorBidi" w:hAnsiTheme="majorBidi" w:cstheme="majorBidi"/>
          <w:szCs w:val="24"/>
        </w:rPr>
        <w:t>réglementation</w:t>
      </w:r>
      <w:r w:rsidR="00780C14" w:rsidRPr="00E812F3">
        <w:rPr>
          <w:rStyle w:val="Style13pt"/>
          <w:rFonts w:asciiTheme="majorBidi" w:hAnsiTheme="majorBidi" w:cstheme="majorBidi"/>
          <w:szCs w:val="24"/>
        </w:rPr>
        <w:t xml:space="preserve"> </w:t>
      </w:r>
      <w:r w:rsidR="002C52E2">
        <w:rPr>
          <w:rStyle w:val="Style13pt"/>
          <w:rFonts w:asciiTheme="majorBidi" w:hAnsiTheme="majorBidi" w:cstheme="majorBidi"/>
          <w:szCs w:val="24"/>
        </w:rPr>
        <w:t>a</w:t>
      </w:r>
      <w:r w:rsidR="00780C14" w:rsidRPr="00E812F3">
        <w:rPr>
          <w:rStyle w:val="Style13pt"/>
          <w:rFonts w:asciiTheme="majorBidi" w:hAnsiTheme="majorBidi" w:cstheme="majorBidi"/>
          <w:szCs w:val="24"/>
        </w:rPr>
        <w:t xml:space="preserve">lgérienne, </w:t>
      </w:r>
      <w:r w:rsidR="002C52E2">
        <w:rPr>
          <w:rStyle w:val="Style13pt"/>
          <w:rFonts w:asciiTheme="majorBidi" w:hAnsiTheme="majorBidi" w:cstheme="majorBidi"/>
          <w:szCs w:val="24"/>
        </w:rPr>
        <w:t xml:space="preserve">le législateur algérien </w:t>
      </w:r>
      <w:r w:rsidR="00E578BE">
        <w:rPr>
          <w:rStyle w:val="Style13pt"/>
          <w:rFonts w:asciiTheme="majorBidi" w:hAnsiTheme="majorBidi" w:cstheme="majorBidi"/>
          <w:szCs w:val="24"/>
        </w:rPr>
        <w:t xml:space="preserve">a limité le champ d’action des banquiers en fixant les </w:t>
      </w:r>
      <w:r w:rsidR="00E578BE" w:rsidRPr="00E812F3">
        <w:rPr>
          <w:rFonts w:asciiTheme="majorBidi" w:hAnsiTheme="majorBidi" w:cstheme="majorBidi"/>
          <w:sz w:val="24"/>
          <w:szCs w:val="24"/>
        </w:rPr>
        <w:t>particularités</w:t>
      </w:r>
      <w:r w:rsidR="00E578BE">
        <w:rPr>
          <w:rFonts w:asciiTheme="majorBidi" w:hAnsiTheme="majorBidi" w:cstheme="majorBidi"/>
          <w:sz w:val="24"/>
          <w:szCs w:val="24"/>
        </w:rPr>
        <w:t xml:space="preserve"> des</w:t>
      </w:r>
      <w:r w:rsidR="00E578BE">
        <w:rPr>
          <w:rStyle w:val="Style13pt"/>
          <w:rFonts w:asciiTheme="majorBidi" w:hAnsiTheme="majorBidi" w:cstheme="majorBidi"/>
          <w:szCs w:val="24"/>
        </w:rPr>
        <w:t xml:space="preserve"> opérations qui peuvent faire </w:t>
      </w:r>
      <w:r w:rsidR="00E578BE">
        <w:rPr>
          <w:rStyle w:val="Style13pt"/>
          <w:rFonts w:asciiTheme="majorBidi" w:hAnsiTheme="majorBidi" w:cstheme="majorBidi"/>
          <w:szCs w:val="24"/>
        </w:rPr>
        <w:lastRenderedPageBreak/>
        <w:t>l’objet d’une déclaration de soupçon. Les</w:t>
      </w:r>
      <w:r w:rsidR="000A4AC2">
        <w:rPr>
          <w:rStyle w:val="Style13pt"/>
          <w:rFonts w:asciiTheme="majorBidi" w:hAnsiTheme="majorBidi" w:cstheme="majorBidi"/>
          <w:szCs w:val="24"/>
        </w:rPr>
        <w:t xml:space="preserve"> particularités de ces opérations inhabituelles et suspectes</w:t>
      </w:r>
      <w:r w:rsidR="00E578BE">
        <w:rPr>
          <w:rStyle w:val="Style13pt"/>
          <w:rFonts w:asciiTheme="majorBidi" w:hAnsiTheme="majorBidi" w:cstheme="majorBidi"/>
          <w:szCs w:val="24"/>
        </w:rPr>
        <w:t xml:space="preserve"> sont </w:t>
      </w:r>
      <w:r w:rsidR="000A4AC2">
        <w:rPr>
          <w:rStyle w:val="Style13pt"/>
          <w:rFonts w:asciiTheme="majorBidi" w:hAnsiTheme="majorBidi" w:cstheme="majorBidi"/>
          <w:szCs w:val="24"/>
        </w:rPr>
        <w:t>citées ci-après</w:t>
      </w:r>
      <w:r w:rsidR="00780C14" w:rsidRPr="00E812F3">
        <w:rPr>
          <w:rStyle w:val="Appelnotedebasdep"/>
          <w:rFonts w:asciiTheme="majorBidi" w:hAnsiTheme="majorBidi" w:cstheme="majorBidi"/>
          <w:sz w:val="24"/>
          <w:szCs w:val="24"/>
        </w:rPr>
        <w:footnoteReference w:id="22"/>
      </w:r>
      <w:r w:rsidR="000A4AC2">
        <w:rPr>
          <w:rStyle w:val="Style13pt"/>
          <w:rFonts w:asciiTheme="majorBidi" w:hAnsiTheme="majorBidi" w:cstheme="majorBidi"/>
          <w:szCs w:val="24"/>
        </w:rPr>
        <w:t> :</w:t>
      </w:r>
    </w:p>
    <w:p w:rsidR="00780C14" w:rsidRPr="002C52E2" w:rsidRDefault="00B74EC6" w:rsidP="002C52E2">
      <w:pPr>
        <w:pStyle w:val="Paragraphedeliste"/>
        <w:numPr>
          <w:ilvl w:val="1"/>
          <w:numId w:val="23"/>
        </w:numPr>
        <w:autoSpaceDE w:val="0"/>
        <w:autoSpaceDN w:val="0"/>
        <w:adjustRightInd w:val="0"/>
        <w:spacing w:after="0" w:line="360" w:lineRule="auto"/>
        <w:jc w:val="both"/>
        <w:rPr>
          <w:rFonts w:asciiTheme="majorBidi" w:hAnsiTheme="majorBidi" w:cstheme="majorBidi"/>
          <w:sz w:val="24"/>
          <w:szCs w:val="24"/>
        </w:rPr>
      </w:pPr>
      <w:r w:rsidRPr="002C52E2">
        <w:rPr>
          <w:rFonts w:asciiTheme="majorBidi" w:hAnsiTheme="majorBidi" w:cstheme="majorBidi"/>
          <w:sz w:val="24"/>
          <w:szCs w:val="24"/>
        </w:rPr>
        <w:t xml:space="preserve">opérations </w:t>
      </w:r>
      <w:r w:rsidR="00780C14" w:rsidRPr="002C52E2">
        <w:rPr>
          <w:rFonts w:asciiTheme="majorBidi" w:hAnsiTheme="majorBidi" w:cstheme="majorBidi"/>
          <w:sz w:val="24"/>
          <w:szCs w:val="24"/>
        </w:rPr>
        <w:t>qui ne semblent avoir aucune justification économ</w:t>
      </w:r>
      <w:r w:rsidR="000A4AC2">
        <w:rPr>
          <w:rFonts w:asciiTheme="majorBidi" w:hAnsiTheme="majorBidi" w:cstheme="majorBidi"/>
          <w:sz w:val="24"/>
          <w:szCs w:val="24"/>
        </w:rPr>
        <w:t>ique ou commerciale perceptible ;</w:t>
      </w:r>
    </w:p>
    <w:p w:rsidR="00780C14" w:rsidRPr="002C52E2" w:rsidRDefault="00B74EC6" w:rsidP="002C52E2">
      <w:pPr>
        <w:pStyle w:val="Paragraphedeliste"/>
        <w:numPr>
          <w:ilvl w:val="1"/>
          <w:numId w:val="23"/>
        </w:numPr>
        <w:autoSpaceDE w:val="0"/>
        <w:autoSpaceDN w:val="0"/>
        <w:adjustRightInd w:val="0"/>
        <w:spacing w:after="0" w:line="360" w:lineRule="auto"/>
        <w:jc w:val="both"/>
        <w:rPr>
          <w:rFonts w:asciiTheme="majorBidi" w:hAnsiTheme="majorBidi" w:cstheme="majorBidi"/>
          <w:sz w:val="24"/>
          <w:szCs w:val="24"/>
        </w:rPr>
      </w:pPr>
      <w:r w:rsidRPr="002C52E2">
        <w:rPr>
          <w:rFonts w:asciiTheme="majorBidi" w:hAnsiTheme="majorBidi" w:cstheme="majorBidi"/>
          <w:sz w:val="24"/>
          <w:szCs w:val="24"/>
        </w:rPr>
        <w:t xml:space="preserve">opérations </w:t>
      </w:r>
      <w:r w:rsidR="00780C14" w:rsidRPr="002C52E2">
        <w:rPr>
          <w:rFonts w:asciiTheme="majorBidi" w:hAnsiTheme="majorBidi" w:cstheme="majorBidi"/>
          <w:sz w:val="24"/>
          <w:szCs w:val="24"/>
        </w:rPr>
        <w:t>qui présentent des mouvements de fonds démesurés</w:t>
      </w:r>
      <w:r w:rsidR="000A4AC2">
        <w:rPr>
          <w:rFonts w:asciiTheme="majorBidi" w:hAnsiTheme="majorBidi" w:cstheme="majorBidi"/>
          <w:sz w:val="24"/>
          <w:szCs w:val="24"/>
        </w:rPr>
        <w:t xml:space="preserve"> par rapport au solde du compte ;</w:t>
      </w:r>
    </w:p>
    <w:p w:rsidR="00780C14" w:rsidRPr="002C52E2" w:rsidRDefault="00B74EC6" w:rsidP="002C52E2">
      <w:pPr>
        <w:pStyle w:val="Paragraphedeliste"/>
        <w:numPr>
          <w:ilvl w:val="1"/>
          <w:numId w:val="23"/>
        </w:numPr>
        <w:autoSpaceDE w:val="0"/>
        <w:autoSpaceDN w:val="0"/>
        <w:adjustRightInd w:val="0"/>
        <w:spacing w:after="0" w:line="360" w:lineRule="auto"/>
        <w:jc w:val="both"/>
        <w:rPr>
          <w:rFonts w:asciiTheme="majorBidi" w:hAnsiTheme="majorBidi" w:cstheme="majorBidi"/>
          <w:sz w:val="24"/>
          <w:szCs w:val="24"/>
        </w:rPr>
      </w:pPr>
      <w:r w:rsidRPr="002C52E2">
        <w:rPr>
          <w:rFonts w:asciiTheme="majorBidi" w:hAnsiTheme="majorBidi" w:cstheme="majorBidi"/>
          <w:sz w:val="24"/>
          <w:szCs w:val="24"/>
        </w:rPr>
        <w:t xml:space="preserve">opérations </w:t>
      </w:r>
      <w:r w:rsidR="00780C14" w:rsidRPr="002C52E2">
        <w:rPr>
          <w:rFonts w:asciiTheme="majorBidi" w:hAnsiTheme="majorBidi" w:cstheme="majorBidi"/>
          <w:sz w:val="24"/>
          <w:szCs w:val="24"/>
        </w:rPr>
        <w:t>qui portent sur des montants, notamment en liquide sans relation avec les transactions habit</w:t>
      </w:r>
      <w:r w:rsidR="000A4AC2">
        <w:rPr>
          <w:rFonts w:asciiTheme="majorBidi" w:hAnsiTheme="majorBidi" w:cstheme="majorBidi"/>
          <w:sz w:val="24"/>
          <w:szCs w:val="24"/>
        </w:rPr>
        <w:t>uelles ou concevables du client ;</w:t>
      </w:r>
      <w:r w:rsidR="00780C14" w:rsidRPr="002C52E2">
        <w:rPr>
          <w:rFonts w:asciiTheme="majorBidi" w:hAnsiTheme="majorBidi" w:cstheme="majorBidi"/>
          <w:sz w:val="24"/>
          <w:szCs w:val="24"/>
        </w:rPr>
        <w:t xml:space="preserve"> </w:t>
      </w:r>
    </w:p>
    <w:p w:rsidR="00780C14" w:rsidRPr="002C52E2" w:rsidRDefault="00B74EC6" w:rsidP="002C52E2">
      <w:pPr>
        <w:pStyle w:val="Paragraphedeliste"/>
        <w:numPr>
          <w:ilvl w:val="1"/>
          <w:numId w:val="23"/>
        </w:numPr>
        <w:autoSpaceDE w:val="0"/>
        <w:autoSpaceDN w:val="0"/>
        <w:adjustRightInd w:val="0"/>
        <w:spacing w:after="0" w:line="360" w:lineRule="auto"/>
        <w:jc w:val="both"/>
        <w:rPr>
          <w:rFonts w:asciiTheme="majorBidi" w:hAnsiTheme="majorBidi" w:cstheme="majorBidi"/>
          <w:sz w:val="24"/>
          <w:szCs w:val="24"/>
        </w:rPr>
      </w:pPr>
      <w:r w:rsidRPr="002C52E2">
        <w:rPr>
          <w:rFonts w:asciiTheme="majorBidi" w:hAnsiTheme="majorBidi" w:cstheme="majorBidi"/>
          <w:sz w:val="24"/>
          <w:szCs w:val="24"/>
        </w:rPr>
        <w:t xml:space="preserve">opérations </w:t>
      </w:r>
      <w:r w:rsidR="00780C14" w:rsidRPr="002C52E2">
        <w:rPr>
          <w:rFonts w:asciiTheme="majorBidi" w:hAnsiTheme="majorBidi" w:cstheme="majorBidi"/>
          <w:sz w:val="24"/>
          <w:szCs w:val="24"/>
        </w:rPr>
        <w:t>qui sont d’une complex</w:t>
      </w:r>
      <w:r w:rsidR="000A4AC2">
        <w:rPr>
          <w:rFonts w:asciiTheme="majorBidi" w:hAnsiTheme="majorBidi" w:cstheme="majorBidi"/>
          <w:sz w:val="24"/>
          <w:szCs w:val="24"/>
        </w:rPr>
        <w:t>ité inhabituelle ou injustifiée ;</w:t>
      </w:r>
    </w:p>
    <w:p w:rsidR="00780C14" w:rsidRPr="002C52E2" w:rsidRDefault="00B74EC6" w:rsidP="002C52E2">
      <w:pPr>
        <w:pStyle w:val="Paragraphedeliste"/>
        <w:numPr>
          <w:ilvl w:val="1"/>
          <w:numId w:val="23"/>
        </w:numPr>
        <w:autoSpaceDE w:val="0"/>
        <w:autoSpaceDN w:val="0"/>
        <w:adjustRightInd w:val="0"/>
        <w:spacing w:before="360" w:after="240" w:line="360" w:lineRule="auto"/>
        <w:jc w:val="both"/>
        <w:rPr>
          <w:rFonts w:asciiTheme="majorBidi" w:hAnsiTheme="majorBidi" w:cstheme="majorBidi"/>
          <w:sz w:val="24"/>
          <w:szCs w:val="24"/>
        </w:rPr>
      </w:pPr>
      <w:r w:rsidRPr="002C52E2">
        <w:rPr>
          <w:rFonts w:asciiTheme="majorBidi" w:hAnsiTheme="majorBidi" w:cstheme="majorBidi"/>
          <w:sz w:val="24"/>
          <w:szCs w:val="24"/>
        </w:rPr>
        <w:t xml:space="preserve">opérations </w:t>
      </w:r>
      <w:r w:rsidR="00780C14" w:rsidRPr="002C52E2">
        <w:rPr>
          <w:rFonts w:asciiTheme="majorBidi" w:hAnsiTheme="majorBidi" w:cstheme="majorBidi"/>
          <w:sz w:val="24"/>
          <w:szCs w:val="24"/>
        </w:rPr>
        <w:t>qui ne paraissent pas avoir d’objet licite.</w:t>
      </w:r>
    </w:p>
    <w:p w:rsidR="00780C14" w:rsidRDefault="00B35169" w:rsidP="00E1466D">
      <w:pPr>
        <w:tabs>
          <w:tab w:val="left" w:pos="284"/>
          <w:tab w:val="left" w:pos="567"/>
        </w:tabs>
        <w:autoSpaceDE w:val="0"/>
        <w:autoSpaceDN w:val="0"/>
        <w:adjustRightInd w:val="0"/>
        <w:spacing w:before="360" w:after="240" w:line="360" w:lineRule="auto"/>
        <w:jc w:val="both"/>
        <w:rPr>
          <w:rStyle w:val="Style13pt"/>
          <w:rFonts w:asciiTheme="majorBidi" w:hAnsiTheme="majorBidi" w:cstheme="majorBidi"/>
          <w:szCs w:val="24"/>
        </w:rPr>
      </w:pPr>
      <w:r>
        <w:rPr>
          <w:rFonts w:asciiTheme="majorBidi" w:hAnsiTheme="majorBidi" w:cstheme="majorBidi"/>
          <w:sz w:val="24"/>
          <w:szCs w:val="24"/>
        </w:rPr>
        <w:tab/>
      </w:r>
      <w:r w:rsidR="003B2D15">
        <w:rPr>
          <w:rFonts w:asciiTheme="majorBidi" w:hAnsiTheme="majorBidi" w:cstheme="majorBidi"/>
          <w:sz w:val="24"/>
          <w:szCs w:val="24"/>
        </w:rPr>
        <w:tab/>
      </w:r>
      <w:r w:rsidR="003B23AF">
        <w:rPr>
          <w:rFonts w:asciiTheme="majorBidi" w:hAnsiTheme="majorBidi" w:cstheme="majorBidi"/>
          <w:sz w:val="24"/>
          <w:szCs w:val="24"/>
        </w:rPr>
        <w:t xml:space="preserve">Il est à noter que le législateur algérien </w:t>
      </w:r>
      <w:r w:rsidR="00E1466D">
        <w:rPr>
          <w:rFonts w:asciiTheme="majorBidi" w:hAnsiTheme="majorBidi" w:cstheme="majorBidi"/>
          <w:sz w:val="24"/>
          <w:szCs w:val="24"/>
        </w:rPr>
        <w:t>a estimé</w:t>
      </w:r>
      <w:r w:rsidR="003B23AF">
        <w:rPr>
          <w:rFonts w:asciiTheme="majorBidi" w:hAnsiTheme="majorBidi" w:cstheme="majorBidi"/>
          <w:sz w:val="24"/>
          <w:szCs w:val="24"/>
        </w:rPr>
        <w:t xml:space="preserve"> que </w:t>
      </w:r>
      <w:r w:rsidR="00780C14" w:rsidRPr="00E812F3">
        <w:rPr>
          <w:rFonts w:asciiTheme="majorBidi" w:hAnsiTheme="majorBidi" w:cstheme="majorBidi"/>
          <w:sz w:val="24"/>
          <w:szCs w:val="24"/>
        </w:rPr>
        <w:t xml:space="preserve">le soupçon </w:t>
      </w:r>
      <w:r w:rsidR="00AD28EE">
        <w:rPr>
          <w:rFonts w:asciiTheme="majorBidi" w:hAnsiTheme="majorBidi" w:cstheme="majorBidi"/>
          <w:sz w:val="24"/>
          <w:szCs w:val="24"/>
        </w:rPr>
        <w:t>doit être</w:t>
      </w:r>
      <w:r w:rsidR="00780C14" w:rsidRPr="00E812F3">
        <w:rPr>
          <w:rFonts w:asciiTheme="majorBidi" w:hAnsiTheme="majorBidi" w:cstheme="majorBidi"/>
          <w:sz w:val="24"/>
          <w:szCs w:val="24"/>
        </w:rPr>
        <w:t xml:space="preserve"> fondé sur l’obse</w:t>
      </w:r>
      <w:r w:rsidR="003B23AF">
        <w:rPr>
          <w:rFonts w:asciiTheme="majorBidi" w:hAnsiTheme="majorBidi" w:cstheme="majorBidi"/>
          <w:sz w:val="24"/>
          <w:szCs w:val="24"/>
        </w:rPr>
        <w:t>rvation de certains faits</w:t>
      </w:r>
      <w:r w:rsidR="006F174E">
        <w:rPr>
          <w:rFonts w:asciiTheme="majorBidi" w:hAnsiTheme="majorBidi" w:cstheme="majorBidi"/>
          <w:sz w:val="24"/>
          <w:szCs w:val="24"/>
        </w:rPr>
        <w:t xml:space="preserve"> </w:t>
      </w:r>
      <w:r w:rsidR="003B23AF">
        <w:rPr>
          <w:rFonts w:asciiTheme="majorBidi" w:hAnsiTheme="majorBidi" w:cstheme="majorBidi"/>
          <w:sz w:val="24"/>
          <w:szCs w:val="24"/>
        </w:rPr>
        <w:t xml:space="preserve">en </w:t>
      </w:r>
      <w:r w:rsidR="00780C14" w:rsidRPr="00E812F3">
        <w:rPr>
          <w:rFonts w:asciiTheme="majorBidi" w:hAnsiTheme="majorBidi" w:cstheme="majorBidi"/>
          <w:sz w:val="24"/>
          <w:szCs w:val="24"/>
        </w:rPr>
        <w:t>partage</w:t>
      </w:r>
      <w:r w:rsidR="003B23AF">
        <w:rPr>
          <w:rFonts w:asciiTheme="majorBidi" w:hAnsiTheme="majorBidi" w:cstheme="majorBidi"/>
          <w:sz w:val="24"/>
          <w:szCs w:val="24"/>
        </w:rPr>
        <w:t xml:space="preserve">ant la même </w:t>
      </w:r>
      <w:r w:rsidR="00F35247" w:rsidRPr="00E812F3">
        <w:rPr>
          <w:rFonts w:asciiTheme="majorBidi" w:hAnsiTheme="majorBidi" w:cstheme="majorBidi"/>
          <w:sz w:val="24"/>
          <w:szCs w:val="24"/>
        </w:rPr>
        <w:t xml:space="preserve">vision </w:t>
      </w:r>
      <w:r w:rsidR="003B23AF">
        <w:rPr>
          <w:rFonts w:asciiTheme="majorBidi" w:hAnsiTheme="majorBidi" w:cstheme="majorBidi"/>
          <w:sz w:val="24"/>
          <w:szCs w:val="24"/>
        </w:rPr>
        <w:t>que la plupart des</w:t>
      </w:r>
      <w:r w:rsidR="006F174E">
        <w:rPr>
          <w:rFonts w:asciiTheme="majorBidi" w:hAnsiTheme="majorBidi" w:cstheme="majorBidi"/>
          <w:sz w:val="24"/>
          <w:szCs w:val="24"/>
        </w:rPr>
        <w:t xml:space="preserve"> </w:t>
      </w:r>
      <w:r w:rsidR="00F35247" w:rsidRPr="00E812F3">
        <w:rPr>
          <w:rStyle w:val="Style13pt"/>
          <w:rFonts w:asciiTheme="majorBidi" w:hAnsiTheme="majorBidi" w:cstheme="majorBidi"/>
          <w:szCs w:val="24"/>
        </w:rPr>
        <w:t>organis</w:t>
      </w:r>
      <w:r w:rsidR="00E1466D">
        <w:rPr>
          <w:rStyle w:val="Style13pt"/>
          <w:rFonts w:asciiTheme="majorBidi" w:hAnsiTheme="majorBidi" w:cstheme="majorBidi"/>
          <w:szCs w:val="24"/>
        </w:rPr>
        <w:t xml:space="preserve">mes internationaux, qui notent </w:t>
      </w:r>
      <w:r w:rsidR="00F35247" w:rsidRPr="00E812F3">
        <w:rPr>
          <w:rStyle w:val="Style13pt"/>
          <w:rFonts w:asciiTheme="majorBidi" w:hAnsiTheme="majorBidi" w:cstheme="majorBidi"/>
          <w:szCs w:val="24"/>
        </w:rPr>
        <w:t>que</w:t>
      </w:r>
      <w:r w:rsidR="00780C14" w:rsidRPr="00E812F3">
        <w:rPr>
          <w:rStyle w:val="Style13pt"/>
          <w:rFonts w:asciiTheme="majorBidi" w:hAnsiTheme="majorBidi" w:cstheme="majorBidi"/>
          <w:szCs w:val="24"/>
        </w:rPr>
        <w:t xml:space="preserve"> le comportement des criminels lors d’une opération de blanchiment ou même d’une opération de financement du terrorisme est caractérisé par certains éléments qui sont identiques et qui se répètent à l’occasion de toute opé</w:t>
      </w:r>
      <w:r w:rsidR="00AD28EE">
        <w:rPr>
          <w:rStyle w:val="Style13pt"/>
          <w:rFonts w:asciiTheme="majorBidi" w:hAnsiTheme="majorBidi" w:cstheme="majorBidi"/>
          <w:szCs w:val="24"/>
        </w:rPr>
        <w:t xml:space="preserve">ration de ce type. </w:t>
      </w:r>
      <w:r w:rsidR="00B87118" w:rsidRPr="00E812F3">
        <w:rPr>
          <w:rStyle w:val="Style13pt"/>
          <w:rFonts w:asciiTheme="majorBidi" w:hAnsiTheme="majorBidi" w:cstheme="majorBidi"/>
          <w:szCs w:val="24"/>
        </w:rPr>
        <w:t>Les opérations suspectes</w:t>
      </w:r>
      <w:r w:rsidR="005F7BF2">
        <w:rPr>
          <w:rStyle w:val="Style13pt"/>
          <w:rFonts w:asciiTheme="majorBidi" w:hAnsiTheme="majorBidi" w:cstheme="majorBidi"/>
          <w:szCs w:val="24"/>
        </w:rPr>
        <w:t>, selon la Banque Mondiale et le Fonds Monétaire International,</w:t>
      </w:r>
      <w:r w:rsidR="00BE78C4">
        <w:rPr>
          <w:rStyle w:val="Style13pt"/>
          <w:rFonts w:asciiTheme="majorBidi" w:hAnsiTheme="majorBidi" w:cstheme="majorBidi"/>
          <w:szCs w:val="24"/>
        </w:rPr>
        <w:t xml:space="preserve"> peuvent être identifiées </w:t>
      </w:r>
      <w:r w:rsidR="00E1466D">
        <w:rPr>
          <w:rStyle w:val="Style13pt"/>
          <w:rFonts w:asciiTheme="majorBidi" w:hAnsiTheme="majorBidi" w:cstheme="majorBidi"/>
          <w:szCs w:val="24"/>
        </w:rPr>
        <w:t xml:space="preserve">si </w:t>
      </w:r>
      <w:r w:rsidR="00BE78C4">
        <w:rPr>
          <w:rStyle w:val="Style13pt"/>
          <w:rFonts w:asciiTheme="majorBidi" w:hAnsiTheme="majorBidi" w:cstheme="majorBidi"/>
          <w:szCs w:val="24"/>
        </w:rPr>
        <w:t xml:space="preserve">les situations </w:t>
      </w:r>
      <w:r w:rsidR="00B87118" w:rsidRPr="00E812F3">
        <w:rPr>
          <w:rStyle w:val="Style13pt"/>
          <w:rFonts w:asciiTheme="majorBidi" w:hAnsiTheme="majorBidi" w:cstheme="majorBidi"/>
          <w:szCs w:val="24"/>
        </w:rPr>
        <w:t>ci-après</w:t>
      </w:r>
      <w:r w:rsidR="00E1466D">
        <w:rPr>
          <w:rStyle w:val="Style13pt"/>
          <w:rFonts w:asciiTheme="majorBidi" w:hAnsiTheme="majorBidi" w:cstheme="majorBidi"/>
          <w:szCs w:val="24"/>
        </w:rPr>
        <w:t xml:space="preserve"> se présentent</w:t>
      </w:r>
      <w:r w:rsidR="00780C14" w:rsidRPr="00E812F3">
        <w:rPr>
          <w:rStyle w:val="Appelnotedebasdep"/>
          <w:rFonts w:asciiTheme="majorBidi" w:hAnsiTheme="majorBidi" w:cstheme="majorBidi"/>
          <w:sz w:val="24"/>
          <w:szCs w:val="24"/>
        </w:rPr>
        <w:footnoteReference w:id="23"/>
      </w:r>
      <w:r w:rsidR="00780C14" w:rsidRPr="00E812F3">
        <w:rPr>
          <w:rStyle w:val="Style13pt"/>
          <w:rFonts w:asciiTheme="majorBidi" w:hAnsiTheme="majorBidi" w:cstheme="majorBidi"/>
          <w:szCs w:val="24"/>
        </w:rPr>
        <w:t>:</w:t>
      </w:r>
    </w:p>
    <w:p w:rsidR="00780C14" w:rsidRPr="00E812F3" w:rsidRDefault="005F7BF2" w:rsidP="005F7BF2">
      <w:pPr>
        <w:numPr>
          <w:ilvl w:val="0"/>
          <w:numId w:val="1"/>
        </w:numPr>
        <w:tabs>
          <w:tab w:val="clear" w:pos="720"/>
          <w:tab w:val="left" w:pos="709"/>
        </w:tabs>
        <w:autoSpaceDE w:val="0"/>
        <w:autoSpaceDN w:val="0"/>
        <w:adjustRightInd w:val="0"/>
        <w:spacing w:after="0" w:line="360" w:lineRule="auto"/>
        <w:ind w:right="43"/>
        <w:jc w:val="both"/>
        <w:rPr>
          <w:rStyle w:val="Style13ptNoir"/>
          <w:rFonts w:asciiTheme="majorBidi" w:hAnsiTheme="majorBidi" w:cstheme="majorBidi"/>
          <w:color w:val="auto"/>
          <w:szCs w:val="24"/>
        </w:rPr>
      </w:pPr>
      <w:r>
        <w:rPr>
          <w:rStyle w:val="Style13ptNoir"/>
          <w:rFonts w:asciiTheme="majorBidi" w:hAnsiTheme="majorBidi" w:cstheme="majorBidi"/>
          <w:color w:val="auto"/>
          <w:szCs w:val="24"/>
        </w:rPr>
        <w:t>d</w:t>
      </w:r>
      <w:r w:rsidR="00780C14" w:rsidRPr="00E812F3">
        <w:rPr>
          <w:rStyle w:val="Style13ptNoir"/>
          <w:rFonts w:asciiTheme="majorBidi" w:hAnsiTheme="majorBidi" w:cstheme="majorBidi"/>
          <w:color w:val="auto"/>
          <w:szCs w:val="24"/>
        </w:rPr>
        <w:t>es fonds sont retirés immédiatement après avoir été crédités sur un compte ;</w:t>
      </w:r>
    </w:p>
    <w:p w:rsidR="00780C14" w:rsidRPr="00E812F3" w:rsidRDefault="005F7BF2" w:rsidP="005F7BF2">
      <w:pPr>
        <w:numPr>
          <w:ilvl w:val="0"/>
          <w:numId w:val="1"/>
        </w:numPr>
        <w:tabs>
          <w:tab w:val="clear" w:pos="720"/>
          <w:tab w:val="left" w:pos="709"/>
        </w:tabs>
        <w:autoSpaceDE w:val="0"/>
        <w:autoSpaceDN w:val="0"/>
        <w:adjustRightInd w:val="0"/>
        <w:spacing w:after="0" w:line="360" w:lineRule="auto"/>
        <w:ind w:right="43"/>
        <w:jc w:val="both"/>
        <w:rPr>
          <w:rStyle w:val="Style13ptNoir"/>
          <w:rFonts w:asciiTheme="majorBidi" w:hAnsiTheme="majorBidi" w:cstheme="majorBidi"/>
          <w:color w:val="auto"/>
          <w:szCs w:val="24"/>
        </w:rPr>
      </w:pPr>
      <w:r>
        <w:rPr>
          <w:rStyle w:val="Style13ptNoir"/>
          <w:rFonts w:asciiTheme="majorBidi" w:hAnsiTheme="majorBidi" w:cstheme="majorBidi"/>
          <w:color w:val="auto"/>
          <w:szCs w:val="24"/>
        </w:rPr>
        <w:t>u</w:t>
      </w:r>
      <w:r w:rsidR="00780C14" w:rsidRPr="00E812F3">
        <w:rPr>
          <w:rStyle w:val="Style13ptNoir"/>
          <w:rFonts w:asciiTheme="majorBidi" w:hAnsiTheme="majorBidi" w:cstheme="majorBidi"/>
          <w:color w:val="auto"/>
          <w:szCs w:val="24"/>
        </w:rPr>
        <w:t>n compte inactif devient subitement actif sans raison valable ;</w:t>
      </w:r>
    </w:p>
    <w:p w:rsidR="00780C14" w:rsidRPr="00E812F3" w:rsidRDefault="005F7BF2" w:rsidP="005F7BF2">
      <w:pPr>
        <w:numPr>
          <w:ilvl w:val="0"/>
          <w:numId w:val="1"/>
        </w:numPr>
        <w:tabs>
          <w:tab w:val="clear" w:pos="720"/>
          <w:tab w:val="left" w:pos="709"/>
        </w:tabs>
        <w:autoSpaceDE w:val="0"/>
        <w:autoSpaceDN w:val="0"/>
        <w:adjustRightInd w:val="0"/>
        <w:spacing w:after="0" w:line="360" w:lineRule="auto"/>
        <w:ind w:right="43"/>
        <w:jc w:val="both"/>
        <w:rPr>
          <w:rStyle w:val="Style13ptNoir"/>
          <w:rFonts w:asciiTheme="majorBidi" w:hAnsiTheme="majorBidi" w:cstheme="majorBidi"/>
          <w:color w:val="auto"/>
          <w:szCs w:val="24"/>
        </w:rPr>
      </w:pPr>
      <w:r>
        <w:rPr>
          <w:rStyle w:val="Style13ptNoir"/>
          <w:rFonts w:asciiTheme="majorBidi" w:hAnsiTheme="majorBidi" w:cstheme="majorBidi"/>
          <w:color w:val="auto"/>
          <w:szCs w:val="24"/>
        </w:rPr>
        <w:t>l</w:t>
      </w:r>
      <w:r w:rsidR="00780C14" w:rsidRPr="00E812F3">
        <w:rPr>
          <w:rStyle w:val="Style13ptNoir"/>
          <w:rFonts w:asciiTheme="majorBidi" w:hAnsiTheme="majorBidi" w:cstheme="majorBidi"/>
          <w:color w:val="auto"/>
          <w:szCs w:val="24"/>
        </w:rPr>
        <w:t>a valeur élevée des actifs d’un client ne correspond pas aux informations concernant le client ou son activité ;</w:t>
      </w:r>
    </w:p>
    <w:p w:rsidR="00E1466D" w:rsidRDefault="005F7BF2" w:rsidP="00E1466D">
      <w:pPr>
        <w:numPr>
          <w:ilvl w:val="0"/>
          <w:numId w:val="1"/>
        </w:numPr>
        <w:tabs>
          <w:tab w:val="clear" w:pos="720"/>
          <w:tab w:val="left" w:pos="709"/>
        </w:tabs>
        <w:autoSpaceDE w:val="0"/>
        <w:autoSpaceDN w:val="0"/>
        <w:adjustRightInd w:val="0"/>
        <w:spacing w:after="240" w:line="360" w:lineRule="auto"/>
        <w:ind w:right="43"/>
        <w:jc w:val="both"/>
        <w:rPr>
          <w:rStyle w:val="Style13ptNoir"/>
          <w:rFonts w:asciiTheme="majorBidi" w:hAnsiTheme="majorBidi" w:cstheme="majorBidi"/>
          <w:color w:val="auto"/>
          <w:szCs w:val="24"/>
        </w:rPr>
      </w:pPr>
      <w:r>
        <w:rPr>
          <w:rStyle w:val="Style13ptNoir"/>
          <w:rFonts w:asciiTheme="majorBidi" w:hAnsiTheme="majorBidi" w:cstheme="majorBidi"/>
          <w:color w:val="auto"/>
          <w:szCs w:val="24"/>
        </w:rPr>
        <w:t>u</w:t>
      </w:r>
      <w:r w:rsidR="00780C14" w:rsidRPr="00E812F3">
        <w:rPr>
          <w:rStyle w:val="Style13ptNoir"/>
          <w:rFonts w:asciiTheme="majorBidi" w:hAnsiTheme="majorBidi" w:cstheme="majorBidi"/>
          <w:color w:val="auto"/>
          <w:szCs w:val="24"/>
        </w:rPr>
        <w:t>n client fournit des informations fausses ou falsifiées ou refuse de communiquer à la banque les renseignements requis ;</w:t>
      </w:r>
    </w:p>
    <w:p w:rsidR="00780C14" w:rsidRDefault="005F7BF2" w:rsidP="00E1466D">
      <w:pPr>
        <w:numPr>
          <w:ilvl w:val="0"/>
          <w:numId w:val="1"/>
        </w:numPr>
        <w:tabs>
          <w:tab w:val="clear" w:pos="720"/>
          <w:tab w:val="left" w:pos="709"/>
        </w:tabs>
        <w:autoSpaceDE w:val="0"/>
        <w:autoSpaceDN w:val="0"/>
        <w:adjustRightInd w:val="0"/>
        <w:spacing w:after="240" w:line="360" w:lineRule="auto"/>
        <w:ind w:right="43"/>
        <w:jc w:val="both"/>
        <w:rPr>
          <w:rStyle w:val="Style13ptNoir"/>
          <w:rFonts w:asciiTheme="majorBidi" w:hAnsiTheme="majorBidi" w:cstheme="majorBidi"/>
          <w:color w:val="auto"/>
          <w:szCs w:val="24"/>
        </w:rPr>
      </w:pPr>
      <w:r w:rsidRPr="00E1466D">
        <w:rPr>
          <w:rStyle w:val="Style13ptNoir"/>
          <w:rFonts w:asciiTheme="majorBidi" w:hAnsiTheme="majorBidi" w:cstheme="majorBidi"/>
          <w:color w:val="auto"/>
          <w:szCs w:val="24"/>
        </w:rPr>
        <w:t>l</w:t>
      </w:r>
      <w:r w:rsidR="00780C14" w:rsidRPr="00E1466D">
        <w:rPr>
          <w:rStyle w:val="Style13ptNoir"/>
          <w:rFonts w:asciiTheme="majorBidi" w:hAnsiTheme="majorBidi" w:cstheme="majorBidi"/>
          <w:color w:val="auto"/>
          <w:szCs w:val="24"/>
        </w:rPr>
        <w:t>a conclusion d’une transaction suggère que celle-ci n’a pas de cause licite ou économique logique ou apparente ;</w:t>
      </w:r>
    </w:p>
    <w:p w:rsidR="00E1466D" w:rsidRDefault="00E1466D" w:rsidP="00E1466D">
      <w:pPr>
        <w:tabs>
          <w:tab w:val="left" w:pos="709"/>
        </w:tabs>
        <w:autoSpaceDE w:val="0"/>
        <w:autoSpaceDN w:val="0"/>
        <w:adjustRightInd w:val="0"/>
        <w:spacing w:after="240" w:line="360" w:lineRule="auto"/>
        <w:ind w:left="720" w:right="43"/>
        <w:jc w:val="both"/>
        <w:rPr>
          <w:rStyle w:val="Style13ptNoir"/>
          <w:rFonts w:asciiTheme="majorBidi" w:hAnsiTheme="majorBidi" w:cstheme="majorBidi"/>
          <w:color w:val="auto"/>
          <w:szCs w:val="24"/>
        </w:rPr>
      </w:pPr>
    </w:p>
    <w:p w:rsidR="00E1466D" w:rsidRDefault="00E1466D" w:rsidP="00E1466D">
      <w:pPr>
        <w:tabs>
          <w:tab w:val="left" w:pos="709"/>
        </w:tabs>
        <w:autoSpaceDE w:val="0"/>
        <w:autoSpaceDN w:val="0"/>
        <w:adjustRightInd w:val="0"/>
        <w:spacing w:after="240" w:line="360" w:lineRule="auto"/>
        <w:ind w:left="720" w:right="43"/>
        <w:jc w:val="both"/>
        <w:rPr>
          <w:rStyle w:val="Style13ptNoir"/>
          <w:rFonts w:asciiTheme="majorBidi" w:hAnsiTheme="majorBidi" w:cstheme="majorBidi"/>
          <w:color w:val="auto"/>
          <w:szCs w:val="24"/>
        </w:rPr>
      </w:pPr>
    </w:p>
    <w:p w:rsidR="00780C14" w:rsidRDefault="00FB24D5" w:rsidP="005F7BF2">
      <w:pPr>
        <w:pStyle w:val="Paragraphedeliste"/>
        <w:numPr>
          <w:ilvl w:val="1"/>
          <w:numId w:val="19"/>
        </w:numPr>
        <w:tabs>
          <w:tab w:val="left" w:pos="284"/>
          <w:tab w:val="left" w:pos="567"/>
        </w:tabs>
        <w:autoSpaceDE w:val="0"/>
        <w:autoSpaceDN w:val="0"/>
        <w:adjustRightInd w:val="0"/>
        <w:spacing w:before="360" w:after="240" w:line="360" w:lineRule="auto"/>
        <w:ind w:left="0" w:firstLine="0"/>
        <w:jc w:val="both"/>
        <w:rPr>
          <w:rStyle w:val="Emphaseintense"/>
          <w:rFonts w:asciiTheme="majorBidi" w:hAnsiTheme="majorBidi" w:cstheme="majorBidi"/>
          <w:i w:val="0"/>
          <w:iCs w:val="0"/>
          <w:color w:val="auto"/>
          <w:sz w:val="24"/>
          <w:szCs w:val="24"/>
        </w:rPr>
      </w:pPr>
      <w:r>
        <w:rPr>
          <w:rStyle w:val="Emphaseintense"/>
          <w:rFonts w:asciiTheme="majorBidi" w:hAnsiTheme="majorBidi" w:cstheme="majorBidi"/>
          <w:i w:val="0"/>
          <w:iCs w:val="0"/>
          <w:color w:val="auto"/>
          <w:sz w:val="24"/>
          <w:szCs w:val="24"/>
        </w:rPr>
        <w:lastRenderedPageBreak/>
        <w:t>L’</w:t>
      </w:r>
      <w:r w:rsidR="00227BE3">
        <w:rPr>
          <w:rStyle w:val="Emphaseintense"/>
          <w:rFonts w:asciiTheme="majorBidi" w:hAnsiTheme="majorBidi" w:cstheme="majorBidi"/>
          <w:i w:val="0"/>
          <w:iCs w:val="0"/>
          <w:color w:val="auto"/>
          <w:sz w:val="24"/>
          <w:szCs w:val="24"/>
        </w:rPr>
        <w:t>i</w:t>
      </w:r>
      <w:r w:rsidR="00780C14" w:rsidRPr="005F7BF2">
        <w:rPr>
          <w:rStyle w:val="Emphaseintense"/>
          <w:rFonts w:asciiTheme="majorBidi" w:hAnsiTheme="majorBidi" w:cstheme="majorBidi"/>
          <w:i w:val="0"/>
          <w:iCs w:val="0"/>
          <w:color w:val="auto"/>
          <w:sz w:val="24"/>
          <w:szCs w:val="24"/>
        </w:rPr>
        <w:t>nterdiction d’avertir le client</w:t>
      </w:r>
    </w:p>
    <w:p w:rsidR="002219EB" w:rsidRDefault="00B35169" w:rsidP="002219EB">
      <w:pPr>
        <w:pStyle w:val="Paragraphedeliste"/>
        <w:autoSpaceDE w:val="0"/>
        <w:autoSpaceDN w:val="0"/>
        <w:adjustRightInd w:val="0"/>
        <w:spacing w:before="240" w:line="360" w:lineRule="auto"/>
        <w:ind w:left="0"/>
        <w:jc w:val="both"/>
        <w:rPr>
          <w:rFonts w:asciiTheme="majorBidi" w:hAnsiTheme="majorBidi" w:cstheme="majorBidi"/>
          <w:sz w:val="24"/>
          <w:szCs w:val="24"/>
        </w:rPr>
      </w:pPr>
      <w:r>
        <w:rPr>
          <w:rFonts w:asciiTheme="majorBidi" w:hAnsiTheme="majorBidi" w:cstheme="majorBidi"/>
          <w:sz w:val="24"/>
          <w:szCs w:val="24"/>
        </w:rPr>
        <w:tab/>
      </w:r>
      <w:r w:rsidR="00E1466D">
        <w:rPr>
          <w:rFonts w:asciiTheme="majorBidi" w:hAnsiTheme="majorBidi" w:cstheme="majorBidi"/>
          <w:sz w:val="24"/>
          <w:szCs w:val="24"/>
        </w:rPr>
        <w:tab/>
      </w:r>
    </w:p>
    <w:p w:rsidR="00780C14" w:rsidRDefault="00E1466D" w:rsidP="002219EB">
      <w:pPr>
        <w:pStyle w:val="Paragraphedeliste"/>
        <w:autoSpaceDE w:val="0"/>
        <w:autoSpaceDN w:val="0"/>
        <w:adjustRightInd w:val="0"/>
        <w:spacing w:before="240" w:line="360" w:lineRule="auto"/>
        <w:ind w:left="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780C14" w:rsidRPr="00E812F3">
        <w:rPr>
          <w:rFonts w:asciiTheme="majorBidi" w:hAnsiTheme="majorBidi" w:cstheme="majorBidi"/>
          <w:sz w:val="24"/>
          <w:szCs w:val="24"/>
        </w:rPr>
        <w:t>Pour éviter que des fonds suspects soient transférés en dehors de l’institution déclarante et que les enquêtes compromettantes ne puissent avoir lieu en permettant aux suspects d’en avoir connaissance, il</w:t>
      </w:r>
      <w:r w:rsidR="00B87118" w:rsidRPr="00E812F3">
        <w:rPr>
          <w:rFonts w:asciiTheme="majorBidi" w:hAnsiTheme="majorBidi" w:cstheme="majorBidi"/>
          <w:sz w:val="24"/>
          <w:szCs w:val="24"/>
        </w:rPr>
        <w:t xml:space="preserve"> est primordial </w:t>
      </w:r>
      <w:r w:rsidR="00780C14" w:rsidRPr="00E812F3">
        <w:rPr>
          <w:rFonts w:asciiTheme="majorBidi" w:hAnsiTheme="majorBidi" w:cstheme="majorBidi"/>
          <w:sz w:val="24"/>
          <w:szCs w:val="24"/>
        </w:rPr>
        <w:t xml:space="preserve">que les institutions déclarantes n’informent pas les titulaires de comptes et les clients des déclarations d’opérations suspectes qu’elles transmettent à la </w:t>
      </w:r>
      <w:r w:rsidR="00B87118" w:rsidRPr="00E812F3">
        <w:rPr>
          <w:rFonts w:asciiTheme="majorBidi" w:hAnsiTheme="majorBidi" w:cstheme="majorBidi"/>
          <w:sz w:val="24"/>
          <w:szCs w:val="24"/>
        </w:rPr>
        <w:t>cellule de renseignement financier. C</w:t>
      </w:r>
      <w:r w:rsidR="00780C14" w:rsidRPr="00E812F3">
        <w:rPr>
          <w:rFonts w:asciiTheme="majorBidi" w:hAnsiTheme="majorBidi" w:cstheme="majorBidi"/>
          <w:sz w:val="24"/>
          <w:szCs w:val="24"/>
        </w:rPr>
        <w:t xml:space="preserve">ette disposition </w:t>
      </w:r>
      <w:r w:rsidR="00B87118" w:rsidRPr="00E812F3">
        <w:rPr>
          <w:rFonts w:asciiTheme="majorBidi" w:hAnsiTheme="majorBidi" w:cstheme="majorBidi"/>
          <w:sz w:val="24"/>
          <w:szCs w:val="24"/>
        </w:rPr>
        <w:t xml:space="preserve">fait partie </w:t>
      </w:r>
      <w:r w:rsidR="00780C14" w:rsidRPr="00E812F3">
        <w:rPr>
          <w:rFonts w:asciiTheme="majorBidi" w:hAnsiTheme="majorBidi" w:cstheme="majorBidi"/>
          <w:sz w:val="24"/>
          <w:szCs w:val="24"/>
        </w:rPr>
        <w:t xml:space="preserve">de nombreuses lois sur la (LBC/FT) </w:t>
      </w:r>
      <w:r w:rsidR="00DD5C8F" w:rsidRPr="00E812F3">
        <w:rPr>
          <w:rFonts w:asciiTheme="majorBidi" w:hAnsiTheme="majorBidi" w:cstheme="majorBidi"/>
          <w:sz w:val="24"/>
          <w:szCs w:val="24"/>
        </w:rPr>
        <w:t xml:space="preserve">notamment, la réglementation algérienne qui a pris en considération la mesure </w:t>
      </w:r>
      <w:r w:rsidR="005F7BF2">
        <w:rPr>
          <w:rFonts w:asciiTheme="majorBidi" w:hAnsiTheme="majorBidi" w:cstheme="majorBidi"/>
          <w:sz w:val="24"/>
          <w:szCs w:val="24"/>
        </w:rPr>
        <w:t>établie</w:t>
      </w:r>
      <w:r>
        <w:rPr>
          <w:rFonts w:asciiTheme="majorBidi" w:hAnsiTheme="majorBidi" w:cstheme="majorBidi"/>
          <w:sz w:val="24"/>
          <w:szCs w:val="24"/>
        </w:rPr>
        <w:t xml:space="preserve"> par le GAFI dans sa </w:t>
      </w:r>
      <w:r w:rsidR="00DD5C8F" w:rsidRPr="00E812F3">
        <w:rPr>
          <w:rFonts w:asciiTheme="majorBidi" w:hAnsiTheme="majorBidi" w:cstheme="majorBidi"/>
          <w:sz w:val="24"/>
          <w:szCs w:val="24"/>
        </w:rPr>
        <w:t>recommandation n°14.</w:t>
      </w:r>
    </w:p>
    <w:p w:rsidR="00780C14" w:rsidRPr="00E812F3" w:rsidRDefault="00B35169" w:rsidP="00DD5173">
      <w:pPr>
        <w:autoSpaceDE w:val="0"/>
        <w:autoSpaceDN w:val="0"/>
        <w:adjustRightInd w:val="0"/>
        <w:spacing w:before="240" w:line="360" w:lineRule="auto"/>
        <w:jc w:val="both"/>
        <w:rPr>
          <w:rFonts w:asciiTheme="majorBidi" w:hAnsiTheme="majorBidi" w:cstheme="majorBidi"/>
          <w:sz w:val="24"/>
          <w:szCs w:val="24"/>
        </w:rPr>
      </w:pPr>
      <w:r>
        <w:rPr>
          <w:rFonts w:asciiTheme="majorBidi" w:hAnsiTheme="majorBidi" w:cstheme="majorBidi"/>
          <w:sz w:val="24"/>
          <w:szCs w:val="24"/>
        </w:rPr>
        <w:tab/>
      </w:r>
      <w:r w:rsidR="00E1466D">
        <w:rPr>
          <w:rFonts w:asciiTheme="majorBidi" w:hAnsiTheme="majorBidi" w:cstheme="majorBidi"/>
          <w:sz w:val="24"/>
          <w:szCs w:val="24"/>
        </w:rPr>
        <w:tab/>
      </w:r>
      <w:r w:rsidR="00DD5173">
        <w:rPr>
          <w:rFonts w:asciiTheme="majorBidi" w:hAnsiTheme="majorBidi" w:cstheme="majorBidi"/>
          <w:sz w:val="24"/>
          <w:szCs w:val="24"/>
        </w:rPr>
        <w:t>La</w:t>
      </w:r>
      <w:r w:rsidR="00DD5173">
        <w:rPr>
          <w:rFonts w:asciiTheme="majorBidi" w:hAnsiTheme="majorBidi" w:cstheme="majorBidi"/>
          <w:bCs/>
          <w:sz w:val="24"/>
          <w:szCs w:val="24"/>
        </w:rPr>
        <w:t xml:space="preserve"> réglementation algérienne précise </w:t>
      </w:r>
      <w:r w:rsidR="00780C14" w:rsidRPr="00E812F3">
        <w:rPr>
          <w:rFonts w:asciiTheme="majorBidi" w:hAnsiTheme="majorBidi" w:cstheme="majorBidi"/>
          <w:bCs/>
          <w:sz w:val="24"/>
          <w:szCs w:val="24"/>
        </w:rPr>
        <w:t xml:space="preserve">que </w:t>
      </w:r>
      <w:r w:rsidR="0009085B" w:rsidRPr="00E812F3">
        <w:rPr>
          <w:rFonts w:asciiTheme="majorBidi" w:hAnsiTheme="majorBidi" w:cstheme="majorBidi"/>
          <w:bCs/>
          <w:sz w:val="24"/>
          <w:szCs w:val="24"/>
        </w:rPr>
        <w:t>l</w:t>
      </w:r>
      <w:r w:rsidR="00780C14" w:rsidRPr="00E812F3">
        <w:rPr>
          <w:rFonts w:asciiTheme="majorBidi" w:hAnsiTheme="majorBidi" w:cstheme="majorBidi"/>
          <w:sz w:val="24"/>
          <w:szCs w:val="24"/>
        </w:rPr>
        <w:t xml:space="preserve">a déclaration de soupçon est à </w:t>
      </w:r>
      <w:r w:rsidR="005F7BF2">
        <w:rPr>
          <w:rFonts w:asciiTheme="majorBidi" w:hAnsiTheme="majorBidi" w:cstheme="majorBidi"/>
          <w:sz w:val="24"/>
          <w:szCs w:val="24"/>
        </w:rPr>
        <w:t>destination exclusive de la CTRF</w:t>
      </w:r>
      <w:r w:rsidR="00780C14" w:rsidRPr="00E812F3">
        <w:rPr>
          <w:rFonts w:asciiTheme="majorBidi" w:hAnsiTheme="majorBidi" w:cstheme="majorBidi"/>
          <w:sz w:val="24"/>
          <w:szCs w:val="24"/>
        </w:rPr>
        <w:t xml:space="preserve"> et les suites qui lui sont réservées entrent dans le cadre du secret professionnel et ne peuvent être portées à la connaissance du client ou du bénéficiaire des opérations</w:t>
      </w:r>
      <w:r w:rsidR="00DD5C8F" w:rsidRPr="00E812F3">
        <w:rPr>
          <w:rStyle w:val="Appelnotedebasdep"/>
          <w:rFonts w:asciiTheme="majorBidi" w:hAnsiTheme="majorBidi" w:cstheme="majorBidi"/>
          <w:sz w:val="24"/>
          <w:szCs w:val="24"/>
        </w:rPr>
        <w:footnoteReference w:id="24"/>
      </w:r>
      <w:r w:rsidR="00780C14" w:rsidRPr="00E812F3">
        <w:rPr>
          <w:rFonts w:asciiTheme="majorBidi" w:hAnsiTheme="majorBidi" w:cstheme="majorBidi"/>
          <w:sz w:val="24"/>
          <w:szCs w:val="24"/>
        </w:rPr>
        <w:t>.</w:t>
      </w:r>
    </w:p>
    <w:p w:rsidR="00780C14" w:rsidRPr="00E812F3" w:rsidRDefault="00B35169" w:rsidP="001C4A84">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ab/>
      </w:r>
      <w:r w:rsidR="001C4A84">
        <w:rPr>
          <w:rFonts w:asciiTheme="majorBidi" w:hAnsiTheme="majorBidi" w:cstheme="majorBidi"/>
          <w:sz w:val="24"/>
          <w:szCs w:val="24"/>
        </w:rPr>
        <w:tab/>
      </w:r>
      <w:r w:rsidR="0055307D">
        <w:rPr>
          <w:rFonts w:asciiTheme="majorBidi" w:hAnsiTheme="majorBidi" w:cstheme="majorBidi"/>
          <w:sz w:val="24"/>
          <w:szCs w:val="24"/>
        </w:rPr>
        <w:t xml:space="preserve">Ces </w:t>
      </w:r>
      <w:r w:rsidR="00780C14" w:rsidRPr="00E812F3">
        <w:rPr>
          <w:rFonts w:asciiTheme="majorBidi" w:hAnsiTheme="majorBidi" w:cstheme="majorBidi"/>
          <w:sz w:val="24"/>
          <w:szCs w:val="24"/>
        </w:rPr>
        <w:t xml:space="preserve">déclarations de soupçons selon </w:t>
      </w:r>
      <w:r w:rsidR="00DD5C8F" w:rsidRPr="00E812F3">
        <w:rPr>
          <w:rFonts w:asciiTheme="majorBidi" w:hAnsiTheme="majorBidi" w:cstheme="majorBidi"/>
          <w:sz w:val="24"/>
          <w:szCs w:val="24"/>
        </w:rPr>
        <w:t>l’article 11</w:t>
      </w:r>
      <w:r w:rsidR="0009085B" w:rsidRPr="00E812F3">
        <w:rPr>
          <w:rFonts w:asciiTheme="majorBidi" w:hAnsiTheme="majorBidi" w:cstheme="majorBidi"/>
          <w:sz w:val="24"/>
          <w:szCs w:val="24"/>
        </w:rPr>
        <w:t xml:space="preserve"> </w:t>
      </w:r>
      <w:r w:rsidR="001C4A84">
        <w:rPr>
          <w:rFonts w:asciiTheme="majorBidi" w:hAnsiTheme="majorBidi" w:cstheme="majorBidi"/>
          <w:sz w:val="24"/>
          <w:szCs w:val="24"/>
        </w:rPr>
        <w:t>du règlement de la b</w:t>
      </w:r>
      <w:r w:rsidR="00DD5C8F" w:rsidRPr="00E812F3">
        <w:rPr>
          <w:rFonts w:asciiTheme="majorBidi" w:hAnsiTheme="majorBidi" w:cstheme="majorBidi"/>
          <w:sz w:val="24"/>
          <w:szCs w:val="24"/>
        </w:rPr>
        <w:t>anque d’</w:t>
      </w:r>
      <w:r w:rsidR="00780C14" w:rsidRPr="00E812F3">
        <w:rPr>
          <w:rFonts w:asciiTheme="majorBidi" w:hAnsiTheme="majorBidi" w:cstheme="majorBidi"/>
          <w:sz w:val="24"/>
          <w:szCs w:val="24"/>
        </w:rPr>
        <w:t>A</w:t>
      </w:r>
      <w:r w:rsidR="00DD5C8F" w:rsidRPr="00E812F3">
        <w:rPr>
          <w:rFonts w:asciiTheme="majorBidi" w:hAnsiTheme="majorBidi" w:cstheme="majorBidi"/>
          <w:sz w:val="24"/>
          <w:szCs w:val="24"/>
        </w:rPr>
        <w:t>lgérie</w:t>
      </w:r>
      <w:r w:rsidR="005F7BF2">
        <w:rPr>
          <w:rFonts w:asciiTheme="majorBidi" w:hAnsiTheme="majorBidi" w:cstheme="majorBidi"/>
          <w:sz w:val="24"/>
          <w:szCs w:val="24"/>
        </w:rPr>
        <w:t xml:space="preserve"> doivent être faites dés qu</w:t>
      </w:r>
      <w:r w:rsidR="00780C14" w:rsidRPr="00E812F3">
        <w:rPr>
          <w:rFonts w:asciiTheme="majorBidi" w:hAnsiTheme="majorBidi" w:cstheme="majorBidi"/>
          <w:sz w:val="24"/>
          <w:szCs w:val="24"/>
        </w:rPr>
        <w:t>‘</w:t>
      </w:r>
      <w:r w:rsidR="005F7BF2">
        <w:rPr>
          <w:rFonts w:asciiTheme="majorBidi" w:hAnsiTheme="majorBidi" w:cstheme="majorBidi"/>
          <w:sz w:val="24"/>
          <w:szCs w:val="24"/>
        </w:rPr>
        <w:t xml:space="preserve"> </w:t>
      </w:r>
      <w:r w:rsidR="00780C14" w:rsidRPr="00E812F3">
        <w:rPr>
          <w:rFonts w:asciiTheme="majorBidi" w:hAnsiTheme="majorBidi" w:cstheme="majorBidi"/>
          <w:sz w:val="24"/>
          <w:szCs w:val="24"/>
        </w:rPr>
        <w:t>il y</w:t>
      </w:r>
      <w:r w:rsidR="005F7BF2">
        <w:rPr>
          <w:rFonts w:asciiTheme="majorBidi" w:hAnsiTheme="majorBidi" w:cstheme="majorBidi"/>
          <w:sz w:val="24"/>
          <w:szCs w:val="24"/>
        </w:rPr>
        <w:t xml:space="preserve"> </w:t>
      </w:r>
      <w:r w:rsidR="00780C14" w:rsidRPr="00E812F3">
        <w:rPr>
          <w:rFonts w:asciiTheme="majorBidi" w:hAnsiTheme="majorBidi" w:cstheme="majorBidi"/>
          <w:sz w:val="24"/>
          <w:szCs w:val="24"/>
        </w:rPr>
        <w:t>a soupçon, même s’il a été impossible de surseoir à l’exécution des opérations ou postérieurement à leur réalisation. D’une manière clair</w:t>
      </w:r>
      <w:r w:rsidR="00DD5C8F" w:rsidRPr="00E812F3">
        <w:rPr>
          <w:rFonts w:asciiTheme="majorBidi" w:hAnsiTheme="majorBidi" w:cstheme="majorBidi"/>
          <w:sz w:val="24"/>
          <w:szCs w:val="24"/>
        </w:rPr>
        <w:t xml:space="preserve">, </w:t>
      </w:r>
      <w:r w:rsidR="00780C14" w:rsidRPr="00E812F3">
        <w:rPr>
          <w:rFonts w:asciiTheme="majorBidi" w:hAnsiTheme="majorBidi" w:cstheme="majorBidi"/>
          <w:sz w:val="24"/>
          <w:szCs w:val="24"/>
        </w:rPr>
        <w:t>il s’agit de deux obligations incompatibles dont les conséquences sont supportées seulement par le déclarant qui se trouve à chaque fois tenu de présenter des excuses à son client pour justifier son</w:t>
      </w:r>
      <w:r w:rsidR="005F7BF2">
        <w:rPr>
          <w:rFonts w:asciiTheme="majorBidi" w:hAnsiTheme="majorBidi" w:cstheme="majorBidi"/>
          <w:sz w:val="24"/>
          <w:szCs w:val="24"/>
        </w:rPr>
        <w:t xml:space="preserve"> refus d’exécuter l’opération, chose </w:t>
      </w:r>
      <w:r w:rsidR="00780C14" w:rsidRPr="00E812F3">
        <w:rPr>
          <w:rFonts w:asciiTheme="majorBidi" w:hAnsiTheme="majorBidi" w:cstheme="majorBidi"/>
          <w:sz w:val="24"/>
          <w:szCs w:val="24"/>
        </w:rPr>
        <w:t xml:space="preserve">qui n’est pas aussi évidente </w:t>
      </w:r>
      <w:r w:rsidR="005F7BF2">
        <w:rPr>
          <w:rFonts w:asciiTheme="majorBidi" w:hAnsiTheme="majorBidi" w:cstheme="majorBidi"/>
          <w:sz w:val="24"/>
          <w:szCs w:val="24"/>
        </w:rPr>
        <w:t xml:space="preserve">devant </w:t>
      </w:r>
      <w:r w:rsidR="00780C14" w:rsidRPr="00E812F3">
        <w:rPr>
          <w:rFonts w:asciiTheme="majorBidi" w:hAnsiTheme="majorBidi" w:cstheme="majorBidi"/>
          <w:sz w:val="24"/>
          <w:szCs w:val="24"/>
        </w:rPr>
        <w:t xml:space="preserve">un client </w:t>
      </w:r>
      <w:r w:rsidR="00377DE2">
        <w:rPr>
          <w:rFonts w:asciiTheme="majorBidi" w:hAnsiTheme="majorBidi" w:cstheme="majorBidi"/>
          <w:sz w:val="24"/>
          <w:szCs w:val="24"/>
        </w:rPr>
        <w:t xml:space="preserve">éveillé </w:t>
      </w:r>
      <w:r w:rsidR="00780C14" w:rsidRPr="00E812F3">
        <w:rPr>
          <w:rFonts w:asciiTheme="majorBidi" w:hAnsiTheme="majorBidi" w:cstheme="majorBidi"/>
          <w:sz w:val="24"/>
          <w:szCs w:val="24"/>
        </w:rPr>
        <w:t>qui</w:t>
      </w:r>
      <w:r w:rsidR="005F7BF2">
        <w:rPr>
          <w:rFonts w:asciiTheme="majorBidi" w:hAnsiTheme="majorBidi" w:cstheme="majorBidi"/>
          <w:sz w:val="24"/>
          <w:szCs w:val="24"/>
        </w:rPr>
        <w:t xml:space="preserve"> peut </w:t>
      </w:r>
      <w:r w:rsidR="00780C14" w:rsidRPr="00E812F3">
        <w:rPr>
          <w:rFonts w:asciiTheme="majorBidi" w:hAnsiTheme="majorBidi" w:cstheme="majorBidi"/>
          <w:sz w:val="24"/>
          <w:szCs w:val="24"/>
        </w:rPr>
        <w:t xml:space="preserve"> </w:t>
      </w:r>
      <w:r w:rsidR="005F7BF2" w:rsidRPr="00E812F3">
        <w:rPr>
          <w:rFonts w:asciiTheme="majorBidi" w:hAnsiTheme="majorBidi" w:cstheme="majorBidi"/>
          <w:sz w:val="24"/>
          <w:szCs w:val="24"/>
        </w:rPr>
        <w:t>interpréte</w:t>
      </w:r>
      <w:r w:rsidR="005F7BF2">
        <w:rPr>
          <w:rFonts w:asciiTheme="majorBidi" w:hAnsiTheme="majorBidi" w:cstheme="majorBidi"/>
          <w:sz w:val="24"/>
          <w:szCs w:val="24"/>
        </w:rPr>
        <w:t>r</w:t>
      </w:r>
      <w:r w:rsidR="00377DE2">
        <w:rPr>
          <w:rFonts w:asciiTheme="majorBidi" w:hAnsiTheme="majorBidi" w:cstheme="majorBidi"/>
          <w:sz w:val="24"/>
          <w:szCs w:val="24"/>
        </w:rPr>
        <w:t xml:space="preserve"> facilement cette </w:t>
      </w:r>
      <w:r w:rsidR="00780C14" w:rsidRPr="00E812F3">
        <w:rPr>
          <w:rFonts w:asciiTheme="majorBidi" w:hAnsiTheme="majorBidi" w:cstheme="majorBidi"/>
          <w:sz w:val="24"/>
          <w:szCs w:val="24"/>
        </w:rPr>
        <w:t xml:space="preserve">réticence </w:t>
      </w:r>
      <w:r w:rsidR="001C4A84">
        <w:rPr>
          <w:rFonts w:asciiTheme="majorBidi" w:hAnsiTheme="majorBidi" w:cstheme="majorBidi"/>
          <w:sz w:val="24"/>
          <w:szCs w:val="24"/>
        </w:rPr>
        <w:t xml:space="preserve">et agir en conséquence, </w:t>
      </w:r>
      <w:r w:rsidR="00D67114">
        <w:rPr>
          <w:rFonts w:asciiTheme="majorBidi" w:hAnsiTheme="majorBidi" w:cstheme="majorBidi"/>
          <w:sz w:val="24"/>
          <w:szCs w:val="24"/>
        </w:rPr>
        <w:t>entrainant</w:t>
      </w:r>
      <w:r w:rsidR="00377DE2">
        <w:rPr>
          <w:rFonts w:asciiTheme="majorBidi" w:hAnsiTheme="majorBidi" w:cstheme="majorBidi"/>
          <w:sz w:val="24"/>
          <w:szCs w:val="24"/>
        </w:rPr>
        <w:t xml:space="preserve"> indirectement </w:t>
      </w:r>
      <w:r w:rsidR="00D67114">
        <w:rPr>
          <w:rFonts w:asciiTheme="majorBidi" w:hAnsiTheme="majorBidi" w:cstheme="majorBidi"/>
          <w:sz w:val="24"/>
          <w:szCs w:val="24"/>
        </w:rPr>
        <w:t xml:space="preserve">le </w:t>
      </w:r>
      <w:r w:rsidR="00366F44" w:rsidRPr="00E812F3">
        <w:rPr>
          <w:rFonts w:asciiTheme="majorBidi" w:hAnsiTheme="majorBidi" w:cstheme="majorBidi"/>
          <w:sz w:val="24"/>
          <w:szCs w:val="24"/>
        </w:rPr>
        <w:t xml:space="preserve">banquier </w:t>
      </w:r>
      <w:r w:rsidR="001C4A84">
        <w:rPr>
          <w:rFonts w:asciiTheme="majorBidi" w:hAnsiTheme="majorBidi" w:cstheme="majorBidi"/>
          <w:sz w:val="24"/>
          <w:szCs w:val="24"/>
        </w:rPr>
        <w:t>dans une affaire de</w:t>
      </w:r>
      <w:r w:rsidR="00366F44" w:rsidRPr="00E812F3">
        <w:rPr>
          <w:rFonts w:asciiTheme="majorBidi" w:hAnsiTheme="majorBidi" w:cstheme="majorBidi"/>
          <w:sz w:val="24"/>
          <w:szCs w:val="24"/>
        </w:rPr>
        <w:t xml:space="preserve"> divulgation du secret </w:t>
      </w:r>
      <w:r w:rsidR="001C4A84">
        <w:rPr>
          <w:rFonts w:asciiTheme="majorBidi" w:hAnsiTheme="majorBidi" w:cstheme="majorBidi"/>
          <w:sz w:val="24"/>
          <w:szCs w:val="24"/>
        </w:rPr>
        <w:t>bancaire</w:t>
      </w:r>
      <w:r w:rsidR="00366F44" w:rsidRPr="00E812F3">
        <w:rPr>
          <w:rFonts w:asciiTheme="majorBidi" w:hAnsiTheme="majorBidi" w:cstheme="majorBidi"/>
          <w:sz w:val="24"/>
          <w:szCs w:val="24"/>
        </w:rPr>
        <w:t>.</w:t>
      </w:r>
    </w:p>
    <w:p w:rsidR="00157F61" w:rsidRDefault="00B35169" w:rsidP="00157F61">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ab/>
      </w:r>
      <w:r w:rsidR="001C4A84">
        <w:rPr>
          <w:rFonts w:asciiTheme="majorBidi" w:hAnsiTheme="majorBidi" w:cstheme="majorBidi"/>
          <w:sz w:val="24"/>
          <w:szCs w:val="24"/>
        </w:rPr>
        <w:tab/>
      </w:r>
      <w:r w:rsidR="00780C14" w:rsidRPr="00E812F3">
        <w:rPr>
          <w:rFonts w:asciiTheme="majorBidi" w:hAnsiTheme="majorBidi" w:cstheme="majorBidi"/>
          <w:sz w:val="24"/>
          <w:szCs w:val="24"/>
        </w:rPr>
        <w:t xml:space="preserve">En fait, le législateur algérien a essayé d’atténuer un peu la pression sur le déclarant, en autorisant les déclarations d’opérations suspectes </w:t>
      </w:r>
      <w:r w:rsidR="0009085B" w:rsidRPr="00E812F3">
        <w:rPr>
          <w:rFonts w:asciiTheme="majorBidi" w:hAnsiTheme="majorBidi" w:cstheme="majorBidi"/>
          <w:sz w:val="24"/>
          <w:szCs w:val="24"/>
        </w:rPr>
        <w:t xml:space="preserve">même </w:t>
      </w:r>
      <w:r w:rsidR="00780C14" w:rsidRPr="00E812F3">
        <w:rPr>
          <w:rFonts w:asciiTheme="majorBidi" w:hAnsiTheme="majorBidi" w:cstheme="majorBidi"/>
          <w:sz w:val="24"/>
          <w:szCs w:val="24"/>
        </w:rPr>
        <w:t xml:space="preserve">après </w:t>
      </w:r>
      <w:r w:rsidR="00F72DAE">
        <w:rPr>
          <w:rFonts w:asciiTheme="majorBidi" w:hAnsiTheme="majorBidi" w:cstheme="majorBidi"/>
          <w:sz w:val="24"/>
          <w:szCs w:val="24"/>
        </w:rPr>
        <w:t xml:space="preserve">l’exécution </w:t>
      </w:r>
      <w:r w:rsidR="0025115C" w:rsidRPr="00E812F3">
        <w:rPr>
          <w:rFonts w:asciiTheme="majorBidi" w:hAnsiTheme="majorBidi" w:cstheme="majorBidi"/>
          <w:sz w:val="24"/>
          <w:szCs w:val="24"/>
        </w:rPr>
        <w:t>de l’opération.</w:t>
      </w:r>
      <w:r w:rsidR="00F72DAE">
        <w:rPr>
          <w:rFonts w:asciiTheme="majorBidi" w:hAnsiTheme="majorBidi" w:cstheme="majorBidi"/>
          <w:sz w:val="24"/>
          <w:szCs w:val="24"/>
        </w:rPr>
        <w:t xml:space="preserve"> Seulement, cette </w:t>
      </w:r>
      <w:r w:rsidR="00674581" w:rsidRPr="00E812F3">
        <w:rPr>
          <w:rFonts w:asciiTheme="majorBidi" w:hAnsiTheme="majorBidi" w:cstheme="majorBidi"/>
          <w:sz w:val="24"/>
          <w:szCs w:val="24"/>
        </w:rPr>
        <w:t>a</w:t>
      </w:r>
      <w:r w:rsidR="0009085B" w:rsidRPr="00E812F3">
        <w:rPr>
          <w:rFonts w:asciiTheme="majorBidi" w:hAnsiTheme="majorBidi" w:cstheme="majorBidi"/>
          <w:sz w:val="24"/>
          <w:szCs w:val="24"/>
        </w:rPr>
        <w:t xml:space="preserve">utorisation </w:t>
      </w:r>
      <w:r w:rsidR="00674581" w:rsidRPr="00E812F3">
        <w:rPr>
          <w:rFonts w:asciiTheme="majorBidi" w:hAnsiTheme="majorBidi" w:cstheme="majorBidi"/>
          <w:sz w:val="24"/>
          <w:szCs w:val="24"/>
        </w:rPr>
        <w:t>peut</w:t>
      </w:r>
      <w:r w:rsidR="0009085B" w:rsidRPr="00E812F3">
        <w:rPr>
          <w:rFonts w:asciiTheme="majorBidi" w:hAnsiTheme="majorBidi" w:cstheme="majorBidi"/>
          <w:sz w:val="24"/>
          <w:szCs w:val="24"/>
        </w:rPr>
        <w:t xml:space="preserve"> pose</w:t>
      </w:r>
      <w:r w:rsidR="00674581" w:rsidRPr="00E812F3">
        <w:rPr>
          <w:rFonts w:asciiTheme="majorBidi" w:hAnsiTheme="majorBidi" w:cstheme="majorBidi"/>
          <w:sz w:val="24"/>
          <w:szCs w:val="24"/>
        </w:rPr>
        <w:t>r</w:t>
      </w:r>
      <w:r w:rsidR="0009085B" w:rsidRPr="00E812F3">
        <w:rPr>
          <w:rFonts w:asciiTheme="majorBidi" w:hAnsiTheme="majorBidi" w:cstheme="majorBidi"/>
          <w:sz w:val="24"/>
          <w:szCs w:val="24"/>
        </w:rPr>
        <w:t xml:space="preserve"> </w:t>
      </w:r>
      <w:r w:rsidR="00F72DAE">
        <w:rPr>
          <w:rFonts w:asciiTheme="majorBidi" w:hAnsiTheme="majorBidi" w:cstheme="majorBidi"/>
          <w:sz w:val="24"/>
          <w:szCs w:val="24"/>
        </w:rPr>
        <w:t xml:space="preserve">un sérieux </w:t>
      </w:r>
      <w:r w:rsidR="0009085B" w:rsidRPr="00E812F3">
        <w:rPr>
          <w:rFonts w:asciiTheme="majorBidi" w:hAnsiTheme="majorBidi" w:cstheme="majorBidi"/>
          <w:sz w:val="24"/>
          <w:szCs w:val="24"/>
        </w:rPr>
        <w:t xml:space="preserve">problème quant à </w:t>
      </w:r>
      <w:r w:rsidR="00780C14" w:rsidRPr="00E812F3">
        <w:rPr>
          <w:rFonts w:asciiTheme="majorBidi" w:hAnsiTheme="majorBidi" w:cstheme="majorBidi"/>
          <w:sz w:val="24"/>
          <w:szCs w:val="24"/>
        </w:rPr>
        <w:t>la possibilité d’utiliser ce motif par le déclarant en faisant seulement des décla</w:t>
      </w:r>
      <w:r w:rsidR="0009085B" w:rsidRPr="00E812F3">
        <w:rPr>
          <w:rFonts w:asciiTheme="majorBidi" w:hAnsiTheme="majorBidi" w:cstheme="majorBidi"/>
          <w:sz w:val="24"/>
          <w:szCs w:val="24"/>
        </w:rPr>
        <w:t xml:space="preserve">rations dites de « couverture ». </w:t>
      </w:r>
      <w:r w:rsidR="005B28C3" w:rsidRPr="00E812F3">
        <w:rPr>
          <w:rFonts w:asciiTheme="majorBidi" w:hAnsiTheme="majorBidi" w:cstheme="majorBidi"/>
          <w:sz w:val="24"/>
          <w:szCs w:val="24"/>
        </w:rPr>
        <w:t>Dans ce cas, ces</w:t>
      </w:r>
      <w:r w:rsidR="00780C14" w:rsidRPr="00E812F3">
        <w:rPr>
          <w:rFonts w:asciiTheme="majorBidi" w:hAnsiTheme="majorBidi" w:cstheme="majorBidi"/>
          <w:sz w:val="24"/>
          <w:szCs w:val="24"/>
        </w:rPr>
        <w:t xml:space="preserve"> déclarations pourraient être considérées comme ayant été effectuées en mauvaise foi </w:t>
      </w:r>
      <w:r w:rsidR="00F55B69">
        <w:rPr>
          <w:rFonts w:asciiTheme="majorBidi" w:hAnsiTheme="majorBidi" w:cstheme="majorBidi"/>
          <w:sz w:val="24"/>
          <w:szCs w:val="24"/>
        </w:rPr>
        <w:t>ou</w:t>
      </w:r>
      <w:r w:rsidR="00780C14" w:rsidRPr="00E812F3">
        <w:rPr>
          <w:rFonts w:asciiTheme="majorBidi" w:hAnsiTheme="majorBidi" w:cstheme="majorBidi"/>
          <w:sz w:val="24"/>
          <w:szCs w:val="24"/>
        </w:rPr>
        <w:t xml:space="preserve"> effectuées après l’exécution de l’opération alors que les soupçons étaient nés auparavant et que la déclaration aurait dû être faite à ce moment là. </w:t>
      </w:r>
      <w:r w:rsidR="00F55B69">
        <w:rPr>
          <w:rFonts w:asciiTheme="majorBidi" w:hAnsiTheme="majorBidi" w:cstheme="majorBidi"/>
          <w:sz w:val="24"/>
          <w:szCs w:val="24"/>
        </w:rPr>
        <w:t>Dès lors,</w:t>
      </w:r>
      <w:r w:rsidR="00780C14" w:rsidRPr="00E812F3">
        <w:rPr>
          <w:rFonts w:asciiTheme="majorBidi" w:hAnsiTheme="majorBidi" w:cstheme="majorBidi"/>
          <w:sz w:val="24"/>
          <w:szCs w:val="24"/>
        </w:rPr>
        <w:t xml:space="preserve"> l’exonération de</w:t>
      </w:r>
      <w:r w:rsidR="00F55B69">
        <w:rPr>
          <w:rFonts w:asciiTheme="majorBidi" w:hAnsiTheme="majorBidi" w:cstheme="majorBidi"/>
          <w:sz w:val="24"/>
          <w:szCs w:val="24"/>
        </w:rPr>
        <w:t xml:space="preserve"> la </w:t>
      </w:r>
      <w:r w:rsidR="00780C14" w:rsidRPr="00E812F3">
        <w:rPr>
          <w:rFonts w:asciiTheme="majorBidi" w:hAnsiTheme="majorBidi" w:cstheme="majorBidi"/>
          <w:sz w:val="24"/>
          <w:szCs w:val="24"/>
        </w:rPr>
        <w:t xml:space="preserve">responsabilité prévue par la loi risque d’être écartée. </w:t>
      </w:r>
      <w:bookmarkStart w:id="34" w:name="_Toc213679737"/>
      <w:bookmarkStart w:id="35" w:name="_Toc214819900"/>
      <w:bookmarkStart w:id="36" w:name="_Toc215034482"/>
    </w:p>
    <w:p w:rsidR="009800A1" w:rsidRDefault="009800A1" w:rsidP="00157F61">
      <w:pPr>
        <w:autoSpaceDE w:val="0"/>
        <w:autoSpaceDN w:val="0"/>
        <w:adjustRightInd w:val="0"/>
        <w:spacing w:line="360" w:lineRule="auto"/>
        <w:jc w:val="both"/>
        <w:rPr>
          <w:rFonts w:asciiTheme="majorBidi" w:hAnsiTheme="majorBidi" w:cstheme="majorBidi"/>
          <w:sz w:val="24"/>
          <w:szCs w:val="24"/>
        </w:rPr>
      </w:pPr>
    </w:p>
    <w:p w:rsidR="00780C14" w:rsidRPr="00157F61" w:rsidRDefault="00FB24D5" w:rsidP="00FB24D5">
      <w:pPr>
        <w:pStyle w:val="Paragraphedeliste"/>
        <w:numPr>
          <w:ilvl w:val="1"/>
          <w:numId w:val="19"/>
        </w:numPr>
        <w:tabs>
          <w:tab w:val="left" w:pos="426"/>
        </w:tabs>
        <w:autoSpaceDE w:val="0"/>
        <w:autoSpaceDN w:val="0"/>
        <w:adjustRightInd w:val="0"/>
        <w:spacing w:line="360" w:lineRule="auto"/>
        <w:ind w:left="0" w:firstLine="0"/>
        <w:jc w:val="both"/>
        <w:rPr>
          <w:rStyle w:val="Emphaseintense"/>
          <w:rFonts w:asciiTheme="majorBidi" w:hAnsiTheme="majorBidi" w:cstheme="majorBidi"/>
          <w:b w:val="0"/>
          <w:bCs w:val="0"/>
          <w:i w:val="0"/>
          <w:iCs w:val="0"/>
          <w:color w:val="auto"/>
          <w:sz w:val="24"/>
          <w:szCs w:val="24"/>
        </w:rPr>
      </w:pPr>
      <w:r>
        <w:rPr>
          <w:rStyle w:val="Emphaseintense"/>
          <w:rFonts w:asciiTheme="majorBidi" w:hAnsiTheme="majorBidi" w:cstheme="majorBidi"/>
          <w:i w:val="0"/>
          <w:iCs w:val="0"/>
          <w:color w:val="auto"/>
          <w:sz w:val="24"/>
          <w:szCs w:val="24"/>
        </w:rPr>
        <w:lastRenderedPageBreak/>
        <w:t>La s</w:t>
      </w:r>
      <w:r w:rsidR="00780C14" w:rsidRPr="00157F61">
        <w:rPr>
          <w:rStyle w:val="Emphaseintense"/>
          <w:rFonts w:asciiTheme="majorBidi" w:hAnsiTheme="majorBidi" w:cstheme="majorBidi"/>
          <w:i w:val="0"/>
          <w:iCs w:val="0"/>
          <w:color w:val="auto"/>
          <w:sz w:val="24"/>
          <w:szCs w:val="24"/>
        </w:rPr>
        <w:t xml:space="preserve">anction dans le cas de non respect de l’obligation de </w:t>
      </w:r>
      <w:bookmarkEnd w:id="34"/>
      <w:bookmarkEnd w:id="35"/>
      <w:r w:rsidR="00780C14" w:rsidRPr="00157F61">
        <w:rPr>
          <w:rStyle w:val="Emphaseintense"/>
          <w:rFonts w:asciiTheme="majorBidi" w:hAnsiTheme="majorBidi" w:cstheme="majorBidi"/>
          <w:i w:val="0"/>
          <w:iCs w:val="0"/>
          <w:color w:val="auto"/>
          <w:sz w:val="24"/>
          <w:szCs w:val="24"/>
        </w:rPr>
        <w:t>déclaration</w:t>
      </w:r>
      <w:bookmarkEnd w:id="36"/>
    </w:p>
    <w:p w:rsidR="00780C14" w:rsidRPr="00E812F3" w:rsidRDefault="00B35169" w:rsidP="009800A1">
      <w:pPr>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780C14" w:rsidRPr="00E812F3">
        <w:rPr>
          <w:rFonts w:asciiTheme="majorBidi" w:hAnsiTheme="majorBidi" w:cstheme="majorBidi"/>
          <w:sz w:val="24"/>
          <w:szCs w:val="24"/>
        </w:rPr>
        <w:t xml:space="preserve">Selon </w:t>
      </w:r>
      <w:r w:rsidR="00805B1E">
        <w:rPr>
          <w:rFonts w:asciiTheme="majorBidi" w:hAnsiTheme="majorBidi" w:cstheme="majorBidi"/>
          <w:sz w:val="24"/>
          <w:szCs w:val="24"/>
        </w:rPr>
        <w:t>la r</w:t>
      </w:r>
      <w:r w:rsidR="00157F61">
        <w:rPr>
          <w:rFonts w:asciiTheme="majorBidi" w:hAnsiTheme="majorBidi" w:cstheme="majorBidi"/>
          <w:sz w:val="24"/>
          <w:szCs w:val="24"/>
        </w:rPr>
        <w:t>ecommandation 14 du GAFI, l</w:t>
      </w:r>
      <w:r w:rsidR="00780C14" w:rsidRPr="00E812F3">
        <w:rPr>
          <w:rFonts w:asciiTheme="majorBidi" w:hAnsiTheme="majorBidi" w:cstheme="majorBidi"/>
          <w:sz w:val="24"/>
          <w:szCs w:val="24"/>
        </w:rPr>
        <w:t>es institutions financières, leurs dirigeants et employés devraient être :</w:t>
      </w:r>
    </w:p>
    <w:p w:rsidR="00780C14" w:rsidRPr="00E812F3" w:rsidRDefault="00157F61" w:rsidP="00E812F3">
      <w:pPr>
        <w:pStyle w:val="Paragraphedeliste"/>
        <w:numPr>
          <w:ilvl w:val="0"/>
          <w:numId w:val="11"/>
        </w:numPr>
        <w:spacing w:line="360" w:lineRule="auto"/>
        <w:jc w:val="both"/>
        <w:rPr>
          <w:rFonts w:asciiTheme="majorBidi" w:hAnsiTheme="majorBidi" w:cstheme="majorBidi"/>
          <w:sz w:val="24"/>
          <w:szCs w:val="24"/>
        </w:rPr>
      </w:pPr>
      <w:r>
        <w:rPr>
          <w:rFonts w:asciiTheme="majorBidi" w:hAnsiTheme="majorBidi" w:cstheme="majorBidi"/>
          <w:sz w:val="24"/>
          <w:szCs w:val="24"/>
        </w:rPr>
        <w:t>p</w:t>
      </w:r>
      <w:r w:rsidR="00780C14" w:rsidRPr="00E812F3">
        <w:rPr>
          <w:rFonts w:asciiTheme="majorBidi" w:hAnsiTheme="majorBidi" w:cstheme="majorBidi"/>
          <w:sz w:val="24"/>
          <w:szCs w:val="24"/>
        </w:rPr>
        <w:t>rotégés par des dispositions légales contre toute responsabilité, pénale ou civile pour violation des règles de confident</w:t>
      </w:r>
      <w:r w:rsidR="0056792E" w:rsidRPr="00E812F3">
        <w:rPr>
          <w:rFonts w:asciiTheme="majorBidi" w:hAnsiTheme="majorBidi" w:cstheme="majorBidi"/>
          <w:sz w:val="24"/>
          <w:szCs w:val="24"/>
        </w:rPr>
        <w:t xml:space="preserve">ialité </w:t>
      </w:r>
      <w:r w:rsidR="00780C14" w:rsidRPr="00E812F3">
        <w:rPr>
          <w:rFonts w:asciiTheme="majorBidi" w:hAnsiTheme="majorBidi" w:cstheme="majorBidi"/>
          <w:sz w:val="24"/>
          <w:szCs w:val="24"/>
        </w:rPr>
        <w:t xml:space="preserve">qu’elles soient imposées par contrat ou par toute disposition législative, </w:t>
      </w:r>
      <w:r w:rsidR="0056792E" w:rsidRPr="00E812F3">
        <w:rPr>
          <w:rFonts w:asciiTheme="majorBidi" w:hAnsiTheme="majorBidi" w:cstheme="majorBidi"/>
          <w:sz w:val="24"/>
          <w:szCs w:val="24"/>
        </w:rPr>
        <w:t>réglementaire ou administrative</w:t>
      </w:r>
      <w:r w:rsidR="00780C14" w:rsidRPr="00E812F3">
        <w:rPr>
          <w:rFonts w:asciiTheme="majorBidi" w:hAnsiTheme="majorBidi" w:cstheme="majorBidi"/>
          <w:sz w:val="24"/>
          <w:szCs w:val="24"/>
        </w:rPr>
        <w:t xml:space="preserve"> s’ils déclarent de bonne foi leurs soupçons à la CRF, même s’ils ne savaient pas précisément quelle était l'activité criminelle en question, et même si l'activité illégale ayant fait l'objet du soupçon ne s’est pas réellement produite.</w:t>
      </w:r>
    </w:p>
    <w:p w:rsidR="0056792E" w:rsidRPr="00E812F3" w:rsidRDefault="00157F61" w:rsidP="00E812F3">
      <w:pPr>
        <w:pStyle w:val="Paragraphedeliste"/>
        <w:numPr>
          <w:ilvl w:val="0"/>
          <w:numId w:val="1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s</w:t>
      </w:r>
      <w:r w:rsidR="00780C14" w:rsidRPr="00E812F3">
        <w:rPr>
          <w:rFonts w:asciiTheme="majorBidi" w:hAnsiTheme="majorBidi" w:cstheme="majorBidi"/>
          <w:sz w:val="24"/>
          <w:szCs w:val="24"/>
        </w:rPr>
        <w:t>oumis à une interdiction légale de divulguer le fait qu'une déclaration d’opérations suspectes ou une information qui la concerne est communiquée à une CRF</w:t>
      </w:r>
      <w:r w:rsidR="0056792E" w:rsidRPr="00E812F3">
        <w:rPr>
          <w:rFonts w:asciiTheme="majorBidi" w:hAnsiTheme="majorBidi" w:cstheme="majorBidi"/>
          <w:sz w:val="24"/>
          <w:szCs w:val="24"/>
        </w:rPr>
        <w:t>.</w:t>
      </w:r>
    </w:p>
    <w:p w:rsidR="000F0F5A" w:rsidRPr="00E812F3" w:rsidRDefault="00B35169" w:rsidP="00805B1E">
      <w:pPr>
        <w:autoSpaceDE w:val="0"/>
        <w:autoSpaceDN w:val="0"/>
        <w:adjustRightInd w:val="0"/>
        <w:spacing w:after="0" w:line="360" w:lineRule="auto"/>
        <w:jc w:val="both"/>
        <w:rPr>
          <w:rFonts w:asciiTheme="majorBidi" w:eastAsiaTheme="minorHAnsi" w:hAnsiTheme="majorBidi" w:cstheme="majorBidi"/>
          <w:color w:val="000000"/>
          <w:sz w:val="24"/>
          <w:szCs w:val="24"/>
        </w:rPr>
      </w:pPr>
      <w:r>
        <w:rPr>
          <w:rFonts w:asciiTheme="majorBidi" w:hAnsiTheme="majorBidi" w:cstheme="majorBidi"/>
          <w:sz w:val="24"/>
          <w:szCs w:val="24"/>
        </w:rPr>
        <w:tab/>
      </w:r>
      <w:r w:rsidR="00805B1E">
        <w:rPr>
          <w:rFonts w:asciiTheme="majorBidi" w:hAnsiTheme="majorBidi" w:cstheme="majorBidi"/>
          <w:sz w:val="24"/>
          <w:szCs w:val="24"/>
        </w:rPr>
        <w:tab/>
      </w:r>
      <w:r w:rsidR="009E14EA" w:rsidRPr="00E812F3">
        <w:rPr>
          <w:rFonts w:asciiTheme="majorBidi" w:hAnsiTheme="majorBidi" w:cstheme="majorBidi"/>
          <w:sz w:val="24"/>
          <w:szCs w:val="24"/>
        </w:rPr>
        <w:t>Concernant le premier</w:t>
      </w:r>
      <w:r w:rsidR="000F0F5A" w:rsidRPr="00E812F3">
        <w:rPr>
          <w:rFonts w:asciiTheme="majorBidi" w:hAnsiTheme="majorBidi" w:cstheme="majorBidi"/>
          <w:sz w:val="24"/>
          <w:szCs w:val="24"/>
        </w:rPr>
        <w:t xml:space="preserve"> point, le dispositif algérien répond parfaitement à la recommandation du GAFI</w:t>
      </w:r>
      <w:r w:rsidR="00805B1E">
        <w:rPr>
          <w:rFonts w:asciiTheme="majorBidi" w:eastAsiaTheme="minorHAnsi" w:hAnsiTheme="majorBidi" w:cstheme="majorBidi"/>
          <w:color w:val="000000"/>
          <w:sz w:val="24"/>
          <w:szCs w:val="24"/>
        </w:rPr>
        <w:t>. L</w:t>
      </w:r>
      <w:r w:rsidR="000F0F5A" w:rsidRPr="00E812F3">
        <w:rPr>
          <w:rFonts w:asciiTheme="majorBidi" w:eastAsiaTheme="minorHAnsi" w:hAnsiTheme="majorBidi" w:cstheme="majorBidi"/>
          <w:color w:val="000000"/>
          <w:sz w:val="24"/>
          <w:szCs w:val="24"/>
        </w:rPr>
        <w:t xml:space="preserve">es informations communiquées à la CTRF sont confidentielles et ne peuvent être utilisées à d’autres fins que celles prévues par la loi. En effet, l’article 23 de la loi n° 05-01 stipule : « </w:t>
      </w:r>
      <w:r w:rsidR="000F0F5A" w:rsidRPr="00E812F3">
        <w:rPr>
          <w:rFonts w:asciiTheme="majorBidi" w:eastAsiaTheme="minorHAnsi" w:hAnsiTheme="majorBidi" w:cstheme="majorBidi"/>
          <w:i/>
          <w:iCs/>
          <w:color w:val="000000"/>
          <w:sz w:val="24"/>
          <w:szCs w:val="24"/>
        </w:rPr>
        <w:t xml:space="preserve">aucune poursuite pour violation de secret bancaire ou professionnel ne peut être engagé contre les personnes ou les dirigeants et préposés assujettis à la déclaration de soupçon qui, de bonne foi, ont transmis les informations ou effectué les déclarations prévues par la présente loi </w:t>
      </w:r>
      <w:r w:rsidR="000F0F5A" w:rsidRPr="00E812F3">
        <w:rPr>
          <w:rFonts w:asciiTheme="majorBidi" w:eastAsiaTheme="minorHAnsi" w:hAnsiTheme="majorBidi" w:cstheme="majorBidi"/>
          <w:color w:val="000000"/>
          <w:sz w:val="24"/>
          <w:szCs w:val="24"/>
        </w:rPr>
        <w:t xml:space="preserve">». </w:t>
      </w:r>
    </w:p>
    <w:p w:rsidR="000F0F5A" w:rsidRPr="00E812F3" w:rsidRDefault="00B35169" w:rsidP="009800A1">
      <w:pPr>
        <w:autoSpaceDE w:val="0"/>
        <w:autoSpaceDN w:val="0"/>
        <w:adjustRightInd w:val="0"/>
        <w:spacing w:after="0" w:line="360" w:lineRule="auto"/>
        <w:jc w:val="both"/>
        <w:rPr>
          <w:rFonts w:asciiTheme="majorBidi" w:eastAsiaTheme="minorHAnsi" w:hAnsiTheme="majorBidi" w:cstheme="majorBidi"/>
          <w:color w:val="000000"/>
          <w:sz w:val="24"/>
          <w:szCs w:val="24"/>
        </w:rPr>
      </w:pPr>
      <w:r>
        <w:rPr>
          <w:rFonts w:asciiTheme="majorBidi" w:eastAsiaTheme="minorHAnsi" w:hAnsiTheme="majorBidi" w:cstheme="majorBidi"/>
          <w:color w:val="000000"/>
          <w:sz w:val="24"/>
          <w:szCs w:val="24"/>
        </w:rPr>
        <w:tab/>
      </w:r>
      <w:r w:rsidR="00805B1E">
        <w:rPr>
          <w:rFonts w:asciiTheme="majorBidi" w:eastAsiaTheme="minorHAnsi" w:hAnsiTheme="majorBidi" w:cstheme="majorBidi"/>
          <w:color w:val="000000"/>
          <w:sz w:val="24"/>
          <w:szCs w:val="24"/>
        </w:rPr>
        <w:tab/>
      </w:r>
      <w:r w:rsidR="0017028D">
        <w:rPr>
          <w:rFonts w:asciiTheme="majorBidi" w:eastAsiaTheme="minorHAnsi" w:hAnsiTheme="majorBidi" w:cstheme="majorBidi"/>
          <w:color w:val="000000"/>
          <w:sz w:val="24"/>
          <w:szCs w:val="24"/>
        </w:rPr>
        <w:t xml:space="preserve">En ce qui concerne </w:t>
      </w:r>
      <w:r w:rsidR="009E14EA" w:rsidRPr="00E812F3">
        <w:rPr>
          <w:rFonts w:asciiTheme="majorBidi" w:eastAsiaTheme="minorHAnsi" w:hAnsiTheme="majorBidi" w:cstheme="majorBidi"/>
          <w:color w:val="000000"/>
          <w:sz w:val="24"/>
          <w:szCs w:val="24"/>
        </w:rPr>
        <w:t>le deuxième point</w:t>
      </w:r>
      <w:r w:rsidR="009D7100" w:rsidRPr="00E812F3">
        <w:rPr>
          <w:rFonts w:asciiTheme="majorBidi" w:eastAsiaTheme="minorHAnsi" w:hAnsiTheme="majorBidi" w:cstheme="majorBidi"/>
          <w:color w:val="000000"/>
          <w:sz w:val="24"/>
          <w:szCs w:val="24"/>
        </w:rPr>
        <w:t xml:space="preserve">, </w:t>
      </w:r>
      <w:r w:rsidR="009E14EA" w:rsidRPr="00E812F3">
        <w:rPr>
          <w:rFonts w:asciiTheme="majorBidi" w:eastAsiaTheme="minorHAnsi" w:hAnsiTheme="majorBidi" w:cstheme="majorBidi"/>
          <w:color w:val="000000"/>
          <w:sz w:val="24"/>
          <w:szCs w:val="24"/>
        </w:rPr>
        <w:t xml:space="preserve">le législateur algérien a </w:t>
      </w:r>
      <w:r w:rsidR="000F0F5A" w:rsidRPr="00E812F3">
        <w:rPr>
          <w:rFonts w:asciiTheme="majorBidi" w:eastAsiaTheme="minorHAnsi" w:hAnsiTheme="majorBidi" w:cstheme="majorBidi"/>
          <w:color w:val="000000"/>
          <w:sz w:val="24"/>
          <w:szCs w:val="24"/>
        </w:rPr>
        <w:t xml:space="preserve">interdit aux dirigeants et agents des organismes financiers d’informer le client faisant objet d’une déclaration de l’existence de cette déclaration ou de lui communiquer des </w:t>
      </w:r>
      <w:r w:rsidR="009D7100" w:rsidRPr="00E812F3">
        <w:rPr>
          <w:rFonts w:asciiTheme="majorBidi" w:eastAsiaTheme="minorHAnsi" w:hAnsiTheme="majorBidi" w:cstheme="majorBidi"/>
          <w:color w:val="000000"/>
          <w:sz w:val="24"/>
          <w:szCs w:val="24"/>
        </w:rPr>
        <w:t>i</w:t>
      </w:r>
      <w:r w:rsidR="000F0F5A" w:rsidRPr="00E812F3">
        <w:rPr>
          <w:rFonts w:asciiTheme="majorBidi" w:eastAsiaTheme="minorHAnsi" w:hAnsiTheme="majorBidi" w:cstheme="majorBidi"/>
          <w:color w:val="000000"/>
          <w:sz w:val="24"/>
          <w:szCs w:val="24"/>
        </w:rPr>
        <w:t>nformations sur les suites qui lui sont réservées, sous peine de sanctions pénales (l’article 33</w:t>
      </w:r>
      <w:r w:rsidR="009D7100" w:rsidRPr="00E812F3">
        <w:rPr>
          <w:rFonts w:asciiTheme="majorBidi" w:eastAsiaTheme="minorHAnsi" w:hAnsiTheme="majorBidi" w:cstheme="majorBidi"/>
          <w:color w:val="000000"/>
          <w:sz w:val="24"/>
          <w:szCs w:val="24"/>
        </w:rPr>
        <w:t xml:space="preserve"> de la loi n° 05-01</w:t>
      </w:r>
      <w:r w:rsidR="000F0F5A" w:rsidRPr="00E812F3">
        <w:rPr>
          <w:rFonts w:asciiTheme="majorBidi" w:eastAsiaTheme="minorHAnsi" w:hAnsiTheme="majorBidi" w:cstheme="majorBidi"/>
          <w:color w:val="000000"/>
          <w:sz w:val="24"/>
          <w:szCs w:val="24"/>
        </w:rPr>
        <w:t xml:space="preserve"> prévoit une amende de 200.000 DA à 2.000.000 DA sans préjudice de peines plus graves et de toute sanction disciplinaire). </w:t>
      </w:r>
    </w:p>
    <w:p w:rsidR="000F0F5A" w:rsidRPr="00E812F3" w:rsidRDefault="00B35169" w:rsidP="009800A1">
      <w:pPr>
        <w:autoSpaceDE w:val="0"/>
        <w:autoSpaceDN w:val="0"/>
        <w:adjustRightInd w:val="0"/>
        <w:spacing w:after="0" w:line="360" w:lineRule="auto"/>
        <w:jc w:val="both"/>
        <w:rPr>
          <w:rFonts w:asciiTheme="majorBidi" w:eastAsiaTheme="minorHAnsi" w:hAnsiTheme="majorBidi" w:cstheme="majorBidi"/>
          <w:color w:val="000000"/>
          <w:sz w:val="24"/>
          <w:szCs w:val="24"/>
        </w:rPr>
      </w:pPr>
      <w:r>
        <w:rPr>
          <w:rFonts w:asciiTheme="majorBidi" w:eastAsiaTheme="minorHAnsi" w:hAnsiTheme="majorBidi" w:cstheme="majorBidi"/>
          <w:color w:val="000000"/>
          <w:sz w:val="24"/>
          <w:szCs w:val="24"/>
        </w:rPr>
        <w:tab/>
      </w:r>
      <w:r w:rsidR="00805B1E">
        <w:rPr>
          <w:rFonts w:asciiTheme="majorBidi" w:eastAsiaTheme="minorHAnsi" w:hAnsiTheme="majorBidi" w:cstheme="majorBidi"/>
          <w:color w:val="000000"/>
          <w:sz w:val="24"/>
          <w:szCs w:val="24"/>
        </w:rPr>
        <w:tab/>
      </w:r>
      <w:r w:rsidR="000F0F5A" w:rsidRPr="00E812F3">
        <w:rPr>
          <w:rFonts w:asciiTheme="majorBidi" w:eastAsiaTheme="minorHAnsi" w:hAnsiTheme="majorBidi" w:cstheme="majorBidi"/>
          <w:color w:val="000000"/>
          <w:sz w:val="24"/>
          <w:szCs w:val="24"/>
        </w:rPr>
        <w:t xml:space="preserve">La banque est également passible de sanctions si elle s’abstient, sciemment et en connaissance de cause, d’établir et/ou de transmettre la déclaration de soupçon (article 32 </w:t>
      </w:r>
      <w:r w:rsidR="00805B1E">
        <w:rPr>
          <w:rFonts w:asciiTheme="majorBidi" w:eastAsiaTheme="minorHAnsi" w:hAnsiTheme="majorBidi" w:cstheme="majorBidi"/>
          <w:color w:val="000000"/>
          <w:sz w:val="24"/>
          <w:szCs w:val="24"/>
        </w:rPr>
        <w:t xml:space="preserve">de la loi susvisée </w:t>
      </w:r>
      <w:r w:rsidR="000F0F5A" w:rsidRPr="00E812F3">
        <w:rPr>
          <w:rFonts w:asciiTheme="majorBidi" w:eastAsiaTheme="minorHAnsi" w:hAnsiTheme="majorBidi" w:cstheme="majorBidi"/>
          <w:color w:val="000000"/>
          <w:sz w:val="24"/>
          <w:szCs w:val="24"/>
        </w:rPr>
        <w:t xml:space="preserve">prévoit une amende de 100.000 DA à 1000.000 DA sans préjudice de peine plus grave et de toute autre sanction disciplinaire). </w:t>
      </w:r>
    </w:p>
    <w:p w:rsidR="000F0F5A" w:rsidRPr="00E812F3" w:rsidRDefault="00B35169" w:rsidP="00805B1E">
      <w:pPr>
        <w:spacing w:line="360" w:lineRule="auto"/>
        <w:jc w:val="both"/>
        <w:rPr>
          <w:rFonts w:asciiTheme="majorBidi" w:eastAsiaTheme="minorHAnsi" w:hAnsiTheme="majorBidi" w:cstheme="majorBidi"/>
          <w:color w:val="000000"/>
          <w:sz w:val="24"/>
          <w:szCs w:val="24"/>
        </w:rPr>
      </w:pPr>
      <w:r>
        <w:rPr>
          <w:rFonts w:asciiTheme="majorBidi" w:eastAsiaTheme="minorHAnsi" w:hAnsiTheme="majorBidi" w:cstheme="majorBidi"/>
          <w:color w:val="000000"/>
          <w:sz w:val="24"/>
          <w:szCs w:val="24"/>
        </w:rPr>
        <w:tab/>
      </w:r>
      <w:r w:rsidR="00805B1E">
        <w:rPr>
          <w:rFonts w:asciiTheme="majorBidi" w:eastAsiaTheme="minorHAnsi" w:hAnsiTheme="majorBidi" w:cstheme="majorBidi"/>
          <w:color w:val="000000"/>
          <w:sz w:val="24"/>
          <w:szCs w:val="24"/>
        </w:rPr>
        <w:t xml:space="preserve">Aussi, au </w:t>
      </w:r>
      <w:r w:rsidR="000F0F5A" w:rsidRPr="00E812F3">
        <w:rPr>
          <w:rFonts w:asciiTheme="majorBidi" w:eastAsiaTheme="minorHAnsi" w:hAnsiTheme="majorBidi" w:cstheme="majorBidi"/>
          <w:color w:val="000000"/>
          <w:sz w:val="24"/>
          <w:szCs w:val="24"/>
        </w:rPr>
        <w:t xml:space="preserve">cas de non respect des mesures de prévention du blanchiment d’argent et du financement du terrorisme, les dirigeants et les agents de banques peuvent se voir infliger de sanctions pénales (article 34 prévoit une amende de 50.000 DA à 1.000.000 DA). Egalement à ce titre, la banque peut être frappée d’une amende 1.000.000 DA à 5.000.000 DA sans préjudice de </w:t>
      </w:r>
      <w:r w:rsidR="009D7100" w:rsidRPr="00E812F3">
        <w:rPr>
          <w:rFonts w:asciiTheme="majorBidi" w:eastAsiaTheme="minorHAnsi" w:hAnsiTheme="majorBidi" w:cstheme="majorBidi"/>
          <w:color w:val="000000"/>
          <w:sz w:val="24"/>
          <w:szCs w:val="24"/>
        </w:rPr>
        <w:t>peines plus graves</w:t>
      </w:r>
      <w:r w:rsidR="000F0F5A" w:rsidRPr="00E812F3">
        <w:rPr>
          <w:rFonts w:asciiTheme="majorBidi" w:eastAsiaTheme="minorHAnsi" w:hAnsiTheme="majorBidi" w:cstheme="majorBidi"/>
          <w:color w:val="000000"/>
          <w:sz w:val="24"/>
          <w:szCs w:val="24"/>
        </w:rPr>
        <w:t xml:space="preserve"> (article 34, aliéna 2).</w:t>
      </w:r>
    </w:p>
    <w:p w:rsidR="00086520" w:rsidRDefault="00086520" w:rsidP="00B35169">
      <w:pPr>
        <w:spacing w:line="360" w:lineRule="auto"/>
        <w:jc w:val="both"/>
        <w:rPr>
          <w:rFonts w:asciiTheme="majorBidi" w:hAnsiTheme="majorBidi" w:cstheme="majorBidi"/>
          <w:b/>
          <w:bCs/>
          <w:sz w:val="24"/>
          <w:szCs w:val="24"/>
        </w:rPr>
      </w:pPr>
    </w:p>
    <w:p w:rsidR="00B35169" w:rsidRDefault="00780C14" w:rsidP="00B35169">
      <w:pPr>
        <w:spacing w:line="360" w:lineRule="auto"/>
        <w:jc w:val="both"/>
        <w:rPr>
          <w:rFonts w:asciiTheme="majorBidi" w:hAnsiTheme="majorBidi" w:cstheme="majorBidi"/>
          <w:b/>
          <w:bCs/>
          <w:sz w:val="24"/>
          <w:szCs w:val="24"/>
        </w:rPr>
      </w:pPr>
      <w:r w:rsidRPr="00E812F3">
        <w:rPr>
          <w:rFonts w:asciiTheme="majorBidi" w:hAnsiTheme="majorBidi" w:cstheme="majorBidi"/>
          <w:b/>
          <w:bCs/>
          <w:sz w:val="24"/>
          <w:szCs w:val="24"/>
        </w:rPr>
        <w:t>Conclusion</w:t>
      </w:r>
      <w:r w:rsidR="00FB24D5">
        <w:rPr>
          <w:rFonts w:asciiTheme="majorBidi" w:hAnsiTheme="majorBidi" w:cstheme="majorBidi"/>
          <w:b/>
          <w:bCs/>
          <w:sz w:val="24"/>
          <w:szCs w:val="24"/>
        </w:rPr>
        <w:t xml:space="preserve"> du troisième chapitre</w:t>
      </w:r>
    </w:p>
    <w:p w:rsidR="00B35169" w:rsidRDefault="00B35169" w:rsidP="000F5C74">
      <w:pPr>
        <w:spacing w:before="240" w:line="360" w:lineRule="auto"/>
        <w:jc w:val="both"/>
        <w:rPr>
          <w:rFonts w:asciiTheme="majorBidi" w:hAnsiTheme="majorBidi" w:cstheme="majorBidi"/>
          <w:b/>
          <w:bCs/>
          <w:sz w:val="24"/>
          <w:szCs w:val="24"/>
        </w:rPr>
      </w:pPr>
      <w:r>
        <w:rPr>
          <w:rFonts w:asciiTheme="majorBidi" w:hAnsiTheme="majorBidi" w:cstheme="majorBidi"/>
          <w:b/>
          <w:bCs/>
          <w:sz w:val="24"/>
          <w:szCs w:val="24"/>
        </w:rPr>
        <w:tab/>
      </w:r>
      <w:r w:rsidR="00A66F63" w:rsidRPr="00E812F3">
        <w:rPr>
          <w:rFonts w:asciiTheme="majorBidi" w:hAnsiTheme="majorBidi" w:cstheme="majorBidi"/>
          <w:sz w:val="24"/>
          <w:szCs w:val="24"/>
        </w:rPr>
        <w:t xml:space="preserve"> </w:t>
      </w:r>
      <w:r w:rsidR="004163AA">
        <w:rPr>
          <w:rFonts w:asciiTheme="majorBidi" w:hAnsiTheme="majorBidi" w:cstheme="majorBidi"/>
          <w:sz w:val="24"/>
          <w:szCs w:val="24"/>
        </w:rPr>
        <w:tab/>
      </w:r>
      <w:r w:rsidR="00A66F63" w:rsidRPr="00E812F3">
        <w:rPr>
          <w:rFonts w:asciiTheme="majorBidi" w:hAnsiTheme="majorBidi" w:cstheme="majorBidi"/>
          <w:sz w:val="24"/>
          <w:szCs w:val="24"/>
        </w:rPr>
        <w:t xml:space="preserve">En guise de conclusion, on peut avancer que </w:t>
      </w:r>
      <w:r w:rsidR="004163AA">
        <w:rPr>
          <w:rFonts w:asciiTheme="majorBidi" w:hAnsiTheme="majorBidi" w:cstheme="majorBidi"/>
          <w:sz w:val="24"/>
          <w:szCs w:val="24"/>
        </w:rPr>
        <w:t>la vérification de la transposition des recommandations du GAFI dans le dispositif algérien</w:t>
      </w:r>
      <w:r w:rsidR="003C79BF" w:rsidRPr="00E812F3">
        <w:rPr>
          <w:rFonts w:asciiTheme="majorBidi" w:hAnsiTheme="majorBidi" w:cstheme="majorBidi"/>
          <w:sz w:val="24"/>
          <w:szCs w:val="24"/>
        </w:rPr>
        <w:t xml:space="preserve"> </w:t>
      </w:r>
      <w:r w:rsidR="00AA3FE7" w:rsidRPr="00E812F3">
        <w:rPr>
          <w:rFonts w:asciiTheme="majorBidi" w:hAnsiTheme="majorBidi" w:cstheme="majorBidi"/>
          <w:sz w:val="24"/>
          <w:szCs w:val="24"/>
        </w:rPr>
        <w:t xml:space="preserve">nous a permis de tirer une </w:t>
      </w:r>
      <w:r w:rsidR="00F84B40" w:rsidRPr="00E812F3">
        <w:rPr>
          <w:rFonts w:asciiTheme="majorBidi" w:hAnsiTheme="majorBidi" w:cstheme="majorBidi"/>
          <w:sz w:val="24"/>
          <w:szCs w:val="24"/>
        </w:rPr>
        <w:t>conclusion</w:t>
      </w:r>
      <w:r w:rsidR="004163AA">
        <w:rPr>
          <w:rFonts w:asciiTheme="majorBidi" w:hAnsiTheme="majorBidi" w:cstheme="majorBidi"/>
          <w:sz w:val="24"/>
          <w:szCs w:val="24"/>
        </w:rPr>
        <w:t xml:space="preserve"> par laquelle on peut </w:t>
      </w:r>
      <w:r w:rsidR="000F5C74">
        <w:rPr>
          <w:rFonts w:asciiTheme="majorBidi" w:hAnsiTheme="majorBidi" w:cstheme="majorBidi"/>
          <w:sz w:val="24"/>
          <w:szCs w:val="24"/>
        </w:rPr>
        <w:t>dire</w:t>
      </w:r>
      <w:r w:rsidR="004163AA">
        <w:rPr>
          <w:rFonts w:asciiTheme="majorBidi" w:hAnsiTheme="majorBidi" w:cstheme="majorBidi"/>
          <w:sz w:val="24"/>
          <w:szCs w:val="24"/>
        </w:rPr>
        <w:t xml:space="preserve"> </w:t>
      </w:r>
      <w:r w:rsidR="00A66F63" w:rsidRPr="00E812F3">
        <w:rPr>
          <w:rFonts w:asciiTheme="majorBidi" w:hAnsiTheme="majorBidi" w:cstheme="majorBidi"/>
          <w:sz w:val="24"/>
          <w:szCs w:val="24"/>
        </w:rPr>
        <w:t>que l’Algérie dispose d’un cadre législatif couvrant plus ou moi</w:t>
      </w:r>
      <w:r w:rsidR="003A7AAA">
        <w:rPr>
          <w:rFonts w:asciiTheme="majorBidi" w:hAnsiTheme="majorBidi" w:cstheme="majorBidi"/>
          <w:sz w:val="24"/>
          <w:szCs w:val="24"/>
        </w:rPr>
        <w:t>n</w:t>
      </w:r>
      <w:r w:rsidR="00A66F63" w:rsidRPr="00E812F3">
        <w:rPr>
          <w:rFonts w:asciiTheme="majorBidi" w:hAnsiTheme="majorBidi" w:cstheme="majorBidi"/>
          <w:sz w:val="24"/>
          <w:szCs w:val="24"/>
        </w:rPr>
        <w:t xml:space="preserve">s toutes les normes prévues par le GAFI </w:t>
      </w:r>
      <w:r w:rsidR="001215BE">
        <w:rPr>
          <w:rFonts w:asciiTheme="majorBidi" w:hAnsiTheme="majorBidi" w:cstheme="majorBidi"/>
          <w:sz w:val="24"/>
          <w:szCs w:val="24"/>
        </w:rPr>
        <w:t>opposables aux</w:t>
      </w:r>
      <w:r w:rsidR="00A66F63" w:rsidRPr="00E812F3">
        <w:rPr>
          <w:rFonts w:asciiTheme="majorBidi" w:hAnsiTheme="majorBidi" w:cstheme="majorBidi"/>
          <w:sz w:val="24"/>
          <w:szCs w:val="24"/>
        </w:rPr>
        <w:t xml:space="preserve"> établissements de crédit</w:t>
      </w:r>
      <w:r w:rsidR="00F84B40" w:rsidRPr="00E812F3">
        <w:rPr>
          <w:rFonts w:asciiTheme="majorBidi" w:hAnsiTheme="majorBidi" w:cstheme="majorBidi"/>
          <w:sz w:val="24"/>
          <w:szCs w:val="24"/>
        </w:rPr>
        <w:t>.</w:t>
      </w:r>
    </w:p>
    <w:p w:rsidR="00B35169" w:rsidRDefault="00B35169" w:rsidP="003A7AAA">
      <w:pPr>
        <w:spacing w:before="240" w:line="360" w:lineRule="auto"/>
        <w:jc w:val="both"/>
        <w:rPr>
          <w:rFonts w:asciiTheme="majorBidi" w:hAnsiTheme="majorBidi" w:cstheme="majorBidi"/>
          <w:b/>
          <w:bCs/>
          <w:sz w:val="24"/>
          <w:szCs w:val="24"/>
        </w:rPr>
      </w:pPr>
      <w:r>
        <w:rPr>
          <w:rFonts w:asciiTheme="majorBidi" w:hAnsiTheme="majorBidi" w:cstheme="majorBidi"/>
          <w:b/>
          <w:bCs/>
          <w:sz w:val="24"/>
          <w:szCs w:val="24"/>
        </w:rPr>
        <w:tab/>
      </w:r>
      <w:r w:rsidR="00CD585B">
        <w:rPr>
          <w:rFonts w:asciiTheme="majorBidi" w:hAnsiTheme="majorBidi" w:cstheme="majorBidi"/>
          <w:b/>
          <w:bCs/>
          <w:sz w:val="24"/>
          <w:szCs w:val="24"/>
        </w:rPr>
        <w:tab/>
      </w:r>
      <w:r w:rsidR="00CD585B" w:rsidRPr="00CD585B">
        <w:rPr>
          <w:rFonts w:asciiTheme="majorBidi" w:hAnsiTheme="majorBidi" w:cstheme="majorBidi"/>
          <w:sz w:val="24"/>
          <w:szCs w:val="24"/>
        </w:rPr>
        <w:t>Seulement,</w:t>
      </w:r>
      <w:r w:rsidR="00CD585B">
        <w:rPr>
          <w:rFonts w:asciiTheme="majorBidi" w:hAnsiTheme="majorBidi" w:cstheme="majorBidi"/>
          <w:b/>
          <w:bCs/>
          <w:sz w:val="24"/>
          <w:szCs w:val="24"/>
        </w:rPr>
        <w:t xml:space="preserve"> </w:t>
      </w:r>
      <w:r w:rsidR="00CD585B">
        <w:rPr>
          <w:rFonts w:asciiTheme="majorBidi" w:hAnsiTheme="majorBidi" w:cstheme="majorBidi"/>
          <w:sz w:val="24"/>
          <w:szCs w:val="24"/>
        </w:rPr>
        <w:t>d</w:t>
      </w:r>
      <w:r w:rsidR="00BD7BD8" w:rsidRPr="00E812F3">
        <w:rPr>
          <w:rFonts w:asciiTheme="majorBidi" w:hAnsiTheme="majorBidi" w:cstheme="majorBidi"/>
          <w:sz w:val="24"/>
          <w:szCs w:val="24"/>
        </w:rPr>
        <w:t>es insuffisances</w:t>
      </w:r>
      <w:r w:rsidR="00CD585B">
        <w:rPr>
          <w:rFonts w:asciiTheme="majorBidi" w:hAnsiTheme="majorBidi" w:cstheme="majorBidi"/>
          <w:sz w:val="24"/>
          <w:szCs w:val="24"/>
        </w:rPr>
        <w:t xml:space="preserve"> </w:t>
      </w:r>
      <w:r w:rsidR="005065B4">
        <w:rPr>
          <w:rFonts w:asciiTheme="majorBidi" w:hAnsiTheme="majorBidi" w:cstheme="majorBidi"/>
          <w:sz w:val="24"/>
          <w:szCs w:val="24"/>
        </w:rPr>
        <w:t xml:space="preserve">ont été </w:t>
      </w:r>
      <w:r w:rsidR="00CD585B">
        <w:rPr>
          <w:rFonts w:asciiTheme="majorBidi" w:hAnsiTheme="majorBidi" w:cstheme="majorBidi"/>
          <w:sz w:val="24"/>
          <w:szCs w:val="24"/>
        </w:rPr>
        <w:t>relevées</w:t>
      </w:r>
      <w:r w:rsidR="003A7AAA">
        <w:rPr>
          <w:rFonts w:asciiTheme="majorBidi" w:hAnsiTheme="majorBidi" w:cstheme="majorBidi"/>
          <w:sz w:val="24"/>
          <w:szCs w:val="24"/>
        </w:rPr>
        <w:t xml:space="preserve"> dans notre étude. E</w:t>
      </w:r>
      <w:r w:rsidR="00CD585B">
        <w:rPr>
          <w:rFonts w:asciiTheme="majorBidi" w:hAnsiTheme="majorBidi" w:cstheme="majorBidi"/>
          <w:sz w:val="24"/>
          <w:szCs w:val="24"/>
        </w:rPr>
        <w:t xml:space="preserve">lles sont </w:t>
      </w:r>
      <w:r w:rsidR="00BD7BD8" w:rsidRPr="00E812F3">
        <w:rPr>
          <w:rFonts w:asciiTheme="majorBidi" w:hAnsiTheme="majorBidi" w:cstheme="majorBidi"/>
          <w:sz w:val="24"/>
          <w:szCs w:val="24"/>
        </w:rPr>
        <w:t xml:space="preserve">dues </w:t>
      </w:r>
      <w:r w:rsidR="00230A0D" w:rsidRPr="00E812F3">
        <w:rPr>
          <w:rFonts w:asciiTheme="majorBidi" w:hAnsiTheme="majorBidi" w:cstheme="majorBidi"/>
          <w:sz w:val="24"/>
          <w:szCs w:val="24"/>
        </w:rPr>
        <w:t xml:space="preserve">principalement </w:t>
      </w:r>
      <w:r w:rsidR="00A83E29" w:rsidRPr="00E812F3">
        <w:rPr>
          <w:rFonts w:asciiTheme="majorBidi" w:hAnsiTheme="majorBidi" w:cstheme="majorBidi"/>
          <w:sz w:val="24"/>
          <w:szCs w:val="24"/>
        </w:rPr>
        <w:t xml:space="preserve">au </w:t>
      </w:r>
      <w:r w:rsidR="00A83E29" w:rsidRPr="007C19F2">
        <w:rPr>
          <w:rFonts w:asciiTheme="majorBidi" w:eastAsiaTheme="minorHAnsi" w:hAnsiTheme="majorBidi" w:cstheme="majorBidi"/>
          <w:color w:val="000000"/>
          <w:sz w:val="24"/>
          <w:szCs w:val="24"/>
          <w:lang w:eastAsia="en-US"/>
        </w:rPr>
        <w:t xml:space="preserve">caractère général (ambigu) </w:t>
      </w:r>
      <w:r w:rsidR="00230A0D" w:rsidRPr="00E812F3">
        <w:rPr>
          <w:rFonts w:asciiTheme="majorBidi" w:hAnsiTheme="majorBidi" w:cstheme="majorBidi"/>
          <w:sz w:val="24"/>
          <w:szCs w:val="24"/>
        </w:rPr>
        <w:t xml:space="preserve">de la réglementation algérienne et non pas à la non-conformité de </w:t>
      </w:r>
      <w:r w:rsidR="00A83E29" w:rsidRPr="00E812F3">
        <w:rPr>
          <w:rFonts w:asciiTheme="majorBidi" w:hAnsiTheme="majorBidi" w:cstheme="majorBidi"/>
          <w:sz w:val="24"/>
          <w:szCs w:val="24"/>
        </w:rPr>
        <w:t>cette dernière aux recommandations du GAFI.</w:t>
      </w:r>
    </w:p>
    <w:p w:rsidR="00B35169" w:rsidRDefault="00B35169" w:rsidP="003A7AAA">
      <w:pPr>
        <w:spacing w:before="240" w:line="360" w:lineRule="auto"/>
        <w:jc w:val="both"/>
        <w:rPr>
          <w:rFonts w:asciiTheme="majorBidi" w:hAnsiTheme="majorBidi" w:cstheme="majorBidi"/>
          <w:b/>
          <w:bCs/>
          <w:sz w:val="24"/>
          <w:szCs w:val="24"/>
        </w:rPr>
      </w:pPr>
      <w:r>
        <w:rPr>
          <w:rFonts w:asciiTheme="majorBidi" w:hAnsiTheme="majorBidi" w:cstheme="majorBidi"/>
          <w:b/>
          <w:bCs/>
          <w:sz w:val="24"/>
          <w:szCs w:val="24"/>
        </w:rPr>
        <w:tab/>
      </w:r>
      <w:r w:rsidR="00CD585B">
        <w:rPr>
          <w:rFonts w:asciiTheme="majorBidi" w:hAnsiTheme="majorBidi" w:cstheme="majorBidi"/>
          <w:b/>
          <w:bCs/>
          <w:sz w:val="24"/>
          <w:szCs w:val="24"/>
        </w:rPr>
        <w:tab/>
      </w:r>
      <w:r w:rsidR="00F64654">
        <w:rPr>
          <w:rFonts w:asciiTheme="majorBidi" w:hAnsiTheme="majorBidi" w:cstheme="majorBidi"/>
          <w:sz w:val="24"/>
          <w:szCs w:val="24"/>
        </w:rPr>
        <w:t xml:space="preserve">Au fait, la </w:t>
      </w:r>
      <w:r w:rsidR="00F628EF" w:rsidRPr="00E812F3">
        <w:rPr>
          <w:rFonts w:asciiTheme="majorBidi" w:hAnsiTheme="majorBidi" w:cstheme="majorBidi"/>
          <w:sz w:val="24"/>
          <w:szCs w:val="24"/>
        </w:rPr>
        <w:t>loi n° 05-01 du 06 février 2005 relative à la prévention et à la lutte contre le blanchiment d’argent et le financement du terrorisme</w:t>
      </w:r>
      <w:r w:rsidR="000F5C74">
        <w:rPr>
          <w:rFonts w:asciiTheme="majorBidi" w:hAnsiTheme="majorBidi" w:cstheme="majorBidi"/>
          <w:sz w:val="24"/>
          <w:szCs w:val="24"/>
        </w:rPr>
        <w:t xml:space="preserve"> a  permis</w:t>
      </w:r>
      <w:r w:rsidR="00F628EF" w:rsidRPr="00E812F3">
        <w:rPr>
          <w:rFonts w:asciiTheme="majorBidi" w:hAnsiTheme="majorBidi" w:cstheme="majorBidi"/>
          <w:sz w:val="24"/>
          <w:szCs w:val="24"/>
        </w:rPr>
        <w:t xml:space="preserve"> à l’Algérie de se doter d’une </w:t>
      </w:r>
      <w:r w:rsidR="00D814A2">
        <w:rPr>
          <w:rFonts w:asciiTheme="majorBidi" w:hAnsiTheme="majorBidi" w:cstheme="majorBidi"/>
          <w:sz w:val="24"/>
          <w:szCs w:val="24"/>
        </w:rPr>
        <w:t xml:space="preserve">réglementation </w:t>
      </w:r>
      <w:r w:rsidR="000F5C74">
        <w:rPr>
          <w:rFonts w:asciiTheme="majorBidi" w:hAnsiTheme="majorBidi" w:cstheme="majorBidi"/>
          <w:sz w:val="24"/>
          <w:szCs w:val="24"/>
        </w:rPr>
        <w:t>fidèle</w:t>
      </w:r>
      <w:r w:rsidR="00CD585B">
        <w:rPr>
          <w:rFonts w:asciiTheme="majorBidi" w:hAnsiTheme="majorBidi" w:cstheme="majorBidi"/>
          <w:sz w:val="24"/>
          <w:szCs w:val="24"/>
        </w:rPr>
        <w:t xml:space="preserve"> à </w:t>
      </w:r>
      <w:r w:rsidR="00F64654">
        <w:rPr>
          <w:rFonts w:asciiTheme="majorBidi" w:hAnsiTheme="majorBidi" w:cstheme="majorBidi"/>
          <w:sz w:val="24"/>
          <w:szCs w:val="24"/>
        </w:rPr>
        <w:t>l’</w:t>
      </w:r>
      <w:r w:rsidR="00F628EF" w:rsidRPr="00E812F3">
        <w:rPr>
          <w:rFonts w:asciiTheme="majorBidi" w:hAnsiTheme="majorBidi" w:cstheme="majorBidi"/>
          <w:sz w:val="24"/>
          <w:szCs w:val="24"/>
        </w:rPr>
        <w:t xml:space="preserve">engagement national </w:t>
      </w:r>
      <w:r w:rsidR="000F5C74">
        <w:rPr>
          <w:rFonts w:asciiTheme="majorBidi" w:hAnsiTheme="majorBidi" w:cstheme="majorBidi"/>
          <w:sz w:val="24"/>
          <w:szCs w:val="24"/>
        </w:rPr>
        <w:t xml:space="preserve">qui a été </w:t>
      </w:r>
      <w:r w:rsidR="00CD585B">
        <w:rPr>
          <w:rFonts w:asciiTheme="majorBidi" w:hAnsiTheme="majorBidi" w:cstheme="majorBidi"/>
          <w:sz w:val="24"/>
          <w:szCs w:val="24"/>
        </w:rPr>
        <w:t xml:space="preserve">matérialisé </w:t>
      </w:r>
      <w:r w:rsidR="00F64654">
        <w:rPr>
          <w:rFonts w:asciiTheme="majorBidi" w:hAnsiTheme="majorBidi" w:cstheme="majorBidi"/>
          <w:sz w:val="24"/>
          <w:szCs w:val="24"/>
        </w:rPr>
        <w:t xml:space="preserve">par </w:t>
      </w:r>
      <w:r w:rsidR="00CD585B">
        <w:rPr>
          <w:rFonts w:asciiTheme="majorBidi" w:hAnsiTheme="majorBidi" w:cstheme="majorBidi"/>
          <w:sz w:val="24"/>
          <w:szCs w:val="24"/>
        </w:rPr>
        <w:t xml:space="preserve">la ratification </w:t>
      </w:r>
      <w:r w:rsidR="00743E89" w:rsidRPr="00E812F3">
        <w:rPr>
          <w:rFonts w:asciiTheme="majorBidi" w:hAnsiTheme="majorBidi" w:cstheme="majorBidi"/>
          <w:sz w:val="24"/>
          <w:szCs w:val="24"/>
        </w:rPr>
        <w:t>des différent</w:t>
      </w:r>
      <w:r w:rsidR="003A7AAA">
        <w:rPr>
          <w:rFonts w:asciiTheme="majorBidi" w:hAnsiTheme="majorBidi" w:cstheme="majorBidi"/>
          <w:sz w:val="24"/>
          <w:szCs w:val="24"/>
        </w:rPr>
        <w:t>e</w:t>
      </w:r>
      <w:r w:rsidR="00743E89" w:rsidRPr="00E812F3">
        <w:rPr>
          <w:rFonts w:asciiTheme="majorBidi" w:hAnsiTheme="majorBidi" w:cstheme="majorBidi"/>
          <w:sz w:val="24"/>
          <w:szCs w:val="24"/>
        </w:rPr>
        <w:t>s conventions internationales</w:t>
      </w:r>
      <w:r w:rsidR="00CD585B">
        <w:rPr>
          <w:rFonts w:asciiTheme="majorBidi" w:hAnsiTheme="majorBidi" w:cstheme="majorBidi"/>
          <w:sz w:val="24"/>
          <w:szCs w:val="24"/>
        </w:rPr>
        <w:t xml:space="preserve"> relative</w:t>
      </w:r>
      <w:r w:rsidR="003A7AAA">
        <w:rPr>
          <w:rFonts w:asciiTheme="majorBidi" w:hAnsiTheme="majorBidi" w:cstheme="majorBidi"/>
          <w:sz w:val="24"/>
          <w:szCs w:val="24"/>
        </w:rPr>
        <w:t>s</w:t>
      </w:r>
      <w:r w:rsidR="00CD585B">
        <w:rPr>
          <w:rFonts w:asciiTheme="majorBidi" w:hAnsiTheme="majorBidi" w:cstheme="majorBidi"/>
          <w:sz w:val="24"/>
          <w:szCs w:val="24"/>
        </w:rPr>
        <w:t xml:space="preserve"> à cette lutte</w:t>
      </w:r>
      <w:r w:rsidR="00F628EF" w:rsidRPr="00E812F3">
        <w:rPr>
          <w:rFonts w:asciiTheme="majorBidi" w:hAnsiTheme="majorBidi" w:cstheme="majorBidi"/>
          <w:sz w:val="24"/>
          <w:szCs w:val="24"/>
        </w:rPr>
        <w:t>.</w:t>
      </w:r>
      <w:r w:rsidR="00F64654">
        <w:rPr>
          <w:rFonts w:asciiTheme="majorBidi" w:hAnsiTheme="majorBidi" w:cstheme="majorBidi"/>
          <w:sz w:val="24"/>
          <w:szCs w:val="24"/>
        </w:rPr>
        <w:t xml:space="preserve"> </w:t>
      </w:r>
      <w:r w:rsidR="00CD585B">
        <w:rPr>
          <w:rFonts w:asciiTheme="majorBidi" w:hAnsiTheme="majorBidi" w:cstheme="majorBidi"/>
          <w:sz w:val="24"/>
          <w:szCs w:val="24"/>
        </w:rPr>
        <w:t>Toutefois</w:t>
      </w:r>
      <w:r w:rsidR="002227D4" w:rsidRPr="00E812F3">
        <w:rPr>
          <w:rFonts w:asciiTheme="majorBidi" w:hAnsiTheme="majorBidi" w:cstheme="majorBidi"/>
          <w:sz w:val="24"/>
          <w:szCs w:val="24"/>
        </w:rPr>
        <w:t xml:space="preserve">, le caractère sommaire </w:t>
      </w:r>
      <w:r w:rsidR="00743E89" w:rsidRPr="00E812F3">
        <w:rPr>
          <w:rFonts w:asciiTheme="majorBidi" w:hAnsiTheme="majorBidi" w:cstheme="majorBidi"/>
          <w:sz w:val="24"/>
          <w:szCs w:val="24"/>
        </w:rPr>
        <w:t xml:space="preserve">et ambigu </w:t>
      </w:r>
      <w:r w:rsidR="002227D4" w:rsidRPr="00E812F3">
        <w:rPr>
          <w:rFonts w:asciiTheme="majorBidi" w:hAnsiTheme="majorBidi" w:cstheme="majorBidi"/>
          <w:sz w:val="24"/>
          <w:szCs w:val="24"/>
        </w:rPr>
        <w:t>de cette loi</w:t>
      </w:r>
      <w:r w:rsidR="00F64654">
        <w:rPr>
          <w:rFonts w:asciiTheme="majorBidi" w:hAnsiTheme="majorBidi" w:cstheme="majorBidi"/>
          <w:sz w:val="24"/>
          <w:szCs w:val="24"/>
        </w:rPr>
        <w:t xml:space="preserve"> </w:t>
      </w:r>
      <w:r w:rsidR="002227D4" w:rsidRPr="00E812F3">
        <w:rPr>
          <w:rFonts w:asciiTheme="majorBidi" w:hAnsiTheme="majorBidi" w:cstheme="majorBidi"/>
          <w:sz w:val="24"/>
          <w:szCs w:val="24"/>
        </w:rPr>
        <w:t>exige</w:t>
      </w:r>
      <w:r w:rsidR="00743E89" w:rsidRPr="00E812F3">
        <w:rPr>
          <w:rFonts w:asciiTheme="majorBidi" w:hAnsiTheme="majorBidi" w:cstheme="majorBidi"/>
          <w:sz w:val="24"/>
          <w:szCs w:val="24"/>
        </w:rPr>
        <w:t xml:space="preserve">, à notre sens, </w:t>
      </w:r>
      <w:r w:rsidR="00F84B40" w:rsidRPr="00E812F3">
        <w:rPr>
          <w:rFonts w:asciiTheme="majorBidi" w:hAnsiTheme="majorBidi" w:cstheme="majorBidi"/>
          <w:sz w:val="24"/>
          <w:szCs w:val="24"/>
        </w:rPr>
        <w:t>des</w:t>
      </w:r>
      <w:r w:rsidR="002227D4" w:rsidRPr="00E812F3">
        <w:rPr>
          <w:rFonts w:asciiTheme="majorBidi" w:hAnsiTheme="majorBidi" w:cstheme="majorBidi"/>
          <w:sz w:val="24"/>
          <w:szCs w:val="24"/>
        </w:rPr>
        <w:t xml:space="preserve"> textes explicatifs à l’instar </w:t>
      </w:r>
      <w:r w:rsidR="003A7AAA">
        <w:rPr>
          <w:rFonts w:asciiTheme="majorBidi" w:hAnsiTheme="majorBidi" w:cstheme="majorBidi"/>
          <w:sz w:val="24"/>
          <w:szCs w:val="24"/>
        </w:rPr>
        <w:t>du</w:t>
      </w:r>
      <w:r w:rsidR="002227D4" w:rsidRPr="00E812F3">
        <w:rPr>
          <w:rFonts w:asciiTheme="majorBidi" w:hAnsiTheme="majorBidi" w:cstheme="majorBidi"/>
          <w:sz w:val="24"/>
          <w:szCs w:val="24"/>
        </w:rPr>
        <w:t xml:space="preserve"> </w:t>
      </w:r>
      <w:r w:rsidR="003A7AAA" w:rsidRPr="00E812F3">
        <w:rPr>
          <w:rFonts w:asciiTheme="majorBidi" w:hAnsiTheme="majorBidi" w:cstheme="majorBidi"/>
          <w:sz w:val="24"/>
          <w:szCs w:val="24"/>
        </w:rPr>
        <w:t>règlemen</w:t>
      </w:r>
      <w:r w:rsidR="003A7AAA">
        <w:rPr>
          <w:rFonts w:asciiTheme="majorBidi" w:hAnsiTheme="majorBidi" w:cstheme="majorBidi"/>
          <w:sz w:val="24"/>
          <w:szCs w:val="24"/>
        </w:rPr>
        <w:t>t</w:t>
      </w:r>
      <w:r w:rsidR="00DC1ECA">
        <w:rPr>
          <w:rFonts w:asciiTheme="majorBidi" w:hAnsiTheme="majorBidi" w:cstheme="majorBidi"/>
          <w:sz w:val="24"/>
          <w:szCs w:val="24"/>
        </w:rPr>
        <w:t xml:space="preserve"> de la b</w:t>
      </w:r>
      <w:r w:rsidR="00743E89" w:rsidRPr="00E812F3">
        <w:rPr>
          <w:rFonts w:asciiTheme="majorBidi" w:hAnsiTheme="majorBidi" w:cstheme="majorBidi"/>
          <w:sz w:val="24"/>
          <w:szCs w:val="24"/>
        </w:rPr>
        <w:t>anque d’Algérie n° 0</w:t>
      </w:r>
      <w:r w:rsidR="003A7AAA">
        <w:rPr>
          <w:rFonts w:asciiTheme="majorBidi" w:hAnsiTheme="majorBidi" w:cstheme="majorBidi"/>
          <w:sz w:val="24"/>
          <w:szCs w:val="24"/>
        </w:rPr>
        <w:t>5-05 du 15 décembre 2005 relative</w:t>
      </w:r>
      <w:r w:rsidR="00743E89" w:rsidRPr="00E812F3">
        <w:rPr>
          <w:rFonts w:asciiTheme="majorBidi" w:hAnsiTheme="majorBidi" w:cstheme="majorBidi"/>
          <w:sz w:val="24"/>
          <w:szCs w:val="24"/>
        </w:rPr>
        <w:t xml:space="preserve"> à la lutte contre le blanchiment d’argent et le financ</w:t>
      </w:r>
      <w:r w:rsidR="003A7AAA">
        <w:rPr>
          <w:rFonts w:asciiTheme="majorBidi" w:hAnsiTheme="majorBidi" w:cstheme="majorBidi"/>
          <w:sz w:val="24"/>
          <w:szCs w:val="24"/>
        </w:rPr>
        <w:t>ement  du terrorisme, opposable</w:t>
      </w:r>
      <w:r w:rsidR="00743E89" w:rsidRPr="00E812F3">
        <w:rPr>
          <w:rFonts w:asciiTheme="majorBidi" w:hAnsiTheme="majorBidi" w:cstheme="majorBidi"/>
          <w:sz w:val="24"/>
          <w:szCs w:val="24"/>
        </w:rPr>
        <w:t xml:space="preserve"> aux banques et aux établissements financier.</w:t>
      </w:r>
    </w:p>
    <w:p w:rsidR="00F84B40" w:rsidRPr="00B35169" w:rsidRDefault="000F5C74" w:rsidP="00637E03">
      <w:pPr>
        <w:spacing w:before="240" w:line="360" w:lineRule="auto"/>
        <w:jc w:val="both"/>
        <w:rPr>
          <w:rFonts w:asciiTheme="majorBidi" w:hAnsiTheme="majorBidi" w:cstheme="majorBidi"/>
          <w:b/>
          <w:bCs/>
          <w:sz w:val="24"/>
          <w:szCs w:val="24"/>
        </w:rPr>
      </w:pPr>
      <w:r>
        <w:rPr>
          <w:rFonts w:asciiTheme="majorBidi" w:hAnsiTheme="majorBidi" w:cstheme="majorBidi"/>
          <w:sz w:val="24"/>
          <w:szCs w:val="24"/>
        </w:rPr>
        <w:tab/>
      </w:r>
      <w:r>
        <w:rPr>
          <w:rFonts w:asciiTheme="majorBidi" w:hAnsiTheme="majorBidi" w:cstheme="majorBidi"/>
          <w:sz w:val="24"/>
          <w:szCs w:val="24"/>
        </w:rPr>
        <w:tab/>
      </w:r>
      <w:r w:rsidR="00A33167">
        <w:rPr>
          <w:rFonts w:asciiTheme="majorBidi" w:hAnsiTheme="majorBidi" w:cstheme="majorBidi"/>
          <w:sz w:val="24"/>
          <w:szCs w:val="24"/>
        </w:rPr>
        <w:t xml:space="preserve"> </w:t>
      </w:r>
      <w:r w:rsidR="00D814A2">
        <w:rPr>
          <w:rFonts w:asciiTheme="majorBidi" w:hAnsiTheme="majorBidi" w:cstheme="majorBidi"/>
          <w:sz w:val="24"/>
          <w:szCs w:val="24"/>
        </w:rPr>
        <w:t>A</w:t>
      </w:r>
      <w:r w:rsidR="00D814A2" w:rsidRPr="00E812F3">
        <w:rPr>
          <w:rFonts w:asciiTheme="majorBidi" w:hAnsiTheme="majorBidi" w:cstheme="majorBidi"/>
          <w:sz w:val="24"/>
          <w:szCs w:val="24"/>
        </w:rPr>
        <w:t>ussi</w:t>
      </w:r>
      <w:r w:rsidR="00D814A2">
        <w:rPr>
          <w:rFonts w:asciiTheme="majorBidi" w:hAnsiTheme="majorBidi" w:cstheme="majorBidi"/>
          <w:sz w:val="24"/>
          <w:szCs w:val="24"/>
        </w:rPr>
        <w:t>, l</w:t>
      </w:r>
      <w:r w:rsidR="00F84B40" w:rsidRPr="00E812F3">
        <w:rPr>
          <w:rFonts w:asciiTheme="majorBidi" w:hAnsiTheme="majorBidi" w:cstheme="majorBidi"/>
          <w:sz w:val="24"/>
          <w:szCs w:val="24"/>
        </w:rPr>
        <w:t xml:space="preserve">e développement de ce chapitre </w:t>
      </w:r>
      <w:r w:rsidR="00A33167">
        <w:rPr>
          <w:rFonts w:asciiTheme="majorBidi" w:hAnsiTheme="majorBidi" w:cstheme="majorBidi"/>
          <w:sz w:val="24"/>
          <w:szCs w:val="24"/>
        </w:rPr>
        <w:t xml:space="preserve">nous </w:t>
      </w:r>
      <w:r w:rsidR="00F84B40" w:rsidRPr="00E812F3">
        <w:rPr>
          <w:rFonts w:asciiTheme="majorBidi" w:hAnsiTheme="majorBidi" w:cstheme="majorBidi"/>
          <w:sz w:val="24"/>
          <w:szCs w:val="24"/>
        </w:rPr>
        <w:t xml:space="preserve">a permis de mettre l’accent sur le les différentes mesures de vigilances qui doivent </w:t>
      </w:r>
      <w:r w:rsidR="00D814A2">
        <w:rPr>
          <w:rFonts w:asciiTheme="majorBidi" w:hAnsiTheme="majorBidi" w:cstheme="majorBidi"/>
          <w:sz w:val="24"/>
          <w:szCs w:val="24"/>
        </w:rPr>
        <w:t>être prise</w:t>
      </w:r>
      <w:r w:rsidR="005065B4">
        <w:rPr>
          <w:rFonts w:asciiTheme="majorBidi" w:hAnsiTheme="majorBidi" w:cstheme="majorBidi"/>
          <w:sz w:val="24"/>
          <w:szCs w:val="24"/>
        </w:rPr>
        <w:t>s</w:t>
      </w:r>
      <w:r w:rsidR="00D814A2">
        <w:rPr>
          <w:rFonts w:asciiTheme="majorBidi" w:hAnsiTheme="majorBidi" w:cstheme="majorBidi"/>
          <w:sz w:val="24"/>
          <w:szCs w:val="24"/>
        </w:rPr>
        <w:t xml:space="preserve"> en compte pour </w:t>
      </w:r>
      <w:r w:rsidR="005065B4">
        <w:rPr>
          <w:rFonts w:asciiTheme="majorBidi" w:hAnsiTheme="majorBidi" w:cstheme="majorBidi"/>
          <w:sz w:val="24"/>
          <w:szCs w:val="24"/>
        </w:rPr>
        <w:t>la mise en œuvre d’</w:t>
      </w:r>
      <w:r w:rsidR="00F84B40" w:rsidRPr="00E812F3">
        <w:rPr>
          <w:rFonts w:asciiTheme="majorBidi" w:hAnsiTheme="majorBidi" w:cstheme="majorBidi"/>
          <w:sz w:val="24"/>
          <w:szCs w:val="24"/>
        </w:rPr>
        <w:t>un dispositif bancaire</w:t>
      </w:r>
      <w:r w:rsidR="00492EDC">
        <w:rPr>
          <w:rFonts w:asciiTheme="majorBidi" w:hAnsiTheme="majorBidi" w:cstheme="majorBidi"/>
          <w:sz w:val="24"/>
          <w:szCs w:val="24"/>
        </w:rPr>
        <w:t xml:space="preserve"> et son évaluation. L</w:t>
      </w:r>
      <w:r w:rsidR="00D814A2">
        <w:rPr>
          <w:rFonts w:asciiTheme="majorBidi" w:hAnsiTheme="majorBidi" w:cstheme="majorBidi"/>
          <w:sz w:val="24"/>
          <w:szCs w:val="24"/>
        </w:rPr>
        <w:t>es</w:t>
      </w:r>
      <w:r w:rsidR="00492EDC">
        <w:rPr>
          <w:rFonts w:asciiTheme="majorBidi" w:hAnsiTheme="majorBidi" w:cstheme="majorBidi"/>
          <w:sz w:val="24"/>
          <w:szCs w:val="24"/>
        </w:rPr>
        <w:t xml:space="preserve"> </w:t>
      </w:r>
      <w:r w:rsidR="00207052">
        <w:rPr>
          <w:rFonts w:asciiTheme="majorBidi" w:hAnsiTheme="majorBidi" w:cstheme="majorBidi"/>
          <w:sz w:val="24"/>
          <w:szCs w:val="24"/>
        </w:rPr>
        <w:t>principales</w:t>
      </w:r>
      <w:r w:rsidR="00D814A2">
        <w:rPr>
          <w:rFonts w:asciiTheme="majorBidi" w:hAnsiTheme="majorBidi" w:cstheme="majorBidi"/>
          <w:sz w:val="24"/>
          <w:szCs w:val="24"/>
        </w:rPr>
        <w:t xml:space="preserve"> </w:t>
      </w:r>
      <w:r w:rsidR="00492EDC">
        <w:rPr>
          <w:rFonts w:asciiTheme="majorBidi" w:hAnsiTheme="majorBidi" w:cstheme="majorBidi"/>
          <w:sz w:val="24"/>
          <w:szCs w:val="24"/>
        </w:rPr>
        <w:t>mesures</w:t>
      </w:r>
      <w:r w:rsidR="0050746D">
        <w:rPr>
          <w:rFonts w:asciiTheme="majorBidi" w:hAnsiTheme="majorBidi" w:cstheme="majorBidi"/>
          <w:sz w:val="24"/>
          <w:szCs w:val="24"/>
        </w:rPr>
        <w:t xml:space="preserve"> de vigilance</w:t>
      </w:r>
      <w:r w:rsidR="00207052">
        <w:rPr>
          <w:rFonts w:asciiTheme="majorBidi" w:hAnsiTheme="majorBidi" w:cstheme="majorBidi"/>
          <w:sz w:val="24"/>
          <w:szCs w:val="24"/>
        </w:rPr>
        <w:t xml:space="preserve"> traitées</w:t>
      </w:r>
      <w:r w:rsidR="00805B1E">
        <w:rPr>
          <w:rFonts w:asciiTheme="majorBidi" w:hAnsiTheme="majorBidi" w:cstheme="majorBidi"/>
          <w:sz w:val="24"/>
          <w:szCs w:val="24"/>
        </w:rPr>
        <w:t xml:space="preserve"> dans ce chapitre </w:t>
      </w:r>
      <w:r w:rsidR="0050746D">
        <w:rPr>
          <w:rFonts w:asciiTheme="majorBidi" w:hAnsiTheme="majorBidi" w:cstheme="majorBidi"/>
          <w:sz w:val="24"/>
          <w:szCs w:val="24"/>
        </w:rPr>
        <w:t>représenteront le support de</w:t>
      </w:r>
      <w:r w:rsidR="00207052">
        <w:rPr>
          <w:rFonts w:asciiTheme="majorBidi" w:hAnsiTheme="majorBidi" w:cstheme="majorBidi"/>
          <w:sz w:val="24"/>
          <w:szCs w:val="24"/>
        </w:rPr>
        <w:t xml:space="preserve"> notre référentiel d’évaluation</w:t>
      </w:r>
      <w:r w:rsidR="0050746D">
        <w:rPr>
          <w:rFonts w:asciiTheme="majorBidi" w:hAnsiTheme="majorBidi" w:cstheme="majorBidi"/>
          <w:sz w:val="24"/>
          <w:szCs w:val="24"/>
        </w:rPr>
        <w:t xml:space="preserve"> qui sera pré</w:t>
      </w:r>
      <w:r w:rsidR="00637E03">
        <w:rPr>
          <w:rFonts w:asciiTheme="majorBidi" w:hAnsiTheme="majorBidi" w:cstheme="majorBidi"/>
          <w:sz w:val="24"/>
          <w:szCs w:val="24"/>
        </w:rPr>
        <w:t>senté dans le dernier chapitre. I</w:t>
      </w:r>
      <w:r w:rsidR="0050746D">
        <w:rPr>
          <w:rFonts w:asciiTheme="majorBidi" w:hAnsiTheme="majorBidi" w:cstheme="majorBidi"/>
          <w:sz w:val="24"/>
          <w:szCs w:val="24"/>
        </w:rPr>
        <w:t xml:space="preserve">l s’agit essentiellement des mesures </w:t>
      </w:r>
      <w:r w:rsidR="00492EDC">
        <w:rPr>
          <w:rFonts w:asciiTheme="majorBidi" w:hAnsiTheme="majorBidi" w:cstheme="majorBidi"/>
          <w:sz w:val="24"/>
          <w:szCs w:val="24"/>
        </w:rPr>
        <w:t>cité</w:t>
      </w:r>
      <w:r w:rsidR="00207052">
        <w:rPr>
          <w:rFonts w:asciiTheme="majorBidi" w:hAnsiTheme="majorBidi" w:cstheme="majorBidi"/>
          <w:sz w:val="24"/>
          <w:szCs w:val="24"/>
        </w:rPr>
        <w:t>es</w:t>
      </w:r>
      <w:r w:rsidR="00492EDC">
        <w:rPr>
          <w:rFonts w:asciiTheme="majorBidi" w:hAnsiTheme="majorBidi" w:cstheme="majorBidi"/>
          <w:sz w:val="24"/>
          <w:szCs w:val="24"/>
        </w:rPr>
        <w:t xml:space="preserve"> ci-après</w:t>
      </w:r>
      <w:r w:rsidR="00F84B40" w:rsidRPr="00E812F3">
        <w:rPr>
          <w:rFonts w:asciiTheme="majorBidi" w:hAnsiTheme="majorBidi" w:cstheme="majorBidi"/>
          <w:sz w:val="24"/>
          <w:szCs w:val="24"/>
        </w:rPr>
        <w:t>:</w:t>
      </w:r>
    </w:p>
    <w:p w:rsidR="00F84B40" w:rsidRPr="00E812F3" w:rsidRDefault="0017028D" w:rsidP="00E812F3">
      <w:pPr>
        <w:pStyle w:val="Paragraphedeliste"/>
        <w:numPr>
          <w:ilvl w:val="0"/>
          <w:numId w:val="12"/>
        </w:numPr>
        <w:spacing w:line="360" w:lineRule="auto"/>
        <w:jc w:val="both"/>
        <w:rPr>
          <w:rFonts w:asciiTheme="majorBidi" w:hAnsiTheme="majorBidi" w:cstheme="majorBidi"/>
          <w:sz w:val="24"/>
          <w:szCs w:val="24"/>
        </w:rPr>
      </w:pPr>
      <w:r>
        <w:rPr>
          <w:rFonts w:asciiTheme="majorBidi" w:hAnsiTheme="majorBidi" w:cstheme="majorBidi"/>
          <w:sz w:val="24"/>
          <w:szCs w:val="24"/>
        </w:rPr>
        <w:t>l’identification du client ;</w:t>
      </w:r>
      <w:r w:rsidR="00F84B40" w:rsidRPr="00E812F3">
        <w:rPr>
          <w:rFonts w:asciiTheme="majorBidi" w:hAnsiTheme="majorBidi" w:cstheme="majorBidi"/>
          <w:sz w:val="24"/>
          <w:szCs w:val="24"/>
        </w:rPr>
        <w:t xml:space="preserve"> </w:t>
      </w:r>
    </w:p>
    <w:p w:rsidR="00F84B40" w:rsidRPr="00E812F3" w:rsidRDefault="0017028D" w:rsidP="00E812F3">
      <w:pPr>
        <w:pStyle w:val="Paragraphedeliste"/>
        <w:numPr>
          <w:ilvl w:val="0"/>
          <w:numId w:val="12"/>
        </w:numPr>
        <w:spacing w:line="360" w:lineRule="auto"/>
        <w:jc w:val="both"/>
        <w:rPr>
          <w:rFonts w:asciiTheme="majorBidi" w:hAnsiTheme="majorBidi" w:cstheme="majorBidi"/>
          <w:sz w:val="24"/>
          <w:szCs w:val="24"/>
        </w:rPr>
      </w:pPr>
      <w:r>
        <w:rPr>
          <w:rFonts w:asciiTheme="majorBidi" w:hAnsiTheme="majorBidi" w:cstheme="majorBidi"/>
          <w:sz w:val="24"/>
          <w:szCs w:val="24"/>
        </w:rPr>
        <w:t>la conservation des documents ;</w:t>
      </w:r>
    </w:p>
    <w:p w:rsidR="00F84B40" w:rsidRPr="00E812F3" w:rsidRDefault="00F84B40" w:rsidP="00E812F3">
      <w:pPr>
        <w:pStyle w:val="Paragraphedeliste"/>
        <w:numPr>
          <w:ilvl w:val="0"/>
          <w:numId w:val="12"/>
        </w:numPr>
        <w:spacing w:line="360" w:lineRule="auto"/>
        <w:jc w:val="both"/>
        <w:rPr>
          <w:rFonts w:asciiTheme="majorBidi" w:hAnsiTheme="majorBidi" w:cstheme="majorBidi"/>
          <w:sz w:val="24"/>
          <w:szCs w:val="24"/>
        </w:rPr>
      </w:pPr>
      <w:r w:rsidRPr="00E812F3">
        <w:rPr>
          <w:rFonts w:asciiTheme="majorBidi" w:hAnsiTheme="majorBidi" w:cstheme="majorBidi"/>
          <w:sz w:val="24"/>
          <w:szCs w:val="24"/>
        </w:rPr>
        <w:t>le devoir de décla</w:t>
      </w:r>
      <w:r w:rsidR="0017028D">
        <w:rPr>
          <w:rFonts w:asciiTheme="majorBidi" w:hAnsiTheme="majorBidi" w:cstheme="majorBidi"/>
          <w:sz w:val="24"/>
          <w:szCs w:val="24"/>
        </w:rPr>
        <w:t>ration ;</w:t>
      </w:r>
    </w:p>
    <w:p w:rsidR="00F84B40" w:rsidRPr="00E812F3" w:rsidRDefault="007C19B2" w:rsidP="00637E03">
      <w:pPr>
        <w:pStyle w:val="Paragraphedeliste"/>
        <w:numPr>
          <w:ilvl w:val="0"/>
          <w:numId w:val="12"/>
        </w:numPr>
        <w:spacing w:line="360" w:lineRule="auto"/>
        <w:jc w:val="both"/>
        <w:rPr>
          <w:rFonts w:asciiTheme="majorBidi" w:hAnsiTheme="majorBidi" w:cstheme="majorBidi"/>
          <w:sz w:val="24"/>
          <w:szCs w:val="24"/>
        </w:rPr>
      </w:pPr>
      <w:r>
        <w:rPr>
          <w:rFonts w:asciiTheme="majorBidi" w:hAnsiTheme="majorBidi" w:cstheme="majorBidi"/>
          <w:sz w:val="24"/>
          <w:szCs w:val="24"/>
        </w:rPr>
        <w:t>l</w:t>
      </w:r>
      <w:r w:rsidR="00F84B40" w:rsidRPr="00E812F3">
        <w:rPr>
          <w:rFonts w:asciiTheme="majorBidi" w:hAnsiTheme="majorBidi" w:cstheme="majorBidi"/>
          <w:sz w:val="24"/>
          <w:szCs w:val="24"/>
        </w:rPr>
        <w:t>a conform</w:t>
      </w:r>
      <w:r w:rsidR="00637E03">
        <w:rPr>
          <w:rFonts w:asciiTheme="majorBidi" w:hAnsiTheme="majorBidi" w:cstheme="majorBidi"/>
          <w:sz w:val="24"/>
          <w:szCs w:val="24"/>
        </w:rPr>
        <w:t>ité</w:t>
      </w:r>
      <w:r w:rsidR="00F84B40" w:rsidRPr="00E812F3">
        <w:rPr>
          <w:rFonts w:asciiTheme="majorBidi" w:hAnsiTheme="majorBidi" w:cstheme="majorBidi"/>
          <w:sz w:val="24"/>
          <w:szCs w:val="24"/>
        </w:rPr>
        <w:t>, la formation et l’information</w:t>
      </w:r>
      <w:r>
        <w:rPr>
          <w:rFonts w:asciiTheme="majorBidi" w:hAnsiTheme="majorBidi" w:cstheme="majorBidi"/>
          <w:sz w:val="24"/>
          <w:szCs w:val="24"/>
        </w:rPr>
        <w:t>.</w:t>
      </w:r>
    </w:p>
    <w:p w:rsidR="00C06BCA" w:rsidRPr="00E812F3" w:rsidRDefault="00B35169" w:rsidP="00492EDC">
      <w:pPr>
        <w:autoSpaceDE w:val="0"/>
        <w:autoSpaceDN w:val="0"/>
        <w:adjustRightInd w:val="0"/>
        <w:spacing w:before="360" w:after="240" w:line="360" w:lineRule="auto"/>
        <w:ind w:right="43"/>
        <w:jc w:val="both"/>
        <w:outlineLvl w:val="3"/>
        <w:rPr>
          <w:rFonts w:asciiTheme="majorBidi" w:hAnsiTheme="majorBidi" w:cstheme="majorBidi"/>
          <w:sz w:val="24"/>
          <w:szCs w:val="24"/>
        </w:rPr>
      </w:pPr>
      <w:r>
        <w:rPr>
          <w:rFonts w:asciiTheme="majorBidi" w:hAnsiTheme="majorBidi" w:cstheme="majorBidi"/>
          <w:bCs/>
          <w:color w:val="000000"/>
          <w:sz w:val="24"/>
          <w:szCs w:val="24"/>
        </w:rPr>
        <w:tab/>
      </w:r>
      <w:r w:rsidR="000F5C74">
        <w:rPr>
          <w:rFonts w:asciiTheme="majorBidi" w:hAnsiTheme="majorBidi" w:cstheme="majorBidi"/>
          <w:bCs/>
          <w:color w:val="000000"/>
          <w:sz w:val="24"/>
          <w:szCs w:val="24"/>
        </w:rPr>
        <w:tab/>
      </w:r>
    </w:p>
    <w:sectPr w:rsidR="00C06BCA" w:rsidRPr="00E812F3" w:rsidSect="00FE67CF">
      <w:headerReference w:type="default" r:id="rId8"/>
      <w:pgSz w:w="11906" w:h="16838"/>
      <w:pgMar w:top="1417" w:right="1417" w:bottom="1417" w:left="1417" w:header="708" w:footer="708" w:gutter="0"/>
      <w:pgNumType w:start="4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AA8" w:rsidRDefault="00FC6AA8" w:rsidP="00780C14">
      <w:pPr>
        <w:spacing w:after="0" w:line="240" w:lineRule="auto"/>
      </w:pPr>
      <w:r>
        <w:separator/>
      </w:r>
    </w:p>
  </w:endnote>
  <w:endnote w:type="continuationSeparator" w:id="1">
    <w:p w:rsidR="00FC6AA8" w:rsidRDefault="00FC6AA8" w:rsidP="00780C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SwissReSansOT-Regular">
    <w:altName w:val="MS Mincho"/>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AA8" w:rsidRDefault="00FC6AA8" w:rsidP="00780C14">
      <w:pPr>
        <w:spacing w:after="0" w:line="240" w:lineRule="auto"/>
      </w:pPr>
      <w:r>
        <w:separator/>
      </w:r>
    </w:p>
  </w:footnote>
  <w:footnote w:type="continuationSeparator" w:id="1">
    <w:p w:rsidR="00FC6AA8" w:rsidRDefault="00FC6AA8" w:rsidP="00780C14">
      <w:pPr>
        <w:spacing w:after="0" w:line="240" w:lineRule="auto"/>
      </w:pPr>
      <w:r>
        <w:continuationSeparator/>
      </w:r>
    </w:p>
  </w:footnote>
  <w:footnote w:id="2">
    <w:p w:rsidR="0074194F" w:rsidRDefault="0074194F" w:rsidP="00405217">
      <w:pPr>
        <w:pStyle w:val="Notedebasdepage"/>
      </w:pPr>
      <w:r>
        <w:rPr>
          <w:rStyle w:val="Appelnotedebasdep"/>
        </w:rPr>
        <w:footnoteRef/>
      </w:r>
      <w:r>
        <w:t xml:space="preserve"> </w:t>
      </w:r>
      <w:r w:rsidR="00504EB3">
        <w:t xml:space="preserve"> </w:t>
      </w:r>
      <w:r w:rsidR="006538ED" w:rsidRPr="006538ED">
        <w:rPr>
          <w:u w:val="single"/>
        </w:rPr>
        <w:t>www</w:t>
      </w:r>
      <w:hyperlink r:id="rId1" w:history="1">
        <w:r w:rsidR="006538ED" w:rsidRPr="006538ED">
          <w:rPr>
            <w:rStyle w:val="Lienhypertexte"/>
          </w:rPr>
          <w:t>.</w:t>
        </w:r>
        <w:r w:rsidRPr="006538ED">
          <w:rPr>
            <w:rStyle w:val="Lienhypertexte"/>
          </w:rPr>
          <w:t>en.wikipedia.org/wiki/Due_diligence</w:t>
        </w:r>
      </w:hyperlink>
      <w:r w:rsidR="00405217">
        <w:t xml:space="preserve">; </w:t>
      </w:r>
      <w:r>
        <w:t>date de consultation</w:t>
      </w:r>
      <w:r w:rsidR="00405217">
        <w:t> :</w:t>
      </w:r>
      <w:r>
        <w:t xml:space="preserve"> 01</w:t>
      </w:r>
      <w:r w:rsidR="00405217">
        <w:t xml:space="preserve">janvier </w:t>
      </w:r>
      <w:r>
        <w:t>2011</w:t>
      </w:r>
      <w:r w:rsidR="00405217">
        <w:t>.</w:t>
      </w:r>
    </w:p>
  </w:footnote>
  <w:footnote w:id="3">
    <w:p w:rsidR="00CA64E2" w:rsidRPr="00B57EE8" w:rsidRDefault="00CA64E2" w:rsidP="00504EB3">
      <w:pPr>
        <w:autoSpaceDE w:val="0"/>
        <w:autoSpaceDN w:val="0"/>
        <w:adjustRightInd w:val="0"/>
        <w:spacing w:before="360" w:after="240" w:line="360" w:lineRule="auto"/>
        <w:ind w:left="142" w:right="43" w:hanging="142"/>
        <w:jc w:val="both"/>
        <w:outlineLvl w:val="3"/>
        <w:rPr>
          <w:rFonts w:ascii="Times New Roman" w:hAnsi="Times New Roman"/>
          <w:bCs/>
          <w:color w:val="000000"/>
          <w:sz w:val="20"/>
          <w:szCs w:val="20"/>
        </w:rPr>
      </w:pPr>
      <w:r>
        <w:rPr>
          <w:rStyle w:val="Appelnotedebasdep"/>
        </w:rPr>
        <w:footnoteRef/>
      </w:r>
      <w:r w:rsidR="00504EB3">
        <w:t xml:space="preserve"> </w:t>
      </w:r>
      <w:r w:rsidR="002A09F7">
        <w:rPr>
          <w:rFonts w:ascii="Times New Roman" w:hAnsi="Times New Roman"/>
          <w:bCs/>
          <w:color w:val="000000"/>
          <w:sz w:val="20"/>
          <w:szCs w:val="20"/>
        </w:rPr>
        <w:t xml:space="preserve">Article 04 du </w:t>
      </w:r>
      <w:r w:rsidR="002A09F7" w:rsidRPr="002B459C">
        <w:rPr>
          <w:rFonts w:ascii="Times New Roman" w:hAnsi="Times New Roman"/>
          <w:b/>
          <w:color w:val="000000"/>
          <w:sz w:val="20"/>
          <w:szCs w:val="20"/>
          <w:u w:val="single"/>
        </w:rPr>
        <w:t>r</w:t>
      </w:r>
      <w:r w:rsidRPr="002B459C">
        <w:rPr>
          <w:rFonts w:ascii="Times New Roman" w:hAnsi="Times New Roman"/>
          <w:b/>
          <w:color w:val="000000"/>
          <w:sz w:val="20"/>
          <w:szCs w:val="20"/>
          <w:u w:val="single"/>
        </w:rPr>
        <w:t>èglement n° 05-05</w:t>
      </w:r>
      <w:r w:rsidRPr="00B57EE8">
        <w:rPr>
          <w:rFonts w:ascii="Times New Roman" w:hAnsi="Times New Roman"/>
          <w:bCs/>
          <w:color w:val="000000"/>
          <w:sz w:val="20"/>
          <w:szCs w:val="20"/>
        </w:rPr>
        <w:t xml:space="preserve"> du 15</w:t>
      </w:r>
      <w:r>
        <w:rPr>
          <w:rFonts w:ascii="Times New Roman" w:hAnsi="Times New Roman"/>
          <w:bCs/>
          <w:color w:val="000000"/>
          <w:sz w:val="20"/>
          <w:szCs w:val="20"/>
        </w:rPr>
        <w:t> </w:t>
      </w:r>
      <w:r w:rsidR="002A09F7">
        <w:rPr>
          <w:rFonts w:ascii="Times New Roman" w:hAnsi="Times New Roman"/>
          <w:bCs/>
          <w:color w:val="000000"/>
          <w:sz w:val="20"/>
          <w:szCs w:val="20"/>
        </w:rPr>
        <w:t>décembre</w:t>
      </w:r>
      <w:r>
        <w:rPr>
          <w:rFonts w:ascii="Times New Roman" w:hAnsi="Times New Roman"/>
          <w:bCs/>
          <w:color w:val="000000"/>
          <w:sz w:val="20"/>
          <w:szCs w:val="20"/>
        </w:rPr>
        <w:t xml:space="preserve"> 2005</w:t>
      </w:r>
      <w:r w:rsidRPr="00B57EE8">
        <w:rPr>
          <w:rFonts w:ascii="Times New Roman" w:hAnsi="Times New Roman"/>
          <w:bCs/>
          <w:color w:val="000000"/>
          <w:sz w:val="20"/>
          <w:szCs w:val="20"/>
        </w:rPr>
        <w:t xml:space="preserve"> relatif à la lutte contre le blanchiment d’argent et</w:t>
      </w:r>
      <w:r>
        <w:rPr>
          <w:rFonts w:ascii="Times New Roman" w:hAnsi="Times New Roman"/>
          <w:bCs/>
          <w:color w:val="000000"/>
          <w:sz w:val="20"/>
          <w:szCs w:val="20"/>
        </w:rPr>
        <w:t xml:space="preserve"> le financement  du</w:t>
      </w:r>
      <w:r w:rsidRPr="00B57EE8">
        <w:rPr>
          <w:rFonts w:ascii="Times New Roman" w:hAnsi="Times New Roman"/>
          <w:bCs/>
          <w:color w:val="000000"/>
          <w:sz w:val="20"/>
          <w:szCs w:val="20"/>
        </w:rPr>
        <w:t xml:space="preserve"> terrorisme, opposables aux banques et aux établissements financier.</w:t>
      </w:r>
    </w:p>
    <w:p w:rsidR="00CA64E2" w:rsidRDefault="00CA64E2">
      <w:pPr>
        <w:pStyle w:val="Notedebasdepage"/>
      </w:pPr>
    </w:p>
  </w:footnote>
  <w:footnote w:id="4">
    <w:p w:rsidR="0074194F" w:rsidRPr="006E43E3" w:rsidRDefault="0074194F" w:rsidP="00D65398">
      <w:pPr>
        <w:pStyle w:val="Notedebasdepage"/>
        <w:ind w:left="142" w:hanging="142"/>
        <w:jc w:val="both"/>
      </w:pPr>
      <w:r w:rsidRPr="006E43E3">
        <w:rPr>
          <w:rStyle w:val="Appelnotedebasdep"/>
        </w:rPr>
        <w:footnoteRef/>
      </w:r>
      <w:r w:rsidR="00504EB3">
        <w:t xml:space="preserve"> </w:t>
      </w:r>
      <w:r w:rsidRPr="00ED3E25">
        <w:rPr>
          <w:rFonts w:eastAsiaTheme="minorEastAsia" w:cstheme="minorBidi"/>
          <w:bCs/>
          <w:color w:val="000000"/>
        </w:rPr>
        <w:t>Ces comptes sont autorisés dans pas mal de pays, comme la Suisse qui exige la présence d’un objet servant de preuve comme un document confidentiel  nominatif de</w:t>
      </w:r>
      <w:r>
        <w:rPr>
          <w:rFonts w:eastAsiaTheme="minorEastAsia" w:cstheme="minorBidi"/>
          <w:bCs/>
          <w:color w:val="000000"/>
        </w:rPr>
        <w:t xml:space="preserve"> ces comptes, c’est-à-dire que l</w:t>
      </w:r>
      <w:r w:rsidRPr="00ED3E25">
        <w:rPr>
          <w:rFonts w:eastAsiaTheme="minorEastAsia" w:cstheme="minorBidi"/>
          <w:bCs/>
          <w:color w:val="000000"/>
        </w:rPr>
        <w:t>e nom du bénéficiaire d’un tel compte est connu de la banque, mais remplacé par un numéro ou  un code.</w:t>
      </w:r>
    </w:p>
  </w:footnote>
  <w:footnote w:id="5">
    <w:p w:rsidR="0074194F" w:rsidRPr="00B97AFF" w:rsidRDefault="0074194F" w:rsidP="001D4453">
      <w:pPr>
        <w:autoSpaceDE w:val="0"/>
        <w:autoSpaceDN w:val="0"/>
        <w:adjustRightInd w:val="0"/>
        <w:spacing w:before="360" w:after="240" w:line="240" w:lineRule="auto"/>
        <w:ind w:left="142" w:right="43" w:hanging="142"/>
        <w:jc w:val="both"/>
        <w:outlineLvl w:val="3"/>
        <w:rPr>
          <w:rFonts w:asciiTheme="majorBidi" w:hAnsiTheme="majorBidi" w:cstheme="majorBidi"/>
        </w:rPr>
      </w:pPr>
      <w:r w:rsidRPr="00B97AFF">
        <w:rPr>
          <w:rStyle w:val="Appelnotedebasdep"/>
          <w:rFonts w:asciiTheme="majorBidi" w:hAnsiTheme="majorBidi" w:cstheme="majorBidi"/>
        </w:rPr>
        <w:footnoteRef/>
      </w:r>
      <w:r w:rsidRPr="00B97AFF">
        <w:rPr>
          <w:rFonts w:asciiTheme="majorBidi" w:hAnsiTheme="majorBidi" w:cstheme="majorBidi"/>
        </w:rPr>
        <w:t xml:space="preserve"> </w:t>
      </w:r>
      <w:r w:rsidRPr="00B97AFF">
        <w:rPr>
          <w:rFonts w:asciiTheme="majorBidi" w:hAnsiTheme="majorBidi" w:cstheme="majorBidi"/>
          <w:bCs/>
          <w:color w:val="000000"/>
          <w:sz w:val="20"/>
          <w:szCs w:val="20"/>
        </w:rPr>
        <w:t xml:space="preserve">Article 05 du </w:t>
      </w:r>
      <w:r w:rsidR="003111A7" w:rsidRPr="00B97AFF">
        <w:rPr>
          <w:rFonts w:asciiTheme="majorBidi" w:hAnsiTheme="majorBidi" w:cstheme="majorBidi"/>
          <w:b/>
          <w:color w:val="000000"/>
          <w:sz w:val="20"/>
          <w:szCs w:val="20"/>
          <w:u w:val="single"/>
        </w:rPr>
        <w:t>r</w:t>
      </w:r>
      <w:r w:rsidRPr="00B97AFF">
        <w:rPr>
          <w:rFonts w:asciiTheme="majorBidi" w:hAnsiTheme="majorBidi" w:cstheme="majorBidi"/>
          <w:b/>
          <w:color w:val="000000"/>
          <w:sz w:val="20"/>
          <w:szCs w:val="20"/>
          <w:u w:val="single"/>
        </w:rPr>
        <w:t>èglement n° 05-05</w:t>
      </w:r>
      <w:r w:rsidR="00B97AFF" w:rsidRPr="00B97AFF">
        <w:rPr>
          <w:rFonts w:asciiTheme="majorBidi" w:hAnsiTheme="majorBidi" w:cstheme="majorBidi"/>
          <w:b/>
          <w:color w:val="000000"/>
          <w:sz w:val="20"/>
          <w:szCs w:val="20"/>
          <w:u w:val="single"/>
        </w:rPr>
        <w:t xml:space="preserve"> </w:t>
      </w:r>
      <w:r w:rsidR="00B97AFF" w:rsidRPr="00B97AFF">
        <w:rPr>
          <w:rFonts w:asciiTheme="majorBidi" w:hAnsiTheme="majorBidi" w:cstheme="majorBidi"/>
          <w:bCs/>
          <w:color w:val="000000"/>
        </w:rPr>
        <w:t>de la banque d’Algérie</w:t>
      </w:r>
      <w:r w:rsidRPr="00B97AFF">
        <w:rPr>
          <w:rFonts w:asciiTheme="majorBidi" w:hAnsiTheme="majorBidi" w:cstheme="majorBidi"/>
          <w:bCs/>
          <w:color w:val="000000"/>
          <w:sz w:val="20"/>
          <w:szCs w:val="20"/>
        </w:rPr>
        <w:t>.</w:t>
      </w:r>
    </w:p>
  </w:footnote>
  <w:footnote w:id="6">
    <w:p w:rsidR="0074194F" w:rsidRDefault="0074194F" w:rsidP="005E037C">
      <w:pPr>
        <w:autoSpaceDE w:val="0"/>
        <w:autoSpaceDN w:val="0"/>
        <w:adjustRightInd w:val="0"/>
        <w:spacing w:before="360" w:after="240" w:line="240" w:lineRule="auto"/>
        <w:ind w:left="142" w:right="43" w:hanging="142"/>
        <w:jc w:val="both"/>
        <w:outlineLvl w:val="3"/>
      </w:pPr>
      <w:r>
        <w:rPr>
          <w:rStyle w:val="Appelnotedebasdep"/>
        </w:rPr>
        <w:footnoteRef/>
      </w:r>
      <w:r>
        <w:t xml:space="preserve"> </w:t>
      </w:r>
      <w:r w:rsidRPr="00B57EE8">
        <w:rPr>
          <w:rFonts w:ascii="Times New Roman" w:hAnsi="Times New Roman"/>
          <w:sz w:val="20"/>
          <w:szCs w:val="20"/>
        </w:rPr>
        <w:t>Article</w:t>
      </w:r>
      <w:r>
        <w:rPr>
          <w:rFonts w:ascii="Times New Roman" w:hAnsi="Times New Roman"/>
          <w:sz w:val="20"/>
          <w:szCs w:val="20"/>
        </w:rPr>
        <w:t xml:space="preserve"> 0</w:t>
      </w:r>
      <w:r w:rsidRPr="00B57EE8">
        <w:rPr>
          <w:rFonts w:ascii="Times New Roman" w:hAnsi="Times New Roman"/>
          <w:sz w:val="20"/>
          <w:szCs w:val="20"/>
        </w:rPr>
        <w:t xml:space="preserve">7 de la </w:t>
      </w:r>
      <w:r w:rsidRPr="005E037C">
        <w:rPr>
          <w:rFonts w:ascii="Times New Roman" w:hAnsi="Times New Roman"/>
          <w:b/>
          <w:color w:val="000000"/>
          <w:sz w:val="20"/>
          <w:szCs w:val="20"/>
          <w:u w:val="single"/>
        </w:rPr>
        <w:t>loi n° 05-01</w:t>
      </w:r>
      <w:r>
        <w:rPr>
          <w:rFonts w:ascii="Times New Roman" w:hAnsi="Times New Roman"/>
          <w:bCs/>
          <w:color w:val="000000"/>
          <w:sz w:val="20"/>
          <w:szCs w:val="20"/>
        </w:rPr>
        <w:t xml:space="preserve"> du 0</w:t>
      </w:r>
      <w:r w:rsidRPr="00B57EE8">
        <w:rPr>
          <w:rFonts w:ascii="Times New Roman" w:hAnsi="Times New Roman"/>
          <w:bCs/>
          <w:color w:val="000000"/>
          <w:sz w:val="20"/>
          <w:szCs w:val="20"/>
        </w:rPr>
        <w:t>6</w:t>
      </w:r>
      <w:r w:rsidR="00D65398">
        <w:rPr>
          <w:rFonts w:ascii="Times New Roman" w:hAnsi="Times New Roman"/>
          <w:bCs/>
          <w:color w:val="000000"/>
          <w:sz w:val="20"/>
          <w:szCs w:val="20"/>
        </w:rPr>
        <w:t xml:space="preserve"> février </w:t>
      </w:r>
      <w:r w:rsidRPr="00B57EE8">
        <w:rPr>
          <w:rFonts w:ascii="Times New Roman" w:hAnsi="Times New Roman"/>
          <w:bCs/>
          <w:color w:val="000000"/>
          <w:sz w:val="20"/>
          <w:szCs w:val="20"/>
        </w:rPr>
        <w:t>2005 relative à la prévention et à la lutte contre le blanchiment d’argent et le financement du terrorisme</w:t>
      </w:r>
      <w:r w:rsidR="003111A7">
        <w:rPr>
          <w:rFonts w:ascii="Times New Roman" w:hAnsi="Times New Roman"/>
          <w:bCs/>
          <w:color w:val="000000"/>
          <w:sz w:val="20"/>
          <w:szCs w:val="20"/>
        </w:rPr>
        <w:t>.</w:t>
      </w:r>
    </w:p>
  </w:footnote>
  <w:footnote w:id="7">
    <w:p w:rsidR="0074194F" w:rsidRDefault="0074194F" w:rsidP="005E037C">
      <w:pPr>
        <w:autoSpaceDE w:val="0"/>
        <w:autoSpaceDN w:val="0"/>
        <w:adjustRightInd w:val="0"/>
        <w:spacing w:after="0" w:line="240" w:lineRule="auto"/>
        <w:ind w:left="142" w:hanging="142"/>
        <w:jc w:val="both"/>
      </w:pPr>
      <w:r w:rsidRPr="00AF2B6D">
        <w:rPr>
          <w:rFonts w:ascii="Times New Roman" w:hAnsi="Times New Roman"/>
          <w:sz w:val="20"/>
          <w:szCs w:val="20"/>
          <w:vertAlign w:val="superscript"/>
        </w:rPr>
        <w:footnoteRef/>
      </w:r>
      <w:r w:rsidRPr="00AF2B6D">
        <w:rPr>
          <w:rFonts w:ascii="Times New Roman" w:hAnsi="Times New Roman"/>
          <w:sz w:val="20"/>
          <w:szCs w:val="20"/>
          <w:vertAlign w:val="superscript"/>
        </w:rPr>
        <w:t xml:space="preserve"> </w:t>
      </w:r>
      <w:r w:rsidRPr="00D65398">
        <w:rPr>
          <w:rFonts w:ascii="Times New Roman" w:hAnsi="Times New Roman"/>
          <w:b/>
          <w:bCs/>
          <w:sz w:val="20"/>
          <w:szCs w:val="20"/>
          <w:u w:val="single"/>
        </w:rPr>
        <w:t xml:space="preserve">Glossaire du GAFI  </w:t>
      </w:r>
      <w:r w:rsidRPr="00855720">
        <w:rPr>
          <w:rFonts w:ascii="Times New Roman" w:hAnsi="Times New Roman"/>
          <w:sz w:val="20"/>
          <w:szCs w:val="20"/>
        </w:rPr>
        <w:t>« bénéficiaire effectif » : la ou les personnes physiques qui in fine possèdent ou contrôlent le client et/ou la personne pour laquelle une transaction est effectuée. Ceci comprend également les personnes qui exercent en dernier ressort un contrôle effectif sur une personne morale ou une construction juridique.</w:t>
      </w:r>
      <w:r>
        <w:rPr>
          <w:rFonts w:ascii="Times New Roman" w:hAnsi="Times New Roman"/>
          <w:sz w:val="20"/>
          <w:szCs w:val="20"/>
        </w:rPr>
        <w:t xml:space="preserve"> </w:t>
      </w:r>
    </w:p>
  </w:footnote>
  <w:footnote w:id="8">
    <w:p w:rsidR="005E465A" w:rsidRDefault="005E465A" w:rsidP="001D4453">
      <w:pPr>
        <w:autoSpaceDE w:val="0"/>
        <w:autoSpaceDN w:val="0"/>
        <w:adjustRightInd w:val="0"/>
        <w:spacing w:before="360" w:after="240" w:line="240" w:lineRule="auto"/>
        <w:ind w:left="142" w:right="43" w:hanging="142"/>
        <w:jc w:val="both"/>
        <w:outlineLvl w:val="3"/>
      </w:pPr>
      <w:r>
        <w:rPr>
          <w:rStyle w:val="Appelnotedebasdep"/>
        </w:rPr>
        <w:footnoteRef/>
      </w:r>
      <w:r>
        <w:t xml:space="preserve"> </w:t>
      </w:r>
      <w:r w:rsidRPr="006E43E3">
        <w:rPr>
          <w:rFonts w:ascii="Times New Roman" w:hAnsi="Times New Roman"/>
          <w:sz w:val="20"/>
          <w:szCs w:val="20"/>
        </w:rPr>
        <w:t xml:space="preserve">Article 09 de la </w:t>
      </w:r>
      <w:r w:rsidRPr="005E037C">
        <w:rPr>
          <w:rFonts w:ascii="Times New Roman" w:hAnsi="Times New Roman"/>
          <w:b/>
          <w:color w:val="000000"/>
          <w:sz w:val="20"/>
          <w:szCs w:val="20"/>
          <w:u w:val="single"/>
        </w:rPr>
        <w:t>loi n° 05-01</w:t>
      </w:r>
      <w:r w:rsidR="003111A7">
        <w:rPr>
          <w:rFonts w:ascii="Times New Roman" w:hAnsi="Times New Roman"/>
          <w:bCs/>
          <w:color w:val="000000"/>
          <w:sz w:val="20"/>
          <w:szCs w:val="20"/>
        </w:rPr>
        <w:t>.</w:t>
      </w:r>
    </w:p>
  </w:footnote>
  <w:footnote w:id="9">
    <w:p w:rsidR="0074194F" w:rsidRPr="005E037C" w:rsidRDefault="0074194F" w:rsidP="005E037C">
      <w:pPr>
        <w:autoSpaceDE w:val="0"/>
        <w:autoSpaceDN w:val="0"/>
        <w:adjustRightInd w:val="0"/>
        <w:spacing w:before="360" w:after="240" w:line="240" w:lineRule="auto"/>
        <w:ind w:left="142" w:right="43" w:hanging="142"/>
        <w:jc w:val="both"/>
        <w:outlineLvl w:val="3"/>
        <w:rPr>
          <w:rFonts w:asciiTheme="majorBidi" w:hAnsiTheme="majorBidi" w:cstheme="majorBidi"/>
          <w:color w:val="000000"/>
          <w:sz w:val="20"/>
          <w:szCs w:val="20"/>
        </w:rPr>
      </w:pPr>
      <w:r>
        <w:rPr>
          <w:rStyle w:val="Appelnotedebasdep"/>
        </w:rPr>
        <w:footnoteRef/>
      </w:r>
      <w:r>
        <w:t xml:space="preserve"> </w:t>
      </w:r>
      <w:r w:rsidR="005E037C" w:rsidRPr="008737C2">
        <w:rPr>
          <w:rFonts w:asciiTheme="majorBidi" w:hAnsiTheme="majorBidi" w:cstheme="majorBidi"/>
          <w:b/>
          <w:bCs/>
          <w:sz w:val="20"/>
          <w:szCs w:val="20"/>
          <w:u w:val="single"/>
        </w:rPr>
        <w:t>Idem</w:t>
      </w:r>
      <w:r w:rsidR="005E037C" w:rsidRPr="005E037C">
        <w:rPr>
          <w:rFonts w:asciiTheme="majorBidi" w:hAnsiTheme="majorBidi" w:cstheme="majorBidi"/>
          <w:sz w:val="20"/>
          <w:szCs w:val="20"/>
        </w:rPr>
        <w:t xml:space="preserve">, </w:t>
      </w:r>
      <w:r w:rsidRPr="005E037C">
        <w:rPr>
          <w:rFonts w:asciiTheme="majorBidi" w:hAnsiTheme="majorBidi" w:cstheme="majorBidi"/>
          <w:sz w:val="20"/>
          <w:szCs w:val="20"/>
        </w:rPr>
        <w:t>Article 10</w:t>
      </w:r>
      <w:r w:rsidR="005E037C" w:rsidRPr="005E037C">
        <w:rPr>
          <w:rFonts w:asciiTheme="majorBidi" w:hAnsiTheme="majorBidi" w:cstheme="majorBidi"/>
          <w:sz w:val="20"/>
          <w:szCs w:val="20"/>
        </w:rPr>
        <w:t>.</w:t>
      </w:r>
      <w:r w:rsidRPr="005E037C">
        <w:rPr>
          <w:rFonts w:asciiTheme="majorBidi" w:hAnsiTheme="majorBidi" w:cstheme="majorBidi"/>
          <w:sz w:val="20"/>
          <w:szCs w:val="20"/>
        </w:rPr>
        <w:t xml:space="preserve"> </w:t>
      </w:r>
    </w:p>
    <w:p w:rsidR="0074194F" w:rsidRDefault="0074194F">
      <w:pPr>
        <w:pStyle w:val="Notedebasdepage"/>
      </w:pPr>
    </w:p>
  </w:footnote>
  <w:footnote w:id="10">
    <w:p w:rsidR="0074194F" w:rsidRPr="007A7D32" w:rsidRDefault="0074194F" w:rsidP="000F2639">
      <w:pPr>
        <w:autoSpaceDE w:val="0"/>
        <w:autoSpaceDN w:val="0"/>
        <w:adjustRightInd w:val="0"/>
        <w:spacing w:after="0" w:line="360" w:lineRule="auto"/>
        <w:jc w:val="both"/>
        <w:rPr>
          <w:rFonts w:ascii="Times New Roman" w:hAnsi="Times New Roman"/>
          <w:sz w:val="20"/>
          <w:szCs w:val="20"/>
        </w:rPr>
      </w:pPr>
      <w:r w:rsidRPr="007A7D32">
        <w:rPr>
          <w:rStyle w:val="Appelnotedebasdep"/>
          <w:rFonts w:ascii="Times New Roman" w:hAnsi="Times New Roman"/>
          <w:sz w:val="20"/>
          <w:szCs w:val="20"/>
        </w:rPr>
        <w:footnoteRef/>
      </w:r>
      <w:r w:rsidRPr="007A7D32">
        <w:rPr>
          <w:rFonts w:ascii="Times New Roman" w:hAnsi="Times New Roman"/>
          <w:sz w:val="20"/>
          <w:szCs w:val="20"/>
        </w:rPr>
        <w:t xml:space="preserve"> </w:t>
      </w:r>
      <w:r w:rsidR="000F2639" w:rsidRPr="002B459C">
        <w:rPr>
          <w:rFonts w:ascii="Times New Roman" w:hAnsi="Times New Roman"/>
          <w:b/>
          <w:bCs/>
          <w:sz w:val="20"/>
          <w:szCs w:val="20"/>
          <w:u w:val="single"/>
        </w:rPr>
        <w:t xml:space="preserve">Rapport sur la </w:t>
      </w:r>
      <w:r w:rsidR="002B459C">
        <w:rPr>
          <w:rFonts w:ascii="Times New Roman" w:hAnsi="Times New Roman"/>
          <w:b/>
          <w:bCs/>
          <w:sz w:val="20"/>
          <w:szCs w:val="20"/>
          <w:u w:val="single"/>
        </w:rPr>
        <w:t>s</w:t>
      </w:r>
      <w:r w:rsidR="000F2639" w:rsidRPr="002B459C">
        <w:rPr>
          <w:rFonts w:ascii="Times New Roman" w:hAnsi="Times New Roman"/>
          <w:b/>
          <w:bCs/>
          <w:sz w:val="20"/>
          <w:szCs w:val="20"/>
          <w:u w:val="single"/>
        </w:rPr>
        <w:t>upervision bancaire</w:t>
      </w:r>
      <w:r w:rsidR="00565591">
        <w:rPr>
          <w:rFonts w:ascii="Times New Roman" w:hAnsi="Times New Roman"/>
          <w:sz w:val="20"/>
          <w:szCs w:val="20"/>
        </w:rPr>
        <w:t>, b</w:t>
      </w:r>
      <w:r w:rsidR="000F2639">
        <w:rPr>
          <w:rFonts w:ascii="Times New Roman" w:hAnsi="Times New Roman"/>
          <w:sz w:val="20"/>
          <w:szCs w:val="20"/>
        </w:rPr>
        <w:t xml:space="preserve">anque d’Algérie, </w:t>
      </w:r>
      <w:r w:rsidR="000F2639" w:rsidRPr="007A7D32">
        <w:rPr>
          <w:rFonts w:ascii="Times New Roman" w:hAnsi="Times New Roman"/>
          <w:sz w:val="20"/>
          <w:szCs w:val="20"/>
        </w:rPr>
        <w:t>23 juillet 2008</w:t>
      </w:r>
      <w:r w:rsidR="000F2639">
        <w:rPr>
          <w:rFonts w:ascii="Times New Roman" w:hAnsi="Times New Roman"/>
          <w:sz w:val="20"/>
          <w:szCs w:val="20"/>
        </w:rPr>
        <w:t>, P 53.</w:t>
      </w:r>
    </w:p>
    <w:p w:rsidR="0074194F" w:rsidRPr="007A7D32" w:rsidRDefault="0074194F" w:rsidP="00780C14">
      <w:pPr>
        <w:pStyle w:val="Notedebasdepage"/>
      </w:pPr>
    </w:p>
  </w:footnote>
  <w:footnote w:id="11">
    <w:p w:rsidR="0074194F" w:rsidRPr="008949E7" w:rsidRDefault="0074194F" w:rsidP="00565591">
      <w:pPr>
        <w:pStyle w:val="Default"/>
        <w:ind w:left="142" w:hanging="142"/>
        <w:rPr>
          <w:sz w:val="20"/>
          <w:szCs w:val="20"/>
        </w:rPr>
      </w:pPr>
      <w:r w:rsidRPr="007815C3">
        <w:rPr>
          <w:rStyle w:val="Appelnotedebasdep"/>
          <w:sz w:val="20"/>
          <w:szCs w:val="20"/>
        </w:rPr>
        <w:footnoteRef/>
      </w:r>
      <w:r w:rsidR="00565591">
        <w:rPr>
          <w:iCs/>
          <w:sz w:val="20"/>
          <w:szCs w:val="20"/>
        </w:rPr>
        <w:t xml:space="preserve"> </w:t>
      </w:r>
      <w:r w:rsidR="003111A7" w:rsidRPr="008949E7">
        <w:rPr>
          <w:iCs/>
          <w:sz w:val="20"/>
          <w:szCs w:val="20"/>
        </w:rPr>
        <w:t>Document de référence</w:t>
      </w:r>
      <w:r w:rsidR="003111A7">
        <w:rPr>
          <w:iCs/>
          <w:sz w:val="20"/>
          <w:szCs w:val="20"/>
        </w:rPr>
        <w:t xml:space="preserve"> du GAFI :</w:t>
      </w:r>
      <w:r w:rsidR="003111A7" w:rsidRPr="008949E7">
        <w:rPr>
          <w:bCs/>
          <w:sz w:val="20"/>
          <w:szCs w:val="20"/>
        </w:rPr>
        <w:t xml:space="preserve"> </w:t>
      </w:r>
      <w:r w:rsidRPr="00565591">
        <w:rPr>
          <w:b/>
          <w:sz w:val="20"/>
          <w:szCs w:val="20"/>
          <w:u w:val="single"/>
        </w:rPr>
        <w:t>Méthodologie d’évaluation de la conformité aux 40 Recommandations et aux 9 Recommandations Spéciales du GAFI</w:t>
      </w:r>
      <w:r w:rsidR="003111A7">
        <w:rPr>
          <w:bCs/>
          <w:sz w:val="20"/>
          <w:szCs w:val="20"/>
        </w:rPr>
        <w:t>,</w:t>
      </w:r>
      <w:r>
        <w:rPr>
          <w:bCs/>
          <w:sz w:val="20"/>
          <w:szCs w:val="20"/>
        </w:rPr>
        <w:t xml:space="preserve"> </w:t>
      </w:r>
      <w:r w:rsidRPr="008949E7">
        <w:rPr>
          <w:iCs/>
          <w:sz w:val="20"/>
          <w:szCs w:val="20"/>
        </w:rPr>
        <w:t>27 février 2004(Mise à jour en février 2009</w:t>
      </w:r>
      <w:r w:rsidR="003111A7" w:rsidRPr="008949E7">
        <w:rPr>
          <w:iCs/>
          <w:sz w:val="20"/>
          <w:szCs w:val="20"/>
        </w:rPr>
        <w:t>),</w:t>
      </w:r>
      <w:r w:rsidR="003111A7">
        <w:rPr>
          <w:iCs/>
          <w:sz w:val="20"/>
          <w:szCs w:val="20"/>
        </w:rPr>
        <w:t xml:space="preserve"> P</w:t>
      </w:r>
      <w:r w:rsidR="003111A7">
        <w:rPr>
          <w:bCs/>
          <w:sz w:val="20"/>
          <w:szCs w:val="20"/>
        </w:rPr>
        <w:t xml:space="preserve">20. </w:t>
      </w:r>
      <w:r w:rsidRPr="008949E7">
        <w:rPr>
          <w:iCs/>
          <w:sz w:val="20"/>
          <w:szCs w:val="20"/>
        </w:rPr>
        <w:t xml:space="preserve"> </w:t>
      </w:r>
    </w:p>
    <w:tbl>
      <w:tblPr>
        <w:tblW w:w="0" w:type="auto"/>
        <w:tblBorders>
          <w:top w:val="nil"/>
          <w:left w:val="nil"/>
          <w:bottom w:val="nil"/>
          <w:right w:val="nil"/>
        </w:tblBorders>
        <w:tblLayout w:type="fixed"/>
        <w:tblLook w:val="0000"/>
      </w:tblPr>
      <w:tblGrid>
        <w:gridCol w:w="398"/>
      </w:tblGrid>
      <w:tr w:rsidR="0074194F" w:rsidRPr="001B3EB7">
        <w:trPr>
          <w:trHeight w:val="439"/>
        </w:trPr>
        <w:tc>
          <w:tcPr>
            <w:tcW w:w="398" w:type="dxa"/>
          </w:tcPr>
          <w:p w:rsidR="0074194F" w:rsidRPr="001B3EB7" w:rsidRDefault="0074194F" w:rsidP="0074194F">
            <w:pPr>
              <w:autoSpaceDE w:val="0"/>
              <w:autoSpaceDN w:val="0"/>
              <w:adjustRightInd w:val="0"/>
              <w:spacing w:after="0" w:line="240" w:lineRule="auto"/>
              <w:rPr>
                <w:rFonts w:asciiTheme="minorHAnsi" w:eastAsiaTheme="minorEastAsia" w:hAnsiTheme="minorHAnsi" w:cs="Calibri"/>
                <w:color w:val="000000"/>
                <w:sz w:val="44"/>
                <w:szCs w:val="44"/>
              </w:rPr>
            </w:pPr>
          </w:p>
        </w:tc>
      </w:tr>
    </w:tbl>
    <w:p w:rsidR="0074194F" w:rsidRDefault="0074194F" w:rsidP="00780C14">
      <w:pPr>
        <w:pStyle w:val="Notedebasdepage"/>
      </w:pPr>
    </w:p>
  </w:footnote>
  <w:footnote w:id="12">
    <w:p w:rsidR="0074194F" w:rsidRDefault="0074194F" w:rsidP="00565591">
      <w:pPr>
        <w:pStyle w:val="Notedebasdepage"/>
      </w:pPr>
      <w:r w:rsidRPr="00AF3BC6">
        <w:rPr>
          <w:rStyle w:val="Appelnotedebasdep"/>
        </w:rPr>
        <w:footnoteRef/>
      </w:r>
      <w:r w:rsidR="003111A7" w:rsidRPr="008949E7">
        <w:rPr>
          <w:iCs/>
          <w:color w:val="000000"/>
        </w:rPr>
        <w:t xml:space="preserve"> Document de référence</w:t>
      </w:r>
      <w:r w:rsidR="00565591">
        <w:rPr>
          <w:iCs/>
          <w:color w:val="000000"/>
        </w:rPr>
        <w:t xml:space="preserve"> du GAFI,</w:t>
      </w:r>
      <w:r w:rsidR="00565591" w:rsidRPr="00565591">
        <w:rPr>
          <w:b/>
          <w:bCs/>
          <w:iCs/>
          <w:color w:val="000000"/>
          <w:u w:val="single"/>
        </w:rPr>
        <w:t>OP CIT</w:t>
      </w:r>
      <w:r w:rsidR="00565591">
        <w:rPr>
          <w:iCs/>
          <w:color w:val="000000"/>
        </w:rPr>
        <w:t>,</w:t>
      </w:r>
      <w:r>
        <w:rPr>
          <w:bCs/>
        </w:rPr>
        <w:t xml:space="preserve"> </w:t>
      </w:r>
      <w:r w:rsidR="003111A7" w:rsidRPr="008949E7">
        <w:rPr>
          <w:iCs/>
          <w:color w:val="000000"/>
        </w:rPr>
        <w:t xml:space="preserve">27 février 2004(Mise à jour en février 2009), </w:t>
      </w:r>
      <w:r w:rsidR="003111A7">
        <w:rPr>
          <w:bCs/>
        </w:rPr>
        <w:t>(recommandation 5-13, P</w:t>
      </w:r>
      <w:r>
        <w:rPr>
          <w:bCs/>
        </w:rPr>
        <w:t xml:space="preserve"> 21) </w:t>
      </w:r>
    </w:p>
    <w:p w:rsidR="0074194F" w:rsidRDefault="0074194F" w:rsidP="00780C14">
      <w:pPr>
        <w:pStyle w:val="Notedebasdepage"/>
      </w:pPr>
    </w:p>
  </w:footnote>
  <w:footnote w:id="13">
    <w:p w:rsidR="0074194F" w:rsidRPr="00B97AFF" w:rsidRDefault="0074194F" w:rsidP="00B97AFF">
      <w:pPr>
        <w:pStyle w:val="Notedebasdepage"/>
        <w:rPr>
          <w:bCs/>
        </w:rPr>
      </w:pPr>
      <w:r>
        <w:rPr>
          <w:rStyle w:val="Appelnotedebasdep"/>
        </w:rPr>
        <w:footnoteRef/>
      </w:r>
      <w:r w:rsidRPr="00E32F80">
        <w:t xml:space="preserve"> </w:t>
      </w:r>
      <w:r>
        <w:rPr>
          <w:bCs/>
          <w:color w:val="000000"/>
        </w:rPr>
        <w:t xml:space="preserve">Article 08 du  </w:t>
      </w:r>
      <w:r w:rsidRPr="00B97AFF">
        <w:rPr>
          <w:b/>
          <w:color w:val="000000"/>
          <w:u w:val="single"/>
        </w:rPr>
        <w:t>Règlement n° 05-05</w:t>
      </w:r>
      <w:r w:rsidR="00B97AFF">
        <w:rPr>
          <w:b/>
          <w:color w:val="000000"/>
          <w:u w:val="single"/>
        </w:rPr>
        <w:t xml:space="preserve"> </w:t>
      </w:r>
      <w:r w:rsidR="00B97AFF" w:rsidRPr="00B97AFF">
        <w:rPr>
          <w:bCs/>
          <w:color w:val="000000"/>
        </w:rPr>
        <w:t>de la banque d’Algérie.</w:t>
      </w:r>
    </w:p>
  </w:footnote>
  <w:footnote w:id="14">
    <w:p w:rsidR="0074194F" w:rsidRDefault="0074194F" w:rsidP="008737C2">
      <w:pPr>
        <w:pStyle w:val="Notedebasdepage"/>
        <w:rPr>
          <w:bCs/>
          <w:color w:val="000000"/>
        </w:rPr>
      </w:pPr>
      <w:r>
        <w:rPr>
          <w:rStyle w:val="Appelnotedebasdep"/>
        </w:rPr>
        <w:footnoteRef/>
      </w:r>
      <w:r>
        <w:t xml:space="preserve"> </w:t>
      </w:r>
      <w:r>
        <w:rPr>
          <w:bCs/>
          <w:color w:val="000000"/>
        </w:rPr>
        <w:t xml:space="preserve">Article 17 du  </w:t>
      </w:r>
      <w:r w:rsidR="008737C2">
        <w:rPr>
          <w:b/>
          <w:color w:val="000000"/>
          <w:u w:val="single"/>
        </w:rPr>
        <w:t>r</w:t>
      </w:r>
      <w:r w:rsidRPr="008737C2">
        <w:rPr>
          <w:b/>
          <w:color w:val="000000"/>
          <w:u w:val="single"/>
        </w:rPr>
        <w:t xml:space="preserve">èglement n° 05-05 </w:t>
      </w:r>
      <w:r w:rsidR="008737C2" w:rsidRPr="00B97AFF">
        <w:rPr>
          <w:bCs/>
          <w:color w:val="000000"/>
        </w:rPr>
        <w:t>de la banque d’Algérie</w:t>
      </w:r>
    </w:p>
    <w:p w:rsidR="0074194F" w:rsidRDefault="0074194F">
      <w:pPr>
        <w:pStyle w:val="Notedebasdepage"/>
      </w:pPr>
    </w:p>
  </w:footnote>
  <w:footnote w:id="15">
    <w:p w:rsidR="0074194F" w:rsidRPr="007815C3" w:rsidRDefault="0074194F" w:rsidP="00780C14">
      <w:pPr>
        <w:pStyle w:val="Notedebasdepage"/>
        <w:rPr>
          <w:bCs/>
          <w:color w:val="000000"/>
          <w:lang w:val="en-US"/>
        </w:rPr>
      </w:pPr>
      <w:r>
        <w:rPr>
          <w:rStyle w:val="Appelnotedebasdep"/>
        </w:rPr>
        <w:footnoteRef/>
      </w:r>
      <w:r w:rsidRPr="007815C3">
        <w:rPr>
          <w:lang w:val="en-US"/>
        </w:rPr>
        <w:t xml:space="preserve"> </w:t>
      </w:r>
      <w:r w:rsidR="00A06304" w:rsidRPr="008737C2">
        <w:rPr>
          <w:b/>
          <w:bCs/>
          <w:u w:val="single"/>
          <w:lang w:val="en-US"/>
        </w:rPr>
        <w:t>Idem</w:t>
      </w:r>
      <w:r w:rsidR="00A06304" w:rsidRPr="007815C3">
        <w:rPr>
          <w:lang w:val="en-US"/>
        </w:rPr>
        <w:t xml:space="preserve">, </w:t>
      </w:r>
      <w:r w:rsidR="00A06304" w:rsidRPr="007815C3">
        <w:rPr>
          <w:bCs/>
          <w:color w:val="000000"/>
          <w:lang w:val="en-US"/>
        </w:rPr>
        <w:t>Article 18</w:t>
      </w:r>
      <w:r w:rsidR="008737C2" w:rsidRPr="007815C3">
        <w:rPr>
          <w:bCs/>
          <w:color w:val="000000"/>
          <w:lang w:val="en-US"/>
        </w:rPr>
        <w:t>, 19</w:t>
      </w:r>
      <w:r w:rsidR="00A06304" w:rsidRPr="007815C3">
        <w:rPr>
          <w:bCs/>
          <w:color w:val="000000"/>
          <w:lang w:val="en-US"/>
        </w:rPr>
        <w:t>.</w:t>
      </w:r>
    </w:p>
    <w:p w:rsidR="0074194F" w:rsidRPr="007815C3" w:rsidRDefault="0074194F" w:rsidP="00780C14">
      <w:pPr>
        <w:pStyle w:val="Notedebasdepage"/>
        <w:rPr>
          <w:rStyle w:val="Appelnotedebasdep"/>
          <w:lang w:val="en-US"/>
        </w:rPr>
      </w:pPr>
    </w:p>
  </w:footnote>
  <w:footnote w:id="16">
    <w:p w:rsidR="0074194F" w:rsidRPr="000310F7" w:rsidRDefault="0074194F" w:rsidP="00A24084">
      <w:pPr>
        <w:jc w:val="both"/>
        <w:rPr>
          <w:rFonts w:ascii="Times New Roman" w:hAnsi="Times New Roman"/>
          <w:bCs/>
          <w:color w:val="000000"/>
          <w:sz w:val="20"/>
          <w:szCs w:val="20"/>
          <w:lang w:val="en-US"/>
        </w:rPr>
      </w:pPr>
      <w:r w:rsidRPr="00980A52">
        <w:rPr>
          <w:rFonts w:ascii="Times New Roman" w:hAnsi="Times New Roman"/>
          <w:bCs/>
          <w:color w:val="000000"/>
          <w:sz w:val="20"/>
          <w:szCs w:val="20"/>
          <w:vertAlign w:val="superscript"/>
        </w:rPr>
        <w:footnoteRef/>
      </w:r>
      <w:r w:rsidRPr="000310F7">
        <w:rPr>
          <w:rFonts w:ascii="Times New Roman" w:hAnsi="Times New Roman"/>
          <w:bCs/>
          <w:color w:val="000000"/>
          <w:sz w:val="20"/>
          <w:szCs w:val="20"/>
          <w:lang w:val="en-US"/>
        </w:rPr>
        <w:t xml:space="preserve"> The President’s Blue Ribbon Commission on Defense Management; « </w:t>
      </w:r>
      <w:r w:rsidRPr="008737C2">
        <w:rPr>
          <w:rFonts w:ascii="Times New Roman" w:hAnsi="Times New Roman"/>
          <w:b/>
          <w:i/>
          <w:iCs/>
          <w:color w:val="000000"/>
          <w:sz w:val="20"/>
          <w:szCs w:val="20"/>
          <w:u w:val="single"/>
          <w:lang w:val="en-US"/>
        </w:rPr>
        <w:t>An Interim Report to the President by the President’s Blue Ribbon Comm</w:t>
      </w:r>
      <w:r w:rsidR="00916A34" w:rsidRPr="008737C2">
        <w:rPr>
          <w:rFonts w:ascii="Times New Roman" w:hAnsi="Times New Roman"/>
          <w:b/>
          <w:i/>
          <w:iCs/>
          <w:color w:val="000000"/>
          <w:sz w:val="20"/>
          <w:szCs w:val="20"/>
          <w:u w:val="single"/>
          <w:lang w:val="en-US"/>
        </w:rPr>
        <w:t>ission on Defense Management</w:t>
      </w:r>
      <w:r w:rsidR="00916A34">
        <w:rPr>
          <w:rFonts w:ascii="Times New Roman" w:hAnsi="Times New Roman"/>
          <w:bCs/>
          <w:color w:val="000000"/>
          <w:sz w:val="20"/>
          <w:szCs w:val="20"/>
          <w:lang w:val="en-US"/>
        </w:rPr>
        <w:t> »</w:t>
      </w:r>
      <w:r w:rsidR="008737C2">
        <w:rPr>
          <w:rFonts w:ascii="Times New Roman" w:hAnsi="Times New Roman"/>
          <w:bCs/>
          <w:color w:val="000000"/>
          <w:sz w:val="20"/>
          <w:szCs w:val="20"/>
          <w:lang w:val="en-US"/>
        </w:rPr>
        <w:t xml:space="preserve">, </w:t>
      </w:r>
      <w:hyperlink r:id="rId2" w:history="1">
        <w:r w:rsidR="008737C2" w:rsidRPr="00AA095A">
          <w:rPr>
            <w:rStyle w:val="Lienhypertexte"/>
            <w:rFonts w:ascii="Times New Roman" w:hAnsi="Times New Roman"/>
            <w:bCs/>
            <w:sz w:val="20"/>
            <w:szCs w:val="20"/>
            <w:lang w:val="en-US"/>
          </w:rPr>
          <w:t>www.ndu.edu/library/pbrc/36In8.pdf</w:t>
        </w:r>
      </w:hyperlink>
      <w:r w:rsidR="008737C2">
        <w:rPr>
          <w:rFonts w:ascii="Times New Roman" w:hAnsi="Times New Roman"/>
          <w:bCs/>
          <w:color w:val="000000"/>
          <w:sz w:val="20"/>
          <w:szCs w:val="20"/>
          <w:lang w:val="en-US"/>
        </w:rPr>
        <w:t>,</w:t>
      </w:r>
      <w:r w:rsidR="00916A34">
        <w:rPr>
          <w:rFonts w:ascii="Times New Roman" w:hAnsi="Times New Roman"/>
          <w:bCs/>
          <w:color w:val="000000"/>
          <w:sz w:val="20"/>
          <w:szCs w:val="20"/>
          <w:lang w:val="en-US"/>
        </w:rPr>
        <w:t xml:space="preserve"> 28</w:t>
      </w:r>
      <w:r w:rsidR="00A24084">
        <w:rPr>
          <w:rFonts w:ascii="Times New Roman" w:hAnsi="Times New Roman"/>
          <w:bCs/>
          <w:color w:val="000000"/>
          <w:sz w:val="20"/>
          <w:szCs w:val="20"/>
          <w:lang w:val="en-US"/>
        </w:rPr>
        <w:t xml:space="preserve"> Fevrier</w:t>
      </w:r>
      <w:r w:rsidR="00916A34">
        <w:rPr>
          <w:rFonts w:ascii="Times New Roman" w:hAnsi="Times New Roman"/>
          <w:bCs/>
          <w:color w:val="000000"/>
          <w:sz w:val="20"/>
          <w:szCs w:val="20"/>
          <w:lang w:val="en-US"/>
        </w:rPr>
        <w:t>, 1986</w:t>
      </w:r>
      <w:r w:rsidR="00A24084">
        <w:rPr>
          <w:rFonts w:ascii="Times New Roman" w:hAnsi="Times New Roman"/>
          <w:bCs/>
          <w:color w:val="000000"/>
          <w:sz w:val="20"/>
          <w:szCs w:val="20"/>
          <w:lang w:val="en-US"/>
        </w:rPr>
        <w:t>, P</w:t>
      </w:r>
      <w:r w:rsidR="00916A34" w:rsidRPr="000310F7">
        <w:rPr>
          <w:rFonts w:ascii="Times New Roman" w:hAnsi="Times New Roman"/>
          <w:bCs/>
          <w:color w:val="000000"/>
          <w:sz w:val="20"/>
          <w:szCs w:val="20"/>
          <w:lang w:val="en-US"/>
        </w:rPr>
        <w:t xml:space="preserve"> 21</w:t>
      </w:r>
      <w:r w:rsidR="00916A34">
        <w:rPr>
          <w:rFonts w:ascii="Times New Roman" w:hAnsi="Times New Roman"/>
          <w:bCs/>
          <w:color w:val="000000"/>
          <w:sz w:val="20"/>
          <w:szCs w:val="20"/>
          <w:lang w:val="en-US"/>
        </w:rPr>
        <w:t>.</w:t>
      </w:r>
    </w:p>
    <w:p w:rsidR="0074194F" w:rsidRPr="000310F7" w:rsidRDefault="0074194F" w:rsidP="00780C14">
      <w:pPr>
        <w:pStyle w:val="Notedebasdepage"/>
        <w:jc w:val="lowKashida"/>
        <w:rPr>
          <w:lang w:val="en-US"/>
        </w:rPr>
      </w:pPr>
    </w:p>
  </w:footnote>
  <w:footnote w:id="17">
    <w:p w:rsidR="0074194F" w:rsidRDefault="0074194F" w:rsidP="00916A34">
      <w:pPr>
        <w:pStyle w:val="Notedebasdepage"/>
        <w:tabs>
          <w:tab w:val="right" w:pos="9072"/>
        </w:tabs>
      </w:pPr>
      <w:r w:rsidRPr="00546D54">
        <w:rPr>
          <w:rStyle w:val="Appelnotedebasdep"/>
        </w:rPr>
        <w:footnoteRef/>
      </w:r>
      <w:r w:rsidRPr="00546D54">
        <w:t xml:space="preserve"> E</w:t>
      </w:r>
      <w:r w:rsidR="00916A34" w:rsidRPr="00546D54">
        <w:t>ric</w:t>
      </w:r>
      <w:r w:rsidRPr="00546D54">
        <w:t xml:space="preserve"> VERNIER, </w:t>
      </w:r>
      <w:r w:rsidR="00916A34" w:rsidRPr="00916A34">
        <w:rPr>
          <w:rFonts w:eastAsia="SwissReSansOT-Regular"/>
          <w:b/>
          <w:bCs/>
          <w:u w:val="single"/>
          <w:lang w:eastAsia="en-US"/>
        </w:rPr>
        <w:t>Op Cit</w:t>
      </w:r>
      <w:r w:rsidR="00916A34" w:rsidRPr="00916A34">
        <w:rPr>
          <w:b/>
          <w:bCs/>
          <w:u w:val="single"/>
        </w:rPr>
        <w:t>,</w:t>
      </w:r>
      <w:r w:rsidR="00916A34" w:rsidRPr="00916A34">
        <w:t xml:space="preserve"> 200</w:t>
      </w:r>
      <w:r w:rsidR="00916A34">
        <w:t>5</w:t>
      </w:r>
      <w:r w:rsidR="00916A34" w:rsidRPr="00916A34">
        <w:rPr>
          <w:lang w:bidi="ar-DZ"/>
        </w:rPr>
        <w:t xml:space="preserve">, </w:t>
      </w:r>
      <w:r w:rsidR="00916A34">
        <w:t>P</w:t>
      </w:r>
      <w:r w:rsidRPr="00546D54">
        <w:t xml:space="preserve"> 201.</w:t>
      </w:r>
      <w:r>
        <w:tab/>
      </w:r>
    </w:p>
  </w:footnote>
  <w:footnote w:id="18">
    <w:p w:rsidR="00EF736D" w:rsidRDefault="00EF736D" w:rsidP="00916A34">
      <w:pPr>
        <w:pStyle w:val="Notedebasdepage"/>
      </w:pPr>
      <w:r>
        <w:rPr>
          <w:rStyle w:val="Appelnotedebasdep"/>
        </w:rPr>
        <w:footnoteRef/>
      </w:r>
      <w:r>
        <w:t xml:space="preserve"> </w:t>
      </w:r>
      <w:r w:rsidR="00916A34" w:rsidRPr="00546D54">
        <w:t>Eric VERNIER, </w:t>
      </w:r>
      <w:r w:rsidR="00916A34" w:rsidRPr="00916A34">
        <w:rPr>
          <w:rFonts w:eastAsia="SwissReSansOT-Regular"/>
          <w:b/>
          <w:bCs/>
          <w:u w:val="single"/>
          <w:lang w:eastAsia="en-US"/>
        </w:rPr>
        <w:t>Op Cit</w:t>
      </w:r>
      <w:r w:rsidR="00916A34" w:rsidRPr="00916A34">
        <w:rPr>
          <w:b/>
          <w:bCs/>
          <w:u w:val="single"/>
        </w:rPr>
        <w:t>,</w:t>
      </w:r>
      <w:r w:rsidR="00916A34" w:rsidRPr="00916A34">
        <w:t xml:space="preserve"> 200</w:t>
      </w:r>
      <w:r w:rsidR="00916A34">
        <w:t>5</w:t>
      </w:r>
      <w:r w:rsidR="00916A34" w:rsidRPr="00916A34">
        <w:rPr>
          <w:lang w:bidi="ar-DZ"/>
        </w:rPr>
        <w:t xml:space="preserve">, </w:t>
      </w:r>
      <w:r w:rsidR="00916A34">
        <w:t>P</w:t>
      </w:r>
      <w:r w:rsidR="00916A34" w:rsidRPr="00546D54">
        <w:t xml:space="preserve"> </w:t>
      </w:r>
      <w:r w:rsidR="00916A34">
        <w:t>196</w:t>
      </w:r>
      <w:r w:rsidR="00916A34" w:rsidRPr="00546D54">
        <w:t>.</w:t>
      </w:r>
    </w:p>
  </w:footnote>
  <w:footnote w:id="19">
    <w:p w:rsidR="0074194F" w:rsidRDefault="0074194F" w:rsidP="008A3403">
      <w:pPr>
        <w:autoSpaceDE w:val="0"/>
        <w:autoSpaceDN w:val="0"/>
        <w:adjustRightInd w:val="0"/>
        <w:spacing w:after="0" w:line="360" w:lineRule="auto"/>
        <w:ind w:left="142" w:hanging="142"/>
        <w:jc w:val="both"/>
      </w:pPr>
      <w:r>
        <w:rPr>
          <w:rStyle w:val="Appelnotedebasdep"/>
        </w:rPr>
        <w:footnoteRef/>
      </w:r>
      <w:r w:rsidRPr="00AF2A99">
        <w:rPr>
          <w:rFonts w:ascii="Times New Roman" w:hAnsi="Times New Roman"/>
          <w:sz w:val="20"/>
          <w:szCs w:val="20"/>
        </w:rPr>
        <w:t xml:space="preserve">Les </w:t>
      </w:r>
      <w:r w:rsidR="008A3403">
        <w:rPr>
          <w:rFonts w:ascii="Times New Roman" w:hAnsi="Times New Roman"/>
          <w:sz w:val="20"/>
          <w:szCs w:val="20"/>
        </w:rPr>
        <w:t>r</w:t>
      </w:r>
      <w:r w:rsidRPr="00AF2A99">
        <w:rPr>
          <w:rFonts w:ascii="Times New Roman" w:hAnsi="Times New Roman"/>
          <w:sz w:val="20"/>
          <w:szCs w:val="20"/>
        </w:rPr>
        <w:t>ecommandations de 1996 et de 2003 utilisaient le terme «fonds» plutôt qu’«opérations», mais le GAFI semble assimiler ce terme à celui d’«opérations» (</w:t>
      </w:r>
      <w:r w:rsidRPr="00AF2A99">
        <w:rPr>
          <w:rFonts w:ascii="Times New Roman" w:hAnsi="Times New Roman"/>
          <w:i/>
          <w:iCs/>
          <w:sz w:val="20"/>
          <w:szCs w:val="20"/>
        </w:rPr>
        <w:t>Document consultatif</w:t>
      </w:r>
      <w:r w:rsidRPr="00AF2A99">
        <w:rPr>
          <w:rFonts w:ascii="Times New Roman" w:hAnsi="Times New Roman"/>
          <w:sz w:val="20"/>
          <w:szCs w:val="20"/>
        </w:rPr>
        <w:t>, paragraphe 142).</w:t>
      </w:r>
    </w:p>
  </w:footnote>
  <w:footnote w:id="20">
    <w:p w:rsidR="00BE78C4" w:rsidRPr="000F2639" w:rsidRDefault="00BE78C4" w:rsidP="00BE78C4">
      <w:pPr>
        <w:autoSpaceDE w:val="0"/>
        <w:autoSpaceDN w:val="0"/>
        <w:adjustRightInd w:val="0"/>
        <w:spacing w:after="0" w:line="240" w:lineRule="auto"/>
        <w:rPr>
          <w:rFonts w:ascii="Times New Roman" w:hAnsi="Times New Roman"/>
          <w:sz w:val="20"/>
          <w:szCs w:val="20"/>
          <w:lang w:val="en-US"/>
        </w:rPr>
      </w:pPr>
      <w:r>
        <w:rPr>
          <w:rStyle w:val="Appelnotedebasdep"/>
        </w:rPr>
        <w:footnoteRef/>
      </w:r>
      <w:r w:rsidRPr="009F42FB">
        <w:rPr>
          <w:rFonts w:ascii="Times New Roman" w:hAnsi="Times New Roman"/>
          <w:sz w:val="20"/>
          <w:szCs w:val="20"/>
          <w:lang w:val="en-US"/>
        </w:rPr>
        <w:t xml:space="preserve"> N. Brown ALASTAIR</w:t>
      </w:r>
      <w:r>
        <w:rPr>
          <w:rFonts w:ascii="Times New Roman" w:hAnsi="Times New Roman"/>
          <w:sz w:val="20"/>
          <w:szCs w:val="20"/>
          <w:lang w:val="en-US"/>
        </w:rPr>
        <w:t xml:space="preserve">, </w:t>
      </w:r>
      <w:r w:rsidRPr="008A3403">
        <w:rPr>
          <w:rFonts w:ascii="Times New Roman" w:hAnsi="Times New Roman"/>
          <w:b/>
          <w:bCs/>
          <w:i/>
          <w:iCs/>
          <w:sz w:val="20"/>
          <w:szCs w:val="20"/>
          <w:u w:val="single"/>
          <w:lang w:val="en-US"/>
        </w:rPr>
        <w:t>Money Laundering: A European and U.K. Perspective</w:t>
      </w:r>
      <w:r>
        <w:rPr>
          <w:rFonts w:ascii="Times New Roman" w:hAnsi="Times New Roman"/>
          <w:sz w:val="20"/>
          <w:szCs w:val="20"/>
          <w:lang w:val="en-US"/>
        </w:rPr>
        <w:t>, 1997,</w:t>
      </w:r>
      <w:r w:rsidRPr="009F42FB">
        <w:rPr>
          <w:rFonts w:ascii="Times New Roman" w:hAnsi="Times New Roman"/>
          <w:sz w:val="20"/>
          <w:szCs w:val="20"/>
          <w:lang w:val="en-US"/>
        </w:rPr>
        <w:t xml:space="preserve"> </w:t>
      </w:r>
      <w:r w:rsidRPr="009F42FB">
        <w:rPr>
          <w:rFonts w:ascii="Times New Roman" w:hAnsi="Times New Roman"/>
          <w:i/>
          <w:iCs/>
          <w:sz w:val="20"/>
          <w:szCs w:val="20"/>
          <w:lang w:val="en-US"/>
        </w:rPr>
        <w:t>J.I.B.L.</w:t>
      </w:r>
      <w:r>
        <w:rPr>
          <w:rFonts w:ascii="Times New Roman" w:hAnsi="Times New Roman"/>
          <w:i/>
          <w:iCs/>
          <w:sz w:val="20"/>
          <w:szCs w:val="20"/>
          <w:lang w:val="en-US"/>
        </w:rPr>
        <w:t>,</w:t>
      </w:r>
      <w:r>
        <w:rPr>
          <w:rFonts w:ascii="Times New Roman" w:hAnsi="Times New Roman"/>
          <w:sz w:val="20"/>
          <w:szCs w:val="20"/>
          <w:lang w:val="en-US"/>
        </w:rPr>
        <w:t>P</w:t>
      </w:r>
      <w:r w:rsidRPr="009F42FB">
        <w:rPr>
          <w:rFonts w:ascii="Times New Roman" w:hAnsi="Times New Roman"/>
          <w:sz w:val="20"/>
          <w:szCs w:val="20"/>
          <w:lang w:val="en-US"/>
        </w:rPr>
        <w:t xml:space="preserve"> 307,</w:t>
      </w:r>
      <w:r>
        <w:rPr>
          <w:rFonts w:ascii="Times New Roman" w:hAnsi="Times New Roman"/>
          <w:sz w:val="20"/>
          <w:szCs w:val="20"/>
          <w:lang w:val="en-US"/>
        </w:rPr>
        <w:t>P</w:t>
      </w:r>
      <w:r w:rsidRPr="009F42FB">
        <w:rPr>
          <w:rFonts w:ascii="Times New Roman" w:hAnsi="Times New Roman"/>
          <w:sz w:val="20"/>
          <w:szCs w:val="20"/>
          <w:lang w:val="en-US"/>
        </w:rPr>
        <w:t xml:space="preserve"> 309. </w:t>
      </w:r>
    </w:p>
    <w:p w:rsidR="00BE78C4" w:rsidRPr="000F2639" w:rsidRDefault="00BE78C4" w:rsidP="00BE78C4">
      <w:pPr>
        <w:pStyle w:val="Notedebasdepage"/>
        <w:rPr>
          <w:lang w:val="en-US"/>
        </w:rPr>
      </w:pPr>
    </w:p>
  </w:footnote>
  <w:footnote w:id="21">
    <w:p w:rsidR="00BE78C4" w:rsidRPr="009F42FB" w:rsidRDefault="00BE78C4" w:rsidP="00BE78C4">
      <w:pPr>
        <w:autoSpaceDE w:val="0"/>
        <w:autoSpaceDN w:val="0"/>
        <w:adjustRightInd w:val="0"/>
        <w:spacing w:after="0" w:line="240" w:lineRule="auto"/>
        <w:ind w:left="142" w:hanging="142"/>
        <w:rPr>
          <w:rFonts w:ascii="Times New Roman" w:hAnsi="Times New Roman"/>
          <w:sz w:val="20"/>
          <w:szCs w:val="20"/>
        </w:rPr>
      </w:pPr>
      <w:r>
        <w:rPr>
          <w:rStyle w:val="Appelnotedebasdep"/>
        </w:rPr>
        <w:footnoteRef/>
      </w:r>
      <w:r>
        <w:t xml:space="preserve"> </w:t>
      </w:r>
      <w:r>
        <w:rPr>
          <w:rFonts w:ascii="TimesNewRoman" w:hAnsi="TimesNewRoman" w:cs="TimesNewRoman"/>
          <w:sz w:val="16"/>
          <w:szCs w:val="16"/>
        </w:rPr>
        <w:t>«</w:t>
      </w:r>
      <w:r w:rsidRPr="009F42FB">
        <w:rPr>
          <w:rFonts w:ascii="Times New Roman" w:hAnsi="Times New Roman"/>
          <w:sz w:val="20"/>
          <w:szCs w:val="20"/>
        </w:rPr>
        <w:t>Simple conjecture, avis, hypothèse ou intuition concernant quelque chose sans connotation</w:t>
      </w:r>
      <w:r>
        <w:rPr>
          <w:rFonts w:ascii="Times New Roman" w:hAnsi="Times New Roman"/>
          <w:sz w:val="20"/>
          <w:szCs w:val="20"/>
        </w:rPr>
        <w:t xml:space="preserve"> </w:t>
      </w:r>
      <w:r w:rsidRPr="009F42FB">
        <w:rPr>
          <w:rFonts w:ascii="Times New Roman" w:hAnsi="Times New Roman"/>
          <w:sz w:val="20"/>
          <w:szCs w:val="20"/>
        </w:rPr>
        <w:t>défavorable», Trésor de la langue française,</w:t>
      </w:r>
      <w:r>
        <w:rPr>
          <w:rFonts w:ascii="Times New Roman" w:hAnsi="Times New Roman"/>
          <w:sz w:val="20"/>
          <w:szCs w:val="20"/>
        </w:rPr>
        <w:t>www.</w:t>
      </w:r>
      <w:r w:rsidRPr="009F42FB">
        <w:rPr>
          <w:rFonts w:ascii="Times New Roman" w:hAnsi="Times New Roman"/>
          <w:i/>
          <w:iCs/>
          <w:sz w:val="20"/>
          <w:szCs w:val="20"/>
        </w:rPr>
        <w:t>//zeus.inalf.fr</w:t>
      </w:r>
      <w:r>
        <w:rPr>
          <w:rFonts w:ascii="Times New Roman" w:hAnsi="Times New Roman"/>
          <w:sz w:val="20"/>
          <w:szCs w:val="20"/>
        </w:rPr>
        <w:t xml:space="preserve">, date de consultation : 20 mai 2011. </w:t>
      </w:r>
    </w:p>
    <w:p w:rsidR="00BE78C4" w:rsidRPr="009F42FB" w:rsidRDefault="00BE78C4" w:rsidP="00BE78C4">
      <w:pPr>
        <w:pStyle w:val="Notedebasdepage"/>
      </w:pPr>
    </w:p>
  </w:footnote>
  <w:footnote w:id="22">
    <w:p w:rsidR="0074194F" w:rsidRPr="008A1528" w:rsidRDefault="0074194F" w:rsidP="008A3403">
      <w:pPr>
        <w:pStyle w:val="Notedebasdepage"/>
        <w:ind w:left="142" w:hanging="142"/>
        <w:rPr>
          <w:rStyle w:val="Appelnotedebasdep"/>
        </w:rPr>
      </w:pPr>
      <w:r>
        <w:rPr>
          <w:rStyle w:val="Appelnotedebasdep"/>
        </w:rPr>
        <w:footnoteRef/>
      </w:r>
      <w:r>
        <w:rPr>
          <w:bCs/>
          <w:color w:val="000000"/>
        </w:rPr>
        <w:t xml:space="preserve">Article 10 du  </w:t>
      </w:r>
      <w:r w:rsidR="008A3403" w:rsidRPr="008A3403">
        <w:rPr>
          <w:b/>
          <w:color w:val="000000"/>
          <w:u w:val="single"/>
        </w:rPr>
        <w:t>r</w:t>
      </w:r>
      <w:r w:rsidRPr="008A3403">
        <w:rPr>
          <w:b/>
          <w:color w:val="000000"/>
          <w:u w:val="single"/>
        </w:rPr>
        <w:t>èglement n°</w:t>
      </w:r>
      <w:r w:rsidR="008A3403" w:rsidRPr="008A3403">
        <w:rPr>
          <w:b/>
          <w:color w:val="000000"/>
          <w:u w:val="single"/>
        </w:rPr>
        <w:t xml:space="preserve"> 05-05</w:t>
      </w:r>
      <w:r w:rsidR="008A3403">
        <w:rPr>
          <w:bCs/>
          <w:color w:val="000000"/>
        </w:rPr>
        <w:t xml:space="preserve"> de la banque d’Algérie.</w:t>
      </w:r>
    </w:p>
    <w:p w:rsidR="0074194F" w:rsidRDefault="0074194F" w:rsidP="00780C14">
      <w:pPr>
        <w:pStyle w:val="Notedebasdepage"/>
      </w:pPr>
      <w:r>
        <w:t xml:space="preserve"> </w:t>
      </w:r>
    </w:p>
  </w:footnote>
  <w:footnote w:id="23">
    <w:p w:rsidR="0074194F" w:rsidRDefault="0074194F" w:rsidP="006B76B1">
      <w:pPr>
        <w:pStyle w:val="Notedebasdepage"/>
        <w:ind w:left="142" w:hanging="142"/>
        <w:jc w:val="lowKashida"/>
      </w:pPr>
      <w:r>
        <w:rPr>
          <w:rStyle w:val="Appelnotedebasdep"/>
        </w:rPr>
        <w:footnoteRef/>
      </w:r>
      <w:r w:rsidR="006B76B1">
        <w:t xml:space="preserve"> Guide de référence sur</w:t>
      </w:r>
      <w:r>
        <w:t xml:space="preserve"> la </w:t>
      </w:r>
      <w:r w:rsidRPr="006B76B1">
        <w:rPr>
          <w:b/>
          <w:bCs/>
          <w:u w:val="single"/>
        </w:rPr>
        <w:t>lutte contre le blanchiment de capitaux et contr</w:t>
      </w:r>
      <w:r w:rsidR="00B734A0" w:rsidRPr="006B76B1">
        <w:rPr>
          <w:b/>
          <w:bCs/>
          <w:u w:val="single"/>
        </w:rPr>
        <w:t>e le financement du terrorisme</w:t>
      </w:r>
      <w:r w:rsidR="00B734A0">
        <w:t>,</w:t>
      </w:r>
      <w:r w:rsidR="006B76B1">
        <w:t xml:space="preserve"> Banque Mondiale et </w:t>
      </w:r>
      <w:r w:rsidR="00B734A0">
        <w:t>Fond Monétaire International, 2003, P</w:t>
      </w:r>
      <w:r>
        <w:t xml:space="preserve"> 12 du chapitre VI relatif aux Obligations </w:t>
      </w:r>
      <w:r w:rsidR="00506C96">
        <w:t>des institutions financière.</w:t>
      </w:r>
    </w:p>
  </w:footnote>
  <w:footnote w:id="24">
    <w:p w:rsidR="00DD5C8F" w:rsidRPr="008A1528" w:rsidRDefault="00DD5C8F" w:rsidP="005E5CCE">
      <w:pPr>
        <w:pStyle w:val="Notedebasdepage"/>
        <w:rPr>
          <w:rStyle w:val="Appelnotedebasdep"/>
        </w:rPr>
      </w:pPr>
      <w:r>
        <w:rPr>
          <w:rStyle w:val="Appelnotedebasdep"/>
        </w:rPr>
        <w:footnoteRef/>
      </w:r>
      <w:r>
        <w:t xml:space="preserve"> </w:t>
      </w:r>
      <w:r>
        <w:rPr>
          <w:bCs/>
          <w:color w:val="000000"/>
        </w:rPr>
        <w:t xml:space="preserve">Article 13 du  </w:t>
      </w:r>
      <w:r w:rsidR="005E5CCE" w:rsidRPr="005E5CCE">
        <w:rPr>
          <w:b/>
          <w:color w:val="000000"/>
          <w:u w:val="single"/>
        </w:rPr>
        <w:t>r</w:t>
      </w:r>
      <w:r w:rsidRPr="005E5CCE">
        <w:rPr>
          <w:b/>
          <w:color w:val="000000"/>
          <w:u w:val="single"/>
        </w:rPr>
        <w:t>èglement n° 05-05</w:t>
      </w:r>
      <w:r w:rsidRPr="00B57EE8">
        <w:rPr>
          <w:bCs/>
          <w:color w:val="000000"/>
        </w:rPr>
        <w:t xml:space="preserve"> </w:t>
      </w:r>
      <w:r w:rsidR="005E5CCE">
        <w:rPr>
          <w:bCs/>
          <w:color w:val="000000"/>
        </w:rPr>
        <w:t>de la banque d’Algérie ;</w:t>
      </w:r>
    </w:p>
    <w:p w:rsidR="00DD5C8F" w:rsidRDefault="00DD5C8F">
      <w:pPr>
        <w:pStyle w:val="Notedebasdepag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80" w:rsidRPr="00DB1C80" w:rsidRDefault="00A62A79" w:rsidP="00DB1C80">
    <w:pPr>
      <w:spacing w:after="0" w:line="240" w:lineRule="auto"/>
      <w:rPr>
        <w:rFonts w:asciiTheme="majorBidi" w:hAnsiTheme="majorBidi" w:cstheme="majorBidi"/>
        <w:b/>
        <w:bCs/>
        <w:i/>
        <w:iCs/>
      </w:rPr>
    </w:pPr>
    <w:r w:rsidRPr="00A62A79">
      <w:rPr>
        <w:noProof/>
        <w:lang w:eastAsia="zh-TW"/>
      </w:rPr>
      <w:pict>
        <v:shapetype id="_x0000_t202" coordsize="21600,21600" o:spt="202" path="m,l,21600r21600,l21600,xe">
          <v:stroke joinstyle="miter"/>
          <v:path gradientshapeok="t" o:connecttype="rect"/>
        </v:shapetype>
        <v:shape id="_x0000_s9217" type="#_x0000_t202" style="position:absolute;margin-left:524.45pt;margin-top:34.7pt;width:70.85pt;height:13.45pt;z-index:251660288;mso-width-percent:1000;mso-position-horizontal-relative:page;mso-position-vertical-relative:page;mso-width-percent:1000;mso-width-relative:right-margin-area;v-text-anchor:middle" o:allowincell="f" fillcolor="#4f81bd" stroked="f">
          <v:textbox style="mso-next-textbox:#_x0000_s9217;mso-fit-shape-to-text:t" inset=",0,,0">
            <w:txbxContent>
              <w:p w:rsidR="00D73D9F" w:rsidRPr="001B3EB7" w:rsidRDefault="00A62A79">
                <w:pPr>
                  <w:spacing w:after="0" w:line="240" w:lineRule="auto"/>
                  <w:rPr>
                    <w:color w:val="FFFFFF"/>
                  </w:rPr>
                </w:pPr>
                <w:fldSimple w:instr=" PAGE   \* MERGEFORMAT ">
                  <w:r w:rsidR="00251876" w:rsidRPr="00251876">
                    <w:rPr>
                      <w:noProof/>
                      <w:color w:val="FFFFFF"/>
                    </w:rPr>
                    <w:t>61</w:t>
                  </w:r>
                </w:fldSimple>
              </w:p>
            </w:txbxContent>
          </v:textbox>
          <w10:wrap anchorx="page" anchory="margin"/>
        </v:shape>
      </w:pict>
    </w:r>
    <w:r w:rsidR="00DB1C80">
      <w:rPr>
        <w:rFonts w:asciiTheme="majorBidi" w:hAnsiTheme="majorBidi" w:cstheme="majorBidi"/>
        <w:b/>
        <w:bCs/>
        <w:i/>
        <w:iCs/>
      </w:rPr>
      <w:t xml:space="preserve">Chapitre </w:t>
    </w:r>
    <w:r w:rsidR="00DB1C80" w:rsidRPr="00DB1C80">
      <w:rPr>
        <w:rFonts w:asciiTheme="majorBidi" w:hAnsiTheme="majorBidi" w:cstheme="majorBidi"/>
        <w:b/>
        <w:bCs/>
        <w:i/>
        <w:iCs/>
      </w:rPr>
      <w:t xml:space="preserve">III : Transposition des recommandations du GAFI dans la réglementation algérienne </w:t>
    </w:r>
  </w:p>
  <w:p w:rsidR="00D73D9F" w:rsidRDefault="00A62A79">
    <w:pPr>
      <w:pStyle w:val="En-tte"/>
    </w:pPr>
    <w:r>
      <w:rPr>
        <w:noProof/>
      </w:rPr>
      <w:pict>
        <v:line id="_x0000_s9219" style="position:absolute;z-index:251662336" from="-5.4pt,3.15pt" to="453.6pt,3.25pt" strokeweight="3pt">
          <v:stroke linestyle="thinThin"/>
          <w10:wrap anchorx="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FDE4B0"/>
    <w:multiLevelType w:val="hybridMultilevel"/>
    <w:tmpl w:val="4BDA18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536FB6"/>
    <w:multiLevelType w:val="hybridMultilevel"/>
    <w:tmpl w:val="CC64A4A8"/>
    <w:lvl w:ilvl="0" w:tplc="9B048C2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2D17E9"/>
    <w:multiLevelType w:val="hybridMultilevel"/>
    <w:tmpl w:val="8394472A"/>
    <w:lvl w:ilvl="0" w:tplc="9B048C2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451F54"/>
    <w:multiLevelType w:val="hybridMultilevel"/>
    <w:tmpl w:val="16504EB6"/>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63A67FD"/>
    <w:multiLevelType w:val="hybridMultilevel"/>
    <w:tmpl w:val="56BE41E0"/>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16F4A61"/>
    <w:multiLevelType w:val="hybridMultilevel"/>
    <w:tmpl w:val="45CCFEA0"/>
    <w:lvl w:ilvl="0" w:tplc="040C001B">
      <w:start w:val="1"/>
      <w:numFmt w:val="lowerRoman"/>
      <w:lvlText w:val="%1."/>
      <w:lvlJc w:val="right"/>
      <w:pPr>
        <w:ind w:left="720" w:hanging="360"/>
      </w:pPr>
    </w:lvl>
    <w:lvl w:ilvl="1" w:tplc="040C001B">
      <w:start w:val="1"/>
      <w:numFmt w:val="lowerRoman"/>
      <w:lvlText w:val="%2."/>
      <w:lvlJc w:val="righ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63915EA"/>
    <w:multiLevelType w:val="hybridMultilevel"/>
    <w:tmpl w:val="B2D084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701025C"/>
    <w:multiLevelType w:val="multilevel"/>
    <w:tmpl w:val="AD2ACE9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4B36D1F"/>
    <w:multiLevelType w:val="hybridMultilevel"/>
    <w:tmpl w:val="75FE13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8D90B7A"/>
    <w:multiLevelType w:val="hybridMultilevel"/>
    <w:tmpl w:val="E2B26DA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CDF6CEC"/>
    <w:multiLevelType w:val="hybridMultilevel"/>
    <w:tmpl w:val="34EEEDC6"/>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08C7FF3"/>
    <w:multiLevelType w:val="hybridMultilevel"/>
    <w:tmpl w:val="00CAC1C2"/>
    <w:lvl w:ilvl="0" w:tplc="9B048C2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16A4566"/>
    <w:multiLevelType w:val="hybridMultilevel"/>
    <w:tmpl w:val="95F0AA24"/>
    <w:lvl w:ilvl="0" w:tplc="040C001B">
      <w:start w:val="1"/>
      <w:numFmt w:val="lowerRoman"/>
      <w:lvlText w:val="%1."/>
      <w:lvlJc w:val="right"/>
      <w:pPr>
        <w:ind w:left="720" w:hanging="360"/>
      </w:pPr>
    </w:lvl>
    <w:lvl w:ilvl="1" w:tplc="040C001B">
      <w:start w:val="1"/>
      <w:numFmt w:val="lowerRoman"/>
      <w:lvlText w:val="%2."/>
      <w:lvlJc w:val="righ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A282E8D"/>
    <w:multiLevelType w:val="hybridMultilevel"/>
    <w:tmpl w:val="0338DA48"/>
    <w:lvl w:ilvl="0" w:tplc="134A6B98">
      <w:start w:val="1"/>
      <w:numFmt w:val="decimal"/>
      <w:lvlText w:val="%1."/>
      <w:lvlJc w:val="left"/>
      <w:pPr>
        <w:ind w:left="720" w:hanging="360"/>
      </w:pPr>
      <w:rPr>
        <w:rFonts w:hint="default"/>
      </w:rPr>
    </w:lvl>
    <w:lvl w:ilvl="1" w:tplc="8B6C10CC">
      <w:numFmt w:val="bullet"/>
      <w:lvlText w:val="•"/>
      <w:lvlJc w:val="left"/>
      <w:pPr>
        <w:ind w:left="1440" w:hanging="360"/>
      </w:pPr>
      <w:rPr>
        <w:rFonts w:ascii="Times New Roman" w:eastAsia="Times New Roman"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A461E47"/>
    <w:multiLevelType w:val="hybridMultilevel"/>
    <w:tmpl w:val="83EEA99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A7818E8"/>
    <w:multiLevelType w:val="multilevel"/>
    <w:tmpl w:val="6944D2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5A608E5"/>
    <w:multiLevelType w:val="hybridMultilevel"/>
    <w:tmpl w:val="DEB8D60E"/>
    <w:lvl w:ilvl="0" w:tplc="040C000D">
      <w:start w:val="1"/>
      <w:numFmt w:val="bullet"/>
      <w:lvlText w:val=""/>
      <w:lvlJc w:val="left"/>
      <w:pPr>
        <w:ind w:left="750" w:hanging="360"/>
      </w:pPr>
      <w:rPr>
        <w:rFonts w:ascii="Wingdings" w:hAnsi="Wingdings"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17">
    <w:nsid w:val="59A27104"/>
    <w:multiLevelType w:val="multilevel"/>
    <w:tmpl w:val="DEF016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BF75AFA"/>
    <w:multiLevelType w:val="hybridMultilevel"/>
    <w:tmpl w:val="D03C0340"/>
    <w:lvl w:ilvl="0" w:tplc="040C001B">
      <w:start w:val="1"/>
      <w:numFmt w:val="lowerRoman"/>
      <w:lvlText w:val="%1."/>
      <w:lvlJc w:val="right"/>
      <w:pPr>
        <w:tabs>
          <w:tab w:val="num" w:pos="720"/>
        </w:tabs>
        <w:ind w:left="720" w:right="720" w:hanging="360"/>
      </w:pPr>
      <w:rPr>
        <w:rFonts w:hint="default"/>
        <w:b w:val="0"/>
        <w:i w:val="0"/>
        <w:sz w:val="22"/>
      </w:rPr>
    </w:lvl>
    <w:lvl w:ilvl="1" w:tplc="040C0003" w:tentative="1">
      <w:start w:val="1"/>
      <w:numFmt w:val="bullet"/>
      <w:lvlText w:val="o"/>
      <w:lvlJc w:val="left"/>
      <w:pPr>
        <w:tabs>
          <w:tab w:val="num" w:pos="1440"/>
        </w:tabs>
        <w:ind w:left="1440" w:right="1440" w:hanging="360"/>
      </w:pPr>
      <w:rPr>
        <w:rFonts w:ascii="Courier New" w:hAnsi="Courier New" w:cs="Courier New" w:hint="default"/>
      </w:rPr>
    </w:lvl>
    <w:lvl w:ilvl="2" w:tplc="040C0005" w:tentative="1">
      <w:start w:val="1"/>
      <w:numFmt w:val="bullet"/>
      <w:lvlText w:val=""/>
      <w:lvlJc w:val="left"/>
      <w:pPr>
        <w:tabs>
          <w:tab w:val="num" w:pos="2160"/>
        </w:tabs>
        <w:ind w:left="2160" w:right="2160" w:hanging="360"/>
      </w:pPr>
      <w:rPr>
        <w:rFonts w:ascii="Wingdings" w:hAnsi="Wingdings" w:hint="default"/>
      </w:rPr>
    </w:lvl>
    <w:lvl w:ilvl="3" w:tplc="040C0001" w:tentative="1">
      <w:start w:val="1"/>
      <w:numFmt w:val="bullet"/>
      <w:lvlText w:val=""/>
      <w:lvlJc w:val="left"/>
      <w:pPr>
        <w:tabs>
          <w:tab w:val="num" w:pos="2880"/>
        </w:tabs>
        <w:ind w:left="2880" w:right="2880" w:hanging="360"/>
      </w:pPr>
      <w:rPr>
        <w:rFonts w:ascii="Symbol" w:hAnsi="Symbol" w:hint="default"/>
      </w:rPr>
    </w:lvl>
    <w:lvl w:ilvl="4" w:tplc="040C0003" w:tentative="1">
      <w:start w:val="1"/>
      <w:numFmt w:val="bullet"/>
      <w:lvlText w:val="o"/>
      <w:lvlJc w:val="left"/>
      <w:pPr>
        <w:tabs>
          <w:tab w:val="num" w:pos="3600"/>
        </w:tabs>
        <w:ind w:left="3600" w:right="3600" w:hanging="360"/>
      </w:pPr>
      <w:rPr>
        <w:rFonts w:ascii="Courier New" w:hAnsi="Courier New" w:cs="Courier New" w:hint="default"/>
      </w:rPr>
    </w:lvl>
    <w:lvl w:ilvl="5" w:tplc="040C0005" w:tentative="1">
      <w:start w:val="1"/>
      <w:numFmt w:val="bullet"/>
      <w:lvlText w:val=""/>
      <w:lvlJc w:val="left"/>
      <w:pPr>
        <w:tabs>
          <w:tab w:val="num" w:pos="4320"/>
        </w:tabs>
        <w:ind w:left="4320" w:right="4320" w:hanging="360"/>
      </w:pPr>
      <w:rPr>
        <w:rFonts w:ascii="Wingdings" w:hAnsi="Wingdings" w:hint="default"/>
      </w:rPr>
    </w:lvl>
    <w:lvl w:ilvl="6" w:tplc="040C0001" w:tentative="1">
      <w:start w:val="1"/>
      <w:numFmt w:val="bullet"/>
      <w:lvlText w:val=""/>
      <w:lvlJc w:val="left"/>
      <w:pPr>
        <w:tabs>
          <w:tab w:val="num" w:pos="5040"/>
        </w:tabs>
        <w:ind w:left="5040" w:right="5040" w:hanging="360"/>
      </w:pPr>
      <w:rPr>
        <w:rFonts w:ascii="Symbol" w:hAnsi="Symbol" w:hint="default"/>
      </w:rPr>
    </w:lvl>
    <w:lvl w:ilvl="7" w:tplc="040C0003" w:tentative="1">
      <w:start w:val="1"/>
      <w:numFmt w:val="bullet"/>
      <w:lvlText w:val="o"/>
      <w:lvlJc w:val="left"/>
      <w:pPr>
        <w:tabs>
          <w:tab w:val="num" w:pos="5760"/>
        </w:tabs>
        <w:ind w:left="5760" w:right="5760" w:hanging="360"/>
      </w:pPr>
      <w:rPr>
        <w:rFonts w:ascii="Courier New" w:hAnsi="Courier New" w:cs="Courier New" w:hint="default"/>
      </w:rPr>
    </w:lvl>
    <w:lvl w:ilvl="8" w:tplc="040C0005" w:tentative="1">
      <w:start w:val="1"/>
      <w:numFmt w:val="bullet"/>
      <w:lvlText w:val=""/>
      <w:lvlJc w:val="left"/>
      <w:pPr>
        <w:tabs>
          <w:tab w:val="num" w:pos="6480"/>
        </w:tabs>
        <w:ind w:left="6480" w:right="6480" w:hanging="360"/>
      </w:pPr>
      <w:rPr>
        <w:rFonts w:ascii="Wingdings" w:hAnsi="Wingdings" w:hint="default"/>
      </w:rPr>
    </w:lvl>
  </w:abstractNum>
  <w:abstractNum w:abstractNumId="19">
    <w:nsid w:val="5CEE5330"/>
    <w:multiLevelType w:val="hybridMultilevel"/>
    <w:tmpl w:val="448048B0"/>
    <w:lvl w:ilvl="0" w:tplc="9B048C2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455511C"/>
    <w:multiLevelType w:val="hybridMultilevel"/>
    <w:tmpl w:val="E3F260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F125887"/>
    <w:multiLevelType w:val="hybridMultilevel"/>
    <w:tmpl w:val="08A01BC4"/>
    <w:lvl w:ilvl="0" w:tplc="9B048C2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6CD5D43"/>
    <w:multiLevelType w:val="multilevel"/>
    <w:tmpl w:val="F3A4762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16"/>
  </w:num>
  <w:num w:numId="3">
    <w:abstractNumId w:val="14"/>
  </w:num>
  <w:num w:numId="4">
    <w:abstractNumId w:val="8"/>
  </w:num>
  <w:num w:numId="5">
    <w:abstractNumId w:val="22"/>
  </w:num>
  <w:num w:numId="6">
    <w:abstractNumId w:val="0"/>
  </w:num>
  <w:num w:numId="7">
    <w:abstractNumId w:val="11"/>
  </w:num>
  <w:num w:numId="8">
    <w:abstractNumId w:val="2"/>
  </w:num>
  <w:num w:numId="9">
    <w:abstractNumId w:val="1"/>
  </w:num>
  <w:num w:numId="10">
    <w:abstractNumId w:val="19"/>
  </w:num>
  <w:num w:numId="11">
    <w:abstractNumId w:val="10"/>
  </w:num>
  <w:num w:numId="12">
    <w:abstractNumId w:val="21"/>
  </w:num>
  <w:num w:numId="13">
    <w:abstractNumId w:val="17"/>
  </w:num>
  <w:num w:numId="14">
    <w:abstractNumId w:val="6"/>
  </w:num>
  <w:num w:numId="15">
    <w:abstractNumId w:val="4"/>
  </w:num>
  <w:num w:numId="16">
    <w:abstractNumId w:val="3"/>
  </w:num>
  <w:num w:numId="17">
    <w:abstractNumId w:val="13"/>
  </w:num>
  <w:num w:numId="18">
    <w:abstractNumId w:val="5"/>
  </w:num>
  <w:num w:numId="19">
    <w:abstractNumId w:val="15"/>
  </w:num>
  <w:num w:numId="20">
    <w:abstractNumId w:val="9"/>
  </w:num>
  <w:num w:numId="21">
    <w:abstractNumId w:val="7"/>
  </w:num>
  <w:num w:numId="22">
    <w:abstractNumId w:val="20"/>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84"/>
  <w:hyphenationZone w:val="425"/>
  <w:characterSpacingControl w:val="doNotCompress"/>
  <w:hdrShapeDefaults>
    <o:shapedefaults v:ext="edit" spidmax="57346"/>
    <o:shapelayout v:ext="edit">
      <o:idmap v:ext="edit" data="9"/>
    </o:shapelayout>
  </w:hdrShapeDefaults>
  <w:footnotePr>
    <w:footnote w:id="0"/>
    <w:footnote w:id="1"/>
  </w:footnotePr>
  <w:endnotePr>
    <w:endnote w:id="0"/>
    <w:endnote w:id="1"/>
  </w:endnotePr>
  <w:compat/>
  <w:rsids>
    <w:rsidRoot w:val="00780C14"/>
    <w:rsid w:val="000057D4"/>
    <w:rsid w:val="000156EE"/>
    <w:rsid w:val="00016232"/>
    <w:rsid w:val="0001712C"/>
    <w:rsid w:val="000203FF"/>
    <w:rsid w:val="00025DC9"/>
    <w:rsid w:val="0002719A"/>
    <w:rsid w:val="0003047B"/>
    <w:rsid w:val="00032481"/>
    <w:rsid w:val="000437A4"/>
    <w:rsid w:val="00043B53"/>
    <w:rsid w:val="00043DC8"/>
    <w:rsid w:val="000456AB"/>
    <w:rsid w:val="00045FC7"/>
    <w:rsid w:val="00046FCD"/>
    <w:rsid w:val="00047E64"/>
    <w:rsid w:val="00047E87"/>
    <w:rsid w:val="00052578"/>
    <w:rsid w:val="000547F5"/>
    <w:rsid w:val="0005717C"/>
    <w:rsid w:val="000621E3"/>
    <w:rsid w:val="0006359B"/>
    <w:rsid w:val="00064311"/>
    <w:rsid w:val="0007586E"/>
    <w:rsid w:val="000768AC"/>
    <w:rsid w:val="000814E3"/>
    <w:rsid w:val="00086520"/>
    <w:rsid w:val="000865E2"/>
    <w:rsid w:val="0009085B"/>
    <w:rsid w:val="00093C9E"/>
    <w:rsid w:val="000968D3"/>
    <w:rsid w:val="00096914"/>
    <w:rsid w:val="000A4AC2"/>
    <w:rsid w:val="000B0384"/>
    <w:rsid w:val="000B2FEE"/>
    <w:rsid w:val="000B67BA"/>
    <w:rsid w:val="000C4306"/>
    <w:rsid w:val="000C618A"/>
    <w:rsid w:val="000D2239"/>
    <w:rsid w:val="000D5A06"/>
    <w:rsid w:val="000E4832"/>
    <w:rsid w:val="000F0F5A"/>
    <w:rsid w:val="000F2639"/>
    <w:rsid w:val="000F4BE6"/>
    <w:rsid w:val="000F5C74"/>
    <w:rsid w:val="001028CD"/>
    <w:rsid w:val="001041B4"/>
    <w:rsid w:val="00106044"/>
    <w:rsid w:val="00106A96"/>
    <w:rsid w:val="0011060D"/>
    <w:rsid w:val="001156E2"/>
    <w:rsid w:val="001175DA"/>
    <w:rsid w:val="001215BE"/>
    <w:rsid w:val="00124896"/>
    <w:rsid w:val="00125C68"/>
    <w:rsid w:val="00127BD3"/>
    <w:rsid w:val="00132CD4"/>
    <w:rsid w:val="00133D8E"/>
    <w:rsid w:val="00137288"/>
    <w:rsid w:val="00145659"/>
    <w:rsid w:val="0014585B"/>
    <w:rsid w:val="00145875"/>
    <w:rsid w:val="00146D00"/>
    <w:rsid w:val="00151201"/>
    <w:rsid w:val="00151BDC"/>
    <w:rsid w:val="001574C7"/>
    <w:rsid w:val="00157F61"/>
    <w:rsid w:val="00160FEA"/>
    <w:rsid w:val="00167DCD"/>
    <w:rsid w:val="0017028D"/>
    <w:rsid w:val="00172C8C"/>
    <w:rsid w:val="00174CC3"/>
    <w:rsid w:val="00175911"/>
    <w:rsid w:val="00177978"/>
    <w:rsid w:val="00183BE8"/>
    <w:rsid w:val="001861BF"/>
    <w:rsid w:val="00190192"/>
    <w:rsid w:val="001912D4"/>
    <w:rsid w:val="00192282"/>
    <w:rsid w:val="00193058"/>
    <w:rsid w:val="00193FD7"/>
    <w:rsid w:val="00195739"/>
    <w:rsid w:val="001A09F2"/>
    <w:rsid w:val="001A2ECA"/>
    <w:rsid w:val="001A539F"/>
    <w:rsid w:val="001A7048"/>
    <w:rsid w:val="001B3EB7"/>
    <w:rsid w:val="001B54FB"/>
    <w:rsid w:val="001C3F98"/>
    <w:rsid w:val="001C4A84"/>
    <w:rsid w:val="001C5E3D"/>
    <w:rsid w:val="001D1BA9"/>
    <w:rsid w:val="001D4453"/>
    <w:rsid w:val="001E523C"/>
    <w:rsid w:val="001E6882"/>
    <w:rsid w:val="001E7AC8"/>
    <w:rsid w:val="001F0E6C"/>
    <w:rsid w:val="001F2C63"/>
    <w:rsid w:val="001F5264"/>
    <w:rsid w:val="001F64FB"/>
    <w:rsid w:val="00207052"/>
    <w:rsid w:val="0021553D"/>
    <w:rsid w:val="002219EB"/>
    <w:rsid w:val="002227D4"/>
    <w:rsid w:val="00227BE3"/>
    <w:rsid w:val="00230A0D"/>
    <w:rsid w:val="0023189A"/>
    <w:rsid w:val="00231D9C"/>
    <w:rsid w:val="002340E0"/>
    <w:rsid w:val="00237134"/>
    <w:rsid w:val="00237526"/>
    <w:rsid w:val="00240D47"/>
    <w:rsid w:val="002460C1"/>
    <w:rsid w:val="0025115C"/>
    <w:rsid w:val="00251876"/>
    <w:rsid w:val="00254283"/>
    <w:rsid w:val="0025565A"/>
    <w:rsid w:val="0026253C"/>
    <w:rsid w:val="00275938"/>
    <w:rsid w:val="00275972"/>
    <w:rsid w:val="00277792"/>
    <w:rsid w:val="00290226"/>
    <w:rsid w:val="002929E4"/>
    <w:rsid w:val="00294409"/>
    <w:rsid w:val="00294FF3"/>
    <w:rsid w:val="002A09F7"/>
    <w:rsid w:val="002B459C"/>
    <w:rsid w:val="002B585F"/>
    <w:rsid w:val="002C0B61"/>
    <w:rsid w:val="002C124F"/>
    <w:rsid w:val="002C2985"/>
    <w:rsid w:val="002C3406"/>
    <w:rsid w:val="002C5219"/>
    <w:rsid w:val="002C52E2"/>
    <w:rsid w:val="002C77D7"/>
    <w:rsid w:val="002E0060"/>
    <w:rsid w:val="002E1C8B"/>
    <w:rsid w:val="002E3738"/>
    <w:rsid w:val="002E41F2"/>
    <w:rsid w:val="002E4275"/>
    <w:rsid w:val="002F319C"/>
    <w:rsid w:val="002F33E2"/>
    <w:rsid w:val="002F4BF4"/>
    <w:rsid w:val="002F4E4B"/>
    <w:rsid w:val="00301320"/>
    <w:rsid w:val="00305FEF"/>
    <w:rsid w:val="00306E06"/>
    <w:rsid w:val="003111A7"/>
    <w:rsid w:val="00320F93"/>
    <w:rsid w:val="003268B8"/>
    <w:rsid w:val="00332807"/>
    <w:rsid w:val="00335DB2"/>
    <w:rsid w:val="0034122E"/>
    <w:rsid w:val="00341486"/>
    <w:rsid w:val="003430A7"/>
    <w:rsid w:val="00350101"/>
    <w:rsid w:val="003524D9"/>
    <w:rsid w:val="00353980"/>
    <w:rsid w:val="00362FF9"/>
    <w:rsid w:val="00366548"/>
    <w:rsid w:val="00366F44"/>
    <w:rsid w:val="003702CA"/>
    <w:rsid w:val="003748B9"/>
    <w:rsid w:val="00375FCA"/>
    <w:rsid w:val="00377DE2"/>
    <w:rsid w:val="00377E30"/>
    <w:rsid w:val="003807F0"/>
    <w:rsid w:val="00381941"/>
    <w:rsid w:val="0038745E"/>
    <w:rsid w:val="00390ACF"/>
    <w:rsid w:val="00395765"/>
    <w:rsid w:val="003A3708"/>
    <w:rsid w:val="003A412B"/>
    <w:rsid w:val="003A49E3"/>
    <w:rsid w:val="003A6C95"/>
    <w:rsid w:val="003A7AAA"/>
    <w:rsid w:val="003A7C3F"/>
    <w:rsid w:val="003B0AA4"/>
    <w:rsid w:val="003B0CBB"/>
    <w:rsid w:val="003B23AF"/>
    <w:rsid w:val="003B2D15"/>
    <w:rsid w:val="003C0548"/>
    <w:rsid w:val="003C1E2A"/>
    <w:rsid w:val="003C1EBA"/>
    <w:rsid w:val="003C1EDF"/>
    <w:rsid w:val="003C36DA"/>
    <w:rsid w:val="003C449C"/>
    <w:rsid w:val="003C6C2F"/>
    <w:rsid w:val="003C79BF"/>
    <w:rsid w:val="003D2EF6"/>
    <w:rsid w:val="003D7502"/>
    <w:rsid w:val="003E08F4"/>
    <w:rsid w:val="003E18E2"/>
    <w:rsid w:val="003E4D84"/>
    <w:rsid w:val="003E6AA1"/>
    <w:rsid w:val="003F0157"/>
    <w:rsid w:val="003F2970"/>
    <w:rsid w:val="003F5BC8"/>
    <w:rsid w:val="00400AA4"/>
    <w:rsid w:val="00403F27"/>
    <w:rsid w:val="00403FED"/>
    <w:rsid w:val="00405217"/>
    <w:rsid w:val="00411612"/>
    <w:rsid w:val="004120DC"/>
    <w:rsid w:val="00413CB1"/>
    <w:rsid w:val="004163AA"/>
    <w:rsid w:val="0042171B"/>
    <w:rsid w:val="00421C17"/>
    <w:rsid w:val="004401F5"/>
    <w:rsid w:val="00445C34"/>
    <w:rsid w:val="00451786"/>
    <w:rsid w:val="00456F7C"/>
    <w:rsid w:val="00457C59"/>
    <w:rsid w:val="00462A5E"/>
    <w:rsid w:val="004657CE"/>
    <w:rsid w:val="00470E93"/>
    <w:rsid w:val="004756A2"/>
    <w:rsid w:val="0047676A"/>
    <w:rsid w:val="004815C0"/>
    <w:rsid w:val="004910DD"/>
    <w:rsid w:val="00492D42"/>
    <w:rsid w:val="00492EDC"/>
    <w:rsid w:val="00494EFB"/>
    <w:rsid w:val="0049595F"/>
    <w:rsid w:val="004A1BD6"/>
    <w:rsid w:val="004A66C7"/>
    <w:rsid w:val="004C1FB3"/>
    <w:rsid w:val="004C4E19"/>
    <w:rsid w:val="004C55B8"/>
    <w:rsid w:val="004C5EF4"/>
    <w:rsid w:val="004C696C"/>
    <w:rsid w:val="004D1C2A"/>
    <w:rsid w:val="004D2FC9"/>
    <w:rsid w:val="004D7191"/>
    <w:rsid w:val="004E3561"/>
    <w:rsid w:val="004E4A59"/>
    <w:rsid w:val="004E5892"/>
    <w:rsid w:val="004E62D2"/>
    <w:rsid w:val="004E7D08"/>
    <w:rsid w:val="004F249F"/>
    <w:rsid w:val="004F46FB"/>
    <w:rsid w:val="00500B6D"/>
    <w:rsid w:val="00500F32"/>
    <w:rsid w:val="00504EB3"/>
    <w:rsid w:val="00505318"/>
    <w:rsid w:val="005065B4"/>
    <w:rsid w:val="00506AD2"/>
    <w:rsid w:val="00506C96"/>
    <w:rsid w:val="0050746D"/>
    <w:rsid w:val="0051123C"/>
    <w:rsid w:val="0051345A"/>
    <w:rsid w:val="00516647"/>
    <w:rsid w:val="00522293"/>
    <w:rsid w:val="005264A2"/>
    <w:rsid w:val="00530D63"/>
    <w:rsid w:val="00531360"/>
    <w:rsid w:val="00532A47"/>
    <w:rsid w:val="0053373E"/>
    <w:rsid w:val="00536516"/>
    <w:rsid w:val="005402CC"/>
    <w:rsid w:val="00546074"/>
    <w:rsid w:val="00547342"/>
    <w:rsid w:val="0055307D"/>
    <w:rsid w:val="0055591F"/>
    <w:rsid w:val="005617A2"/>
    <w:rsid w:val="00563C99"/>
    <w:rsid w:val="00565591"/>
    <w:rsid w:val="0056792E"/>
    <w:rsid w:val="00573E48"/>
    <w:rsid w:val="00575838"/>
    <w:rsid w:val="00582F8E"/>
    <w:rsid w:val="0058357B"/>
    <w:rsid w:val="00585A76"/>
    <w:rsid w:val="00586DD9"/>
    <w:rsid w:val="005878BC"/>
    <w:rsid w:val="005928F5"/>
    <w:rsid w:val="00592CA4"/>
    <w:rsid w:val="00597027"/>
    <w:rsid w:val="005970DC"/>
    <w:rsid w:val="005A3210"/>
    <w:rsid w:val="005A6F56"/>
    <w:rsid w:val="005B2277"/>
    <w:rsid w:val="005B28C3"/>
    <w:rsid w:val="005B2A87"/>
    <w:rsid w:val="005B78DF"/>
    <w:rsid w:val="005C411A"/>
    <w:rsid w:val="005C4446"/>
    <w:rsid w:val="005C4693"/>
    <w:rsid w:val="005D1073"/>
    <w:rsid w:val="005D2173"/>
    <w:rsid w:val="005D33D2"/>
    <w:rsid w:val="005D626C"/>
    <w:rsid w:val="005D725A"/>
    <w:rsid w:val="005D7CFB"/>
    <w:rsid w:val="005E037C"/>
    <w:rsid w:val="005E0DBF"/>
    <w:rsid w:val="005E18C1"/>
    <w:rsid w:val="005E465A"/>
    <w:rsid w:val="005E5CCE"/>
    <w:rsid w:val="005F2250"/>
    <w:rsid w:val="005F2FB4"/>
    <w:rsid w:val="005F4427"/>
    <w:rsid w:val="005F7381"/>
    <w:rsid w:val="005F7BF2"/>
    <w:rsid w:val="00601AB9"/>
    <w:rsid w:val="00601B91"/>
    <w:rsid w:val="006057D6"/>
    <w:rsid w:val="00612EC6"/>
    <w:rsid w:val="00615097"/>
    <w:rsid w:val="00616077"/>
    <w:rsid w:val="006214E1"/>
    <w:rsid w:val="00625FB8"/>
    <w:rsid w:val="00627D1E"/>
    <w:rsid w:val="00630032"/>
    <w:rsid w:val="00631129"/>
    <w:rsid w:val="00631DD5"/>
    <w:rsid w:val="00635385"/>
    <w:rsid w:val="006377BA"/>
    <w:rsid w:val="00637E03"/>
    <w:rsid w:val="00643F3F"/>
    <w:rsid w:val="00645272"/>
    <w:rsid w:val="0064626C"/>
    <w:rsid w:val="006538ED"/>
    <w:rsid w:val="00653B09"/>
    <w:rsid w:val="00657669"/>
    <w:rsid w:val="00662DBA"/>
    <w:rsid w:val="00672D4E"/>
    <w:rsid w:val="00672F71"/>
    <w:rsid w:val="006737E9"/>
    <w:rsid w:val="00673E04"/>
    <w:rsid w:val="00674581"/>
    <w:rsid w:val="00674EB1"/>
    <w:rsid w:val="006774C5"/>
    <w:rsid w:val="00680514"/>
    <w:rsid w:val="00684A11"/>
    <w:rsid w:val="0068528E"/>
    <w:rsid w:val="006904F8"/>
    <w:rsid w:val="00693A72"/>
    <w:rsid w:val="00696982"/>
    <w:rsid w:val="0069773B"/>
    <w:rsid w:val="006978CE"/>
    <w:rsid w:val="006A0C03"/>
    <w:rsid w:val="006A1043"/>
    <w:rsid w:val="006A2467"/>
    <w:rsid w:val="006A44B3"/>
    <w:rsid w:val="006A72E2"/>
    <w:rsid w:val="006B5C36"/>
    <w:rsid w:val="006B76B1"/>
    <w:rsid w:val="006B7D81"/>
    <w:rsid w:val="006C1556"/>
    <w:rsid w:val="006C3EF9"/>
    <w:rsid w:val="006C7D37"/>
    <w:rsid w:val="006D0963"/>
    <w:rsid w:val="006D3C96"/>
    <w:rsid w:val="006D4FDE"/>
    <w:rsid w:val="006D5FBD"/>
    <w:rsid w:val="006D7B2E"/>
    <w:rsid w:val="006D7D3C"/>
    <w:rsid w:val="006E175C"/>
    <w:rsid w:val="006E3187"/>
    <w:rsid w:val="006E6AF9"/>
    <w:rsid w:val="006E7F82"/>
    <w:rsid w:val="006F174E"/>
    <w:rsid w:val="006F1F90"/>
    <w:rsid w:val="006F512D"/>
    <w:rsid w:val="0070352F"/>
    <w:rsid w:val="00704E30"/>
    <w:rsid w:val="00716195"/>
    <w:rsid w:val="00722AB1"/>
    <w:rsid w:val="00731D3F"/>
    <w:rsid w:val="0074194F"/>
    <w:rsid w:val="00743E89"/>
    <w:rsid w:val="007461A2"/>
    <w:rsid w:val="0075278E"/>
    <w:rsid w:val="007560E6"/>
    <w:rsid w:val="00761BD3"/>
    <w:rsid w:val="00772B31"/>
    <w:rsid w:val="007808C2"/>
    <w:rsid w:val="00780C14"/>
    <w:rsid w:val="007815C3"/>
    <w:rsid w:val="00785114"/>
    <w:rsid w:val="00785C79"/>
    <w:rsid w:val="007937B4"/>
    <w:rsid w:val="0079413D"/>
    <w:rsid w:val="00796597"/>
    <w:rsid w:val="007A0D46"/>
    <w:rsid w:val="007A5944"/>
    <w:rsid w:val="007B0661"/>
    <w:rsid w:val="007B0E79"/>
    <w:rsid w:val="007B5182"/>
    <w:rsid w:val="007B5C82"/>
    <w:rsid w:val="007C0821"/>
    <w:rsid w:val="007C19B2"/>
    <w:rsid w:val="007C19F2"/>
    <w:rsid w:val="007C39FF"/>
    <w:rsid w:val="007D28A4"/>
    <w:rsid w:val="007D300B"/>
    <w:rsid w:val="007D32C8"/>
    <w:rsid w:val="007D5E30"/>
    <w:rsid w:val="007D7D4B"/>
    <w:rsid w:val="007E31C8"/>
    <w:rsid w:val="007E43E4"/>
    <w:rsid w:val="007E5F8A"/>
    <w:rsid w:val="007F4B93"/>
    <w:rsid w:val="00802F8E"/>
    <w:rsid w:val="00805B1E"/>
    <w:rsid w:val="00805B34"/>
    <w:rsid w:val="00806DDE"/>
    <w:rsid w:val="00807CCB"/>
    <w:rsid w:val="008115CB"/>
    <w:rsid w:val="00812038"/>
    <w:rsid w:val="00816A7E"/>
    <w:rsid w:val="00817FD8"/>
    <w:rsid w:val="0082058E"/>
    <w:rsid w:val="008237F9"/>
    <w:rsid w:val="008242D2"/>
    <w:rsid w:val="008256EE"/>
    <w:rsid w:val="0083005E"/>
    <w:rsid w:val="00845BE8"/>
    <w:rsid w:val="008562BB"/>
    <w:rsid w:val="00857DF8"/>
    <w:rsid w:val="00860100"/>
    <w:rsid w:val="00862EBB"/>
    <w:rsid w:val="0086368A"/>
    <w:rsid w:val="00863C0D"/>
    <w:rsid w:val="00867C8C"/>
    <w:rsid w:val="00867DA7"/>
    <w:rsid w:val="0087169F"/>
    <w:rsid w:val="008737C2"/>
    <w:rsid w:val="0087390E"/>
    <w:rsid w:val="008748CE"/>
    <w:rsid w:val="00882331"/>
    <w:rsid w:val="008836DD"/>
    <w:rsid w:val="0089112F"/>
    <w:rsid w:val="008916DC"/>
    <w:rsid w:val="008A2594"/>
    <w:rsid w:val="008A3403"/>
    <w:rsid w:val="008A44FF"/>
    <w:rsid w:val="008A694E"/>
    <w:rsid w:val="008B1188"/>
    <w:rsid w:val="008B1B5C"/>
    <w:rsid w:val="008B4282"/>
    <w:rsid w:val="008B44A1"/>
    <w:rsid w:val="008B68E3"/>
    <w:rsid w:val="008C09DB"/>
    <w:rsid w:val="008D3E7A"/>
    <w:rsid w:val="008D56FA"/>
    <w:rsid w:val="009015D5"/>
    <w:rsid w:val="00904339"/>
    <w:rsid w:val="00906FE7"/>
    <w:rsid w:val="0090701B"/>
    <w:rsid w:val="00907EE7"/>
    <w:rsid w:val="00916A34"/>
    <w:rsid w:val="00916FAB"/>
    <w:rsid w:val="00920EB7"/>
    <w:rsid w:val="009366F7"/>
    <w:rsid w:val="0093722B"/>
    <w:rsid w:val="00937EA0"/>
    <w:rsid w:val="00955031"/>
    <w:rsid w:val="009555F7"/>
    <w:rsid w:val="0096272E"/>
    <w:rsid w:val="009655B0"/>
    <w:rsid w:val="00965A3D"/>
    <w:rsid w:val="009731A5"/>
    <w:rsid w:val="009740E5"/>
    <w:rsid w:val="009800A1"/>
    <w:rsid w:val="00982280"/>
    <w:rsid w:val="00987936"/>
    <w:rsid w:val="00987D96"/>
    <w:rsid w:val="00990B39"/>
    <w:rsid w:val="009948FB"/>
    <w:rsid w:val="009952DB"/>
    <w:rsid w:val="00997991"/>
    <w:rsid w:val="009A23CC"/>
    <w:rsid w:val="009A3057"/>
    <w:rsid w:val="009A6DE0"/>
    <w:rsid w:val="009B02F5"/>
    <w:rsid w:val="009B2259"/>
    <w:rsid w:val="009B2DF4"/>
    <w:rsid w:val="009B39B9"/>
    <w:rsid w:val="009B6ED9"/>
    <w:rsid w:val="009B779B"/>
    <w:rsid w:val="009C1904"/>
    <w:rsid w:val="009D13CB"/>
    <w:rsid w:val="009D4377"/>
    <w:rsid w:val="009D4F2F"/>
    <w:rsid w:val="009D7100"/>
    <w:rsid w:val="009E0F4E"/>
    <w:rsid w:val="009E0FDB"/>
    <w:rsid w:val="009E14EA"/>
    <w:rsid w:val="009F01D4"/>
    <w:rsid w:val="009F28C0"/>
    <w:rsid w:val="009F5078"/>
    <w:rsid w:val="00A00DC0"/>
    <w:rsid w:val="00A0284D"/>
    <w:rsid w:val="00A06304"/>
    <w:rsid w:val="00A15A86"/>
    <w:rsid w:val="00A16801"/>
    <w:rsid w:val="00A22367"/>
    <w:rsid w:val="00A23626"/>
    <w:rsid w:val="00A24084"/>
    <w:rsid w:val="00A26F5E"/>
    <w:rsid w:val="00A318E3"/>
    <w:rsid w:val="00A33167"/>
    <w:rsid w:val="00A33DBC"/>
    <w:rsid w:val="00A45124"/>
    <w:rsid w:val="00A45129"/>
    <w:rsid w:val="00A47487"/>
    <w:rsid w:val="00A50880"/>
    <w:rsid w:val="00A51949"/>
    <w:rsid w:val="00A5548F"/>
    <w:rsid w:val="00A62A79"/>
    <w:rsid w:val="00A648BE"/>
    <w:rsid w:val="00A64EF0"/>
    <w:rsid w:val="00A666BD"/>
    <w:rsid w:val="00A66F63"/>
    <w:rsid w:val="00A713B5"/>
    <w:rsid w:val="00A71971"/>
    <w:rsid w:val="00A732EB"/>
    <w:rsid w:val="00A77C38"/>
    <w:rsid w:val="00A83E29"/>
    <w:rsid w:val="00A8405E"/>
    <w:rsid w:val="00A84919"/>
    <w:rsid w:val="00A855B0"/>
    <w:rsid w:val="00A85AF2"/>
    <w:rsid w:val="00A93C0A"/>
    <w:rsid w:val="00AA3330"/>
    <w:rsid w:val="00AA3FE7"/>
    <w:rsid w:val="00AA5464"/>
    <w:rsid w:val="00AB13F2"/>
    <w:rsid w:val="00AB2EAF"/>
    <w:rsid w:val="00AB3CA5"/>
    <w:rsid w:val="00AB685F"/>
    <w:rsid w:val="00AD156C"/>
    <w:rsid w:val="00AD2819"/>
    <w:rsid w:val="00AD28EE"/>
    <w:rsid w:val="00AD6239"/>
    <w:rsid w:val="00AD6404"/>
    <w:rsid w:val="00AD6AFB"/>
    <w:rsid w:val="00AE2229"/>
    <w:rsid w:val="00AE2520"/>
    <w:rsid w:val="00AE3395"/>
    <w:rsid w:val="00AF11F2"/>
    <w:rsid w:val="00AF4387"/>
    <w:rsid w:val="00AF78FF"/>
    <w:rsid w:val="00B05DDE"/>
    <w:rsid w:val="00B12D44"/>
    <w:rsid w:val="00B13622"/>
    <w:rsid w:val="00B140CC"/>
    <w:rsid w:val="00B14A02"/>
    <w:rsid w:val="00B16AF8"/>
    <w:rsid w:val="00B213CB"/>
    <w:rsid w:val="00B21765"/>
    <w:rsid w:val="00B23783"/>
    <w:rsid w:val="00B25929"/>
    <w:rsid w:val="00B25E90"/>
    <w:rsid w:val="00B27E5A"/>
    <w:rsid w:val="00B32978"/>
    <w:rsid w:val="00B35169"/>
    <w:rsid w:val="00B40C9F"/>
    <w:rsid w:val="00B504C5"/>
    <w:rsid w:val="00B504E6"/>
    <w:rsid w:val="00B55073"/>
    <w:rsid w:val="00B55205"/>
    <w:rsid w:val="00B6153E"/>
    <w:rsid w:val="00B61A24"/>
    <w:rsid w:val="00B629E6"/>
    <w:rsid w:val="00B659BF"/>
    <w:rsid w:val="00B65CE5"/>
    <w:rsid w:val="00B734A0"/>
    <w:rsid w:val="00B74EC6"/>
    <w:rsid w:val="00B75024"/>
    <w:rsid w:val="00B75760"/>
    <w:rsid w:val="00B75B68"/>
    <w:rsid w:val="00B87118"/>
    <w:rsid w:val="00B97AFF"/>
    <w:rsid w:val="00BB266A"/>
    <w:rsid w:val="00BB5F39"/>
    <w:rsid w:val="00BB7390"/>
    <w:rsid w:val="00BC7FCD"/>
    <w:rsid w:val="00BD4816"/>
    <w:rsid w:val="00BD7BD8"/>
    <w:rsid w:val="00BD7CAB"/>
    <w:rsid w:val="00BE1CED"/>
    <w:rsid w:val="00BE78C4"/>
    <w:rsid w:val="00BF528C"/>
    <w:rsid w:val="00C03056"/>
    <w:rsid w:val="00C06BCA"/>
    <w:rsid w:val="00C15ADE"/>
    <w:rsid w:val="00C15F15"/>
    <w:rsid w:val="00C1769E"/>
    <w:rsid w:val="00C21282"/>
    <w:rsid w:val="00C333A9"/>
    <w:rsid w:val="00C365EC"/>
    <w:rsid w:val="00C37CE2"/>
    <w:rsid w:val="00C4199D"/>
    <w:rsid w:val="00C4691C"/>
    <w:rsid w:val="00C46B74"/>
    <w:rsid w:val="00C51DE7"/>
    <w:rsid w:val="00C53A9C"/>
    <w:rsid w:val="00C53DA6"/>
    <w:rsid w:val="00C569A8"/>
    <w:rsid w:val="00C612A7"/>
    <w:rsid w:val="00C64C19"/>
    <w:rsid w:val="00C71DAD"/>
    <w:rsid w:val="00C745E9"/>
    <w:rsid w:val="00C75B5E"/>
    <w:rsid w:val="00C7663C"/>
    <w:rsid w:val="00C80FC6"/>
    <w:rsid w:val="00C81EC0"/>
    <w:rsid w:val="00C844CF"/>
    <w:rsid w:val="00C96F8C"/>
    <w:rsid w:val="00CA082C"/>
    <w:rsid w:val="00CA5CEA"/>
    <w:rsid w:val="00CA64E2"/>
    <w:rsid w:val="00CA6A84"/>
    <w:rsid w:val="00CB1242"/>
    <w:rsid w:val="00CB21B6"/>
    <w:rsid w:val="00CC5ED6"/>
    <w:rsid w:val="00CC6EBE"/>
    <w:rsid w:val="00CD3897"/>
    <w:rsid w:val="00CD4A06"/>
    <w:rsid w:val="00CD56FE"/>
    <w:rsid w:val="00CD585B"/>
    <w:rsid w:val="00CD7395"/>
    <w:rsid w:val="00CE0094"/>
    <w:rsid w:val="00CE4707"/>
    <w:rsid w:val="00CE5065"/>
    <w:rsid w:val="00CE60F6"/>
    <w:rsid w:val="00CF0FE4"/>
    <w:rsid w:val="00CF157E"/>
    <w:rsid w:val="00D000FF"/>
    <w:rsid w:val="00D0200F"/>
    <w:rsid w:val="00D04872"/>
    <w:rsid w:val="00D1512E"/>
    <w:rsid w:val="00D22595"/>
    <w:rsid w:val="00D25267"/>
    <w:rsid w:val="00D37171"/>
    <w:rsid w:val="00D37311"/>
    <w:rsid w:val="00D37EEC"/>
    <w:rsid w:val="00D4056C"/>
    <w:rsid w:val="00D42DD4"/>
    <w:rsid w:val="00D4440B"/>
    <w:rsid w:val="00D45191"/>
    <w:rsid w:val="00D46217"/>
    <w:rsid w:val="00D46393"/>
    <w:rsid w:val="00D51718"/>
    <w:rsid w:val="00D546D8"/>
    <w:rsid w:val="00D65398"/>
    <w:rsid w:val="00D67114"/>
    <w:rsid w:val="00D71DEA"/>
    <w:rsid w:val="00D73D9F"/>
    <w:rsid w:val="00D754A6"/>
    <w:rsid w:val="00D814A2"/>
    <w:rsid w:val="00D81D36"/>
    <w:rsid w:val="00D822A9"/>
    <w:rsid w:val="00D87375"/>
    <w:rsid w:val="00DA2D0D"/>
    <w:rsid w:val="00DA3461"/>
    <w:rsid w:val="00DB04AB"/>
    <w:rsid w:val="00DB0523"/>
    <w:rsid w:val="00DB1C80"/>
    <w:rsid w:val="00DC1ECA"/>
    <w:rsid w:val="00DC374D"/>
    <w:rsid w:val="00DC4278"/>
    <w:rsid w:val="00DC5B83"/>
    <w:rsid w:val="00DC6908"/>
    <w:rsid w:val="00DD5173"/>
    <w:rsid w:val="00DD5C8F"/>
    <w:rsid w:val="00DE09B4"/>
    <w:rsid w:val="00DE45A1"/>
    <w:rsid w:val="00DE4D9B"/>
    <w:rsid w:val="00DE7C45"/>
    <w:rsid w:val="00DE7F47"/>
    <w:rsid w:val="00DF1E7D"/>
    <w:rsid w:val="00DF5E9E"/>
    <w:rsid w:val="00DF6F41"/>
    <w:rsid w:val="00DF7DB9"/>
    <w:rsid w:val="00E05DA0"/>
    <w:rsid w:val="00E1466D"/>
    <w:rsid w:val="00E15BFA"/>
    <w:rsid w:val="00E212EF"/>
    <w:rsid w:val="00E25910"/>
    <w:rsid w:val="00E33039"/>
    <w:rsid w:val="00E341D7"/>
    <w:rsid w:val="00E34E5A"/>
    <w:rsid w:val="00E35964"/>
    <w:rsid w:val="00E436D6"/>
    <w:rsid w:val="00E44C4F"/>
    <w:rsid w:val="00E45BFA"/>
    <w:rsid w:val="00E47BA9"/>
    <w:rsid w:val="00E51E52"/>
    <w:rsid w:val="00E53017"/>
    <w:rsid w:val="00E53180"/>
    <w:rsid w:val="00E55171"/>
    <w:rsid w:val="00E55B65"/>
    <w:rsid w:val="00E578BE"/>
    <w:rsid w:val="00E62805"/>
    <w:rsid w:val="00E6377A"/>
    <w:rsid w:val="00E64FF8"/>
    <w:rsid w:val="00E74858"/>
    <w:rsid w:val="00E7505A"/>
    <w:rsid w:val="00E812F3"/>
    <w:rsid w:val="00E83FFC"/>
    <w:rsid w:val="00E84A2E"/>
    <w:rsid w:val="00E87C6B"/>
    <w:rsid w:val="00EA01F8"/>
    <w:rsid w:val="00EA2BE4"/>
    <w:rsid w:val="00EA3BA2"/>
    <w:rsid w:val="00EA5D0D"/>
    <w:rsid w:val="00EB2EAE"/>
    <w:rsid w:val="00EB4C1B"/>
    <w:rsid w:val="00EB7DB9"/>
    <w:rsid w:val="00EC2BDD"/>
    <w:rsid w:val="00EC2C30"/>
    <w:rsid w:val="00EC3978"/>
    <w:rsid w:val="00EC44F5"/>
    <w:rsid w:val="00ED4DD6"/>
    <w:rsid w:val="00ED77AE"/>
    <w:rsid w:val="00EE0CFE"/>
    <w:rsid w:val="00EE2716"/>
    <w:rsid w:val="00EE4BB5"/>
    <w:rsid w:val="00EE5286"/>
    <w:rsid w:val="00EF1184"/>
    <w:rsid w:val="00EF2B85"/>
    <w:rsid w:val="00EF2BFC"/>
    <w:rsid w:val="00EF2D17"/>
    <w:rsid w:val="00EF70CB"/>
    <w:rsid w:val="00EF736D"/>
    <w:rsid w:val="00F062C7"/>
    <w:rsid w:val="00F06C76"/>
    <w:rsid w:val="00F07EA7"/>
    <w:rsid w:val="00F10A11"/>
    <w:rsid w:val="00F12CF2"/>
    <w:rsid w:val="00F15B00"/>
    <w:rsid w:val="00F15E49"/>
    <w:rsid w:val="00F22E0F"/>
    <w:rsid w:val="00F23819"/>
    <w:rsid w:val="00F242EB"/>
    <w:rsid w:val="00F27BB7"/>
    <w:rsid w:val="00F35247"/>
    <w:rsid w:val="00F36F76"/>
    <w:rsid w:val="00F45226"/>
    <w:rsid w:val="00F45D2D"/>
    <w:rsid w:val="00F470A2"/>
    <w:rsid w:val="00F5135F"/>
    <w:rsid w:val="00F533CA"/>
    <w:rsid w:val="00F54B67"/>
    <w:rsid w:val="00F55B69"/>
    <w:rsid w:val="00F567CF"/>
    <w:rsid w:val="00F606EE"/>
    <w:rsid w:val="00F6187A"/>
    <w:rsid w:val="00F628EF"/>
    <w:rsid w:val="00F64654"/>
    <w:rsid w:val="00F678B3"/>
    <w:rsid w:val="00F72726"/>
    <w:rsid w:val="00F72DAE"/>
    <w:rsid w:val="00F732EC"/>
    <w:rsid w:val="00F804A0"/>
    <w:rsid w:val="00F83856"/>
    <w:rsid w:val="00F84B40"/>
    <w:rsid w:val="00F9326B"/>
    <w:rsid w:val="00F97585"/>
    <w:rsid w:val="00FA05FB"/>
    <w:rsid w:val="00FA0990"/>
    <w:rsid w:val="00FA2AF1"/>
    <w:rsid w:val="00FA3D31"/>
    <w:rsid w:val="00FA4318"/>
    <w:rsid w:val="00FB1206"/>
    <w:rsid w:val="00FB24D5"/>
    <w:rsid w:val="00FB27AF"/>
    <w:rsid w:val="00FB67EA"/>
    <w:rsid w:val="00FC5D9F"/>
    <w:rsid w:val="00FC6AA8"/>
    <w:rsid w:val="00FD131D"/>
    <w:rsid w:val="00FE0016"/>
    <w:rsid w:val="00FE56CC"/>
    <w:rsid w:val="00FE5F85"/>
    <w:rsid w:val="00FE67CF"/>
    <w:rsid w:val="00FF14F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C14"/>
    <w:pPr>
      <w:spacing w:after="200" w:line="276" w:lineRule="auto"/>
    </w:pPr>
    <w:rPr>
      <w:rFonts w:eastAsia="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780C14"/>
    <w:pPr>
      <w:spacing w:after="0" w:line="240" w:lineRule="auto"/>
    </w:pPr>
    <w:rPr>
      <w:rFonts w:ascii="Times New Roman" w:hAnsi="Times New Roman" w:cs="Times New Roman"/>
      <w:sz w:val="20"/>
      <w:szCs w:val="20"/>
    </w:rPr>
  </w:style>
  <w:style w:type="character" w:customStyle="1" w:styleId="NotedebasdepageCar">
    <w:name w:val="Note de bas de page Car"/>
    <w:basedOn w:val="Policepardfaut"/>
    <w:link w:val="Notedebasdepage"/>
    <w:semiHidden/>
    <w:rsid w:val="00780C14"/>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780C14"/>
    <w:rPr>
      <w:vertAlign w:val="superscript"/>
    </w:rPr>
  </w:style>
  <w:style w:type="character" w:customStyle="1" w:styleId="Style13pt">
    <w:name w:val="Style 13 pt"/>
    <w:basedOn w:val="Policepardfaut"/>
    <w:rsid w:val="00780C14"/>
    <w:rPr>
      <w:sz w:val="24"/>
      <w:szCs w:val="26"/>
    </w:rPr>
  </w:style>
  <w:style w:type="paragraph" w:customStyle="1" w:styleId="Default">
    <w:name w:val="Default"/>
    <w:rsid w:val="00780C14"/>
    <w:pPr>
      <w:autoSpaceDE w:val="0"/>
      <w:autoSpaceDN w:val="0"/>
      <w:adjustRightInd w:val="0"/>
    </w:pPr>
    <w:rPr>
      <w:rFonts w:ascii="Times New Roman" w:hAnsi="Times New Roman" w:cs="Times New Roman"/>
      <w:color w:val="000000"/>
      <w:sz w:val="24"/>
      <w:szCs w:val="24"/>
    </w:rPr>
  </w:style>
  <w:style w:type="paragraph" w:customStyle="1" w:styleId="PARTIE">
    <w:name w:val="PARTIE"/>
    <w:basedOn w:val="Normal"/>
    <w:rsid w:val="00780C14"/>
    <w:pPr>
      <w:tabs>
        <w:tab w:val="left" w:pos="1080"/>
      </w:tabs>
      <w:spacing w:before="240" w:after="240" w:line="480" w:lineRule="auto"/>
      <w:ind w:left="360"/>
      <w:jc w:val="center"/>
    </w:pPr>
    <w:rPr>
      <w:rFonts w:ascii="Monotype Corsiva" w:hAnsi="Monotype Corsiva" w:cs="Times New Roman"/>
      <w:b/>
      <w:bCs/>
      <w:color w:val="000000"/>
      <w:sz w:val="52"/>
      <w:szCs w:val="52"/>
    </w:rPr>
  </w:style>
  <w:style w:type="paragraph" w:styleId="Textedebulles">
    <w:name w:val="Balloon Text"/>
    <w:basedOn w:val="Normal"/>
    <w:link w:val="TextedebullesCar"/>
    <w:uiPriority w:val="99"/>
    <w:semiHidden/>
    <w:unhideWhenUsed/>
    <w:rsid w:val="00780C14"/>
    <w:pPr>
      <w:spacing w:after="0" w:line="240" w:lineRule="auto"/>
    </w:pPr>
    <w:rPr>
      <w:rFonts w:ascii="Tahoma" w:eastAsia="Calibri" w:hAnsi="Tahoma" w:cs="Tahoma"/>
      <w:sz w:val="16"/>
      <w:szCs w:val="16"/>
      <w:lang w:eastAsia="en-US"/>
    </w:rPr>
  </w:style>
  <w:style w:type="character" w:customStyle="1" w:styleId="TextedebullesCar">
    <w:name w:val="Texte de bulles Car"/>
    <w:basedOn w:val="Policepardfaut"/>
    <w:link w:val="Textedebulles"/>
    <w:uiPriority w:val="99"/>
    <w:semiHidden/>
    <w:rsid w:val="00780C14"/>
    <w:rPr>
      <w:rFonts w:ascii="Tahoma" w:eastAsia="Calibri" w:hAnsi="Tahoma" w:cs="Tahoma"/>
      <w:sz w:val="16"/>
      <w:szCs w:val="16"/>
    </w:rPr>
  </w:style>
  <w:style w:type="paragraph" w:styleId="Paragraphedeliste">
    <w:name w:val="List Paragraph"/>
    <w:basedOn w:val="Normal"/>
    <w:uiPriority w:val="34"/>
    <w:qFormat/>
    <w:rsid w:val="00780C14"/>
    <w:pPr>
      <w:ind w:left="720"/>
      <w:contextualSpacing/>
    </w:pPr>
    <w:rPr>
      <w:rFonts w:eastAsia="Calibri"/>
      <w:lang w:eastAsia="en-US"/>
    </w:rPr>
  </w:style>
  <w:style w:type="paragraph" w:customStyle="1" w:styleId="Style13ptJustifiPremireligne095cmAvant18ptApr">
    <w:name w:val="Style 13 pt Justifié Première ligne : 095 cm Avant : 18 pt Apr..."/>
    <w:basedOn w:val="Normal"/>
    <w:rsid w:val="00780C14"/>
    <w:pPr>
      <w:spacing w:before="360" w:after="360" w:line="360" w:lineRule="auto"/>
      <w:ind w:firstLine="540"/>
      <w:jc w:val="both"/>
    </w:pPr>
    <w:rPr>
      <w:rFonts w:ascii="Times New Roman" w:hAnsi="Times New Roman" w:cs="Times New Roman"/>
      <w:sz w:val="24"/>
      <w:szCs w:val="26"/>
    </w:rPr>
  </w:style>
  <w:style w:type="character" w:customStyle="1" w:styleId="Style13ptNoir">
    <w:name w:val="Style 13 pt Noir"/>
    <w:basedOn w:val="Policepardfaut"/>
    <w:rsid w:val="00780C14"/>
    <w:rPr>
      <w:color w:val="000000"/>
      <w:sz w:val="24"/>
      <w:szCs w:val="26"/>
    </w:rPr>
  </w:style>
  <w:style w:type="character" w:styleId="Emphaseintense">
    <w:name w:val="Intense Emphasis"/>
    <w:basedOn w:val="Policepardfaut"/>
    <w:uiPriority w:val="21"/>
    <w:qFormat/>
    <w:rsid w:val="00780C14"/>
    <w:rPr>
      <w:b/>
      <w:bCs/>
      <w:i/>
      <w:iCs/>
      <w:color w:val="4F81BD"/>
    </w:rPr>
  </w:style>
  <w:style w:type="paragraph" w:styleId="Sous-titre">
    <w:name w:val="Subtitle"/>
    <w:basedOn w:val="Normal"/>
    <w:next w:val="Normal"/>
    <w:link w:val="Sous-titreCar"/>
    <w:uiPriority w:val="11"/>
    <w:qFormat/>
    <w:rsid w:val="00780C14"/>
    <w:pPr>
      <w:spacing w:after="60"/>
      <w:jc w:val="center"/>
      <w:outlineLvl w:val="1"/>
    </w:pPr>
    <w:rPr>
      <w:rFonts w:ascii="Cambria" w:hAnsi="Cambria" w:cs="Times New Roman"/>
      <w:sz w:val="24"/>
      <w:szCs w:val="24"/>
      <w:lang w:eastAsia="en-US"/>
    </w:rPr>
  </w:style>
  <w:style w:type="character" w:customStyle="1" w:styleId="Sous-titreCar">
    <w:name w:val="Sous-titre Car"/>
    <w:basedOn w:val="Policepardfaut"/>
    <w:link w:val="Sous-titre"/>
    <w:uiPriority w:val="11"/>
    <w:rsid w:val="00780C14"/>
    <w:rPr>
      <w:rFonts w:ascii="Cambria" w:eastAsia="Times New Roman" w:hAnsi="Cambria" w:cs="Times New Roman"/>
      <w:sz w:val="24"/>
      <w:szCs w:val="24"/>
    </w:rPr>
  </w:style>
  <w:style w:type="character" w:customStyle="1" w:styleId="longtext">
    <w:name w:val="long_text"/>
    <w:basedOn w:val="Policepardfaut"/>
    <w:rsid w:val="00582F8E"/>
  </w:style>
  <w:style w:type="character" w:styleId="Lienhypertexte">
    <w:name w:val="Hyperlink"/>
    <w:basedOn w:val="Policepardfaut"/>
    <w:uiPriority w:val="99"/>
    <w:unhideWhenUsed/>
    <w:rsid w:val="003F0157"/>
    <w:rPr>
      <w:color w:val="0000FF"/>
      <w:u w:val="single"/>
    </w:rPr>
  </w:style>
  <w:style w:type="paragraph" w:styleId="En-tte">
    <w:name w:val="header"/>
    <w:basedOn w:val="Normal"/>
    <w:link w:val="En-tteCar"/>
    <w:uiPriority w:val="99"/>
    <w:unhideWhenUsed/>
    <w:rsid w:val="00D73D9F"/>
    <w:pPr>
      <w:tabs>
        <w:tab w:val="center" w:pos="4536"/>
        <w:tab w:val="right" w:pos="9072"/>
      </w:tabs>
      <w:spacing w:after="0" w:line="240" w:lineRule="auto"/>
    </w:pPr>
  </w:style>
  <w:style w:type="character" w:customStyle="1" w:styleId="En-tteCar">
    <w:name w:val="En-tête Car"/>
    <w:basedOn w:val="Policepardfaut"/>
    <w:link w:val="En-tte"/>
    <w:uiPriority w:val="99"/>
    <w:rsid w:val="00D73D9F"/>
    <w:rPr>
      <w:rFonts w:eastAsia="Times New Roman"/>
      <w:lang w:eastAsia="fr-FR"/>
    </w:rPr>
  </w:style>
  <w:style w:type="paragraph" w:styleId="Pieddepage">
    <w:name w:val="footer"/>
    <w:basedOn w:val="Normal"/>
    <w:link w:val="PieddepageCar"/>
    <w:uiPriority w:val="99"/>
    <w:semiHidden/>
    <w:unhideWhenUsed/>
    <w:rsid w:val="00D73D9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73D9F"/>
    <w:rPr>
      <w:rFonts w:eastAsia="Times New Roman"/>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ndu.edu/library/pbrc/36In8.pdf" TargetMode="External"/><Relationship Id="rId1" Type="http://schemas.openxmlformats.org/officeDocument/2006/relationships/hyperlink" Target="http://en.wikipedia.org/wiki/Due_diligen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9413D-86FB-4602-8448-2C148A3CD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18</Pages>
  <Words>5361</Words>
  <Characters>29487</Characters>
  <Application>Microsoft Office Word</Application>
  <DocSecurity>0</DocSecurity>
  <Lines>245</Lines>
  <Paragraphs>69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34779</CharactersWithSpaces>
  <SharedDoc>false</SharedDoc>
  <HLinks>
    <vt:vector size="12" baseType="variant">
      <vt:variant>
        <vt:i4>589828</vt:i4>
      </vt:variant>
      <vt:variant>
        <vt:i4>3</vt:i4>
      </vt:variant>
      <vt:variant>
        <vt:i4>0</vt:i4>
      </vt:variant>
      <vt:variant>
        <vt:i4>5</vt:i4>
      </vt:variant>
      <vt:variant>
        <vt:lpwstr>http://www.ndu.edu/library/pbrc/36In8.pdf</vt:lpwstr>
      </vt:variant>
      <vt:variant>
        <vt:lpwstr/>
      </vt:variant>
      <vt:variant>
        <vt:i4>7995417</vt:i4>
      </vt:variant>
      <vt:variant>
        <vt:i4>0</vt:i4>
      </vt:variant>
      <vt:variant>
        <vt:i4>0</vt:i4>
      </vt:variant>
      <vt:variant>
        <vt:i4>5</vt:i4>
      </vt:variant>
      <vt:variant>
        <vt:lpwstr>http://en.wikipedia.org/wiki/Due_diligence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oussol</dc:creator>
  <cp:lastModifiedBy>user</cp:lastModifiedBy>
  <cp:revision>26</cp:revision>
  <cp:lastPrinted>2012-05-20T13:20:00Z</cp:lastPrinted>
  <dcterms:created xsi:type="dcterms:W3CDTF">2012-05-11T11:53:00Z</dcterms:created>
  <dcterms:modified xsi:type="dcterms:W3CDTF">2012-05-20T13:20:00Z</dcterms:modified>
</cp:coreProperties>
</file>