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F0" w:rsidRPr="00395588" w:rsidRDefault="00E105F0" w:rsidP="00E105F0">
      <w:pPr>
        <w:spacing w:line="360" w:lineRule="auto"/>
        <w:jc w:val="center"/>
        <w:rPr>
          <w:rFonts w:ascii="Times New Roman" w:hAnsi="Times New Roman" w:cs="Times New Roman"/>
          <w:b/>
          <w:bCs/>
          <w:sz w:val="28"/>
          <w:szCs w:val="28"/>
        </w:rPr>
      </w:pPr>
      <w:r w:rsidRPr="00395588">
        <w:rPr>
          <w:rFonts w:ascii="Times New Roman" w:hAnsi="Times New Roman" w:cs="Times New Roman"/>
          <w:b/>
          <w:bCs/>
          <w:sz w:val="28"/>
          <w:szCs w:val="28"/>
        </w:rPr>
        <w:t>Conclusion générale</w:t>
      </w:r>
    </w:p>
    <w:p w:rsidR="00E105F0" w:rsidRPr="005F4991" w:rsidRDefault="00E105F0" w:rsidP="00E105F0">
      <w:pPr>
        <w:spacing w:line="360" w:lineRule="auto"/>
        <w:ind w:firstLine="426"/>
        <w:jc w:val="both"/>
        <w:rPr>
          <w:rFonts w:ascii="Times New Roman" w:hAnsi="Times New Roman" w:cs="Times New Roman"/>
          <w:sz w:val="24"/>
          <w:szCs w:val="24"/>
        </w:rPr>
      </w:pPr>
      <w:r w:rsidRPr="005F4991">
        <w:rPr>
          <w:rFonts w:ascii="Times New Roman" w:hAnsi="Times New Roman" w:cs="Times New Roman"/>
          <w:sz w:val="24"/>
          <w:szCs w:val="24"/>
        </w:rPr>
        <w:t xml:space="preserve">Depuis le milieu des années 80, la nécessité d’une stratégie moderne de lutte contre le blanchiment d’argent </w:t>
      </w:r>
      <w:r>
        <w:rPr>
          <w:rFonts w:ascii="Times New Roman" w:hAnsi="Times New Roman" w:cs="Times New Roman"/>
          <w:sz w:val="24"/>
          <w:szCs w:val="24"/>
        </w:rPr>
        <w:t>avait</w:t>
      </w:r>
      <w:r w:rsidRPr="005F4991">
        <w:rPr>
          <w:rFonts w:ascii="Times New Roman" w:hAnsi="Times New Roman" w:cs="Times New Roman"/>
          <w:sz w:val="24"/>
          <w:szCs w:val="24"/>
        </w:rPr>
        <w:t xml:space="preserve"> été largement admise au niveau international. On peut considérer que les négociations de la Convention des Nations Unies contre le trafic illicite de stupéfiants et de substances psychotropes, de 1988, constitue le po</w:t>
      </w:r>
      <w:r>
        <w:rPr>
          <w:rFonts w:ascii="Times New Roman" w:hAnsi="Times New Roman" w:cs="Times New Roman"/>
          <w:sz w:val="24"/>
          <w:szCs w:val="24"/>
        </w:rPr>
        <w:t xml:space="preserve">int de départ de cette tendance qui se dessine par la </w:t>
      </w:r>
      <w:r w:rsidRPr="005F4991">
        <w:rPr>
          <w:rFonts w:ascii="Times New Roman" w:hAnsi="Times New Roman" w:cs="Times New Roman"/>
          <w:sz w:val="24"/>
          <w:szCs w:val="24"/>
        </w:rPr>
        <w:t>priv</w:t>
      </w:r>
      <w:r>
        <w:rPr>
          <w:rFonts w:ascii="Times New Roman" w:hAnsi="Times New Roman" w:cs="Times New Roman"/>
          <w:sz w:val="24"/>
          <w:szCs w:val="24"/>
        </w:rPr>
        <w:t>ation des</w:t>
      </w:r>
      <w:r w:rsidRPr="005F4991">
        <w:rPr>
          <w:rFonts w:ascii="Times New Roman" w:hAnsi="Times New Roman" w:cs="Times New Roman"/>
          <w:sz w:val="24"/>
          <w:szCs w:val="24"/>
        </w:rPr>
        <w:t xml:space="preserve"> crimi</w:t>
      </w:r>
      <w:r>
        <w:rPr>
          <w:rFonts w:ascii="Times New Roman" w:hAnsi="Times New Roman" w:cs="Times New Roman"/>
          <w:sz w:val="24"/>
          <w:szCs w:val="24"/>
        </w:rPr>
        <w:t xml:space="preserve">nels de leur produit, ce qui va limiter l’ampleur du crime organisé qui tire sa substance des capitaux dissimulés dans la sphère réelle par des techniques de blanchiment d’argent. </w:t>
      </w:r>
      <w:r w:rsidRPr="005F4991">
        <w:rPr>
          <w:rFonts w:ascii="Times New Roman" w:hAnsi="Times New Roman" w:cs="Times New Roman"/>
          <w:sz w:val="24"/>
          <w:szCs w:val="24"/>
        </w:rPr>
        <w:t>Les progrès accomplis dans ce domaine sont en train de</w:t>
      </w:r>
      <w:r>
        <w:rPr>
          <w:rFonts w:ascii="Times New Roman" w:hAnsi="Times New Roman" w:cs="Times New Roman"/>
          <w:sz w:val="24"/>
          <w:szCs w:val="24"/>
        </w:rPr>
        <w:t xml:space="preserve"> devenir un élément essentiel dans</w:t>
      </w:r>
      <w:r w:rsidRPr="005F4991">
        <w:rPr>
          <w:rFonts w:ascii="Times New Roman" w:hAnsi="Times New Roman" w:cs="Times New Roman"/>
          <w:sz w:val="24"/>
          <w:szCs w:val="24"/>
        </w:rPr>
        <w:t xml:space="preserve"> la lutte contre le crime organisé, la corruption et le financement du terrorisme.</w:t>
      </w:r>
    </w:p>
    <w:p w:rsidR="00E105F0" w:rsidRDefault="00E105F0" w:rsidP="00E105F0">
      <w:pPr>
        <w:spacing w:line="360" w:lineRule="auto"/>
        <w:ind w:firstLine="426"/>
        <w:jc w:val="both"/>
        <w:rPr>
          <w:rFonts w:ascii="Times New Roman" w:hAnsi="Times New Roman" w:cs="Times New Roman"/>
          <w:sz w:val="24"/>
          <w:szCs w:val="24"/>
        </w:rPr>
      </w:pPr>
      <w:r w:rsidRPr="005F4991">
        <w:rPr>
          <w:rFonts w:ascii="Times New Roman" w:hAnsi="Times New Roman" w:cs="Times New Roman"/>
          <w:sz w:val="24"/>
          <w:szCs w:val="24"/>
        </w:rPr>
        <w:t xml:space="preserve">L’Algérie, à l’instar des autres pays engagés dans cette lutte, s’est dotée d’une réglementation de lutte contre le blanchiment d’argent et le financement du terrorisme. </w:t>
      </w:r>
      <w:r>
        <w:rPr>
          <w:rFonts w:ascii="Times New Roman" w:hAnsi="Times New Roman" w:cs="Times New Roman"/>
          <w:color w:val="000000"/>
          <w:sz w:val="24"/>
          <w:szCs w:val="24"/>
        </w:rPr>
        <w:t xml:space="preserve">Notre pays </w:t>
      </w:r>
      <w:r w:rsidRPr="005F4991">
        <w:rPr>
          <w:rFonts w:ascii="Times New Roman" w:hAnsi="Times New Roman" w:cs="Times New Roman"/>
          <w:color w:val="000000"/>
          <w:sz w:val="24"/>
          <w:szCs w:val="24"/>
        </w:rPr>
        <w:t>a mis en place</w:t>
      </w:r>
      <w:r>
        <w:rPr>
          <w:rFonts w:ascii="Times New Roman" w:hAnsi="Times New Roman" w:cs="Times New Roman"/>
          <w:color w:val="000000"/>
          <w:sz w:val="24"/>
          <w:szCs w:val="24"/>
        </w:rPr>
        <w:t>,</w:t>
      </w:r>
      <w:r w:rsidRPr="005F4991">
        <w:rPr>
          <w:rFonts w:ascii="Times New Roman" w:hAnsi="Times New Roman" w:cs="Times New Roman"/>
          <w:color w:val="000000"/>
          <w:sz w:val="24"/>
          <w:szCs w:val="24"/>
        </w:rPr>
        <w:t xml:space="preserve"> bien que tardivement</w:t>
      </w:r>
      <w:r>
        <w:rPr>
          <w:rFonts w:ascii="Times New Roman" w:hAnsi="Times New Roman" w:cs="Times New Roman"/>
          <w:color w:val="000000"/>
          <w:sz w:val="24"/>
          <w:szCs w:val="24"/>
        </w:rPr>
        <w:t>,</w:t>
      </w:r>
      <w:r w:rsidRPr="005F4991">
        <w:rPr>
          <w:rFonts w:ascii="Times New Roman" w:hAnsi="Times New Roman" w:cs="Times New Roman"/>
          <w:sz w:val="24"/>
          <w:szCs w:val="24"/>
        </w:rPr>
        <w:t xml:space="preserve"> un </w:t>
      </w:r>
      <w:r w:rsidRPr="005F4991">
        <w:rPr>
          <w:rFonts w:ascii="Times New Roman" w:hAnsi="Times New Roman" w:cs="Times New Roman"/>
          <w:color w:val="000000"/>
          <w:sz w:val="24"/>
          <w:szCs w:val="24"/>
        </w:rPr>
        <w:t xml:space="preserve">dispositif </w:t>
      </w:r>
      <w:r w:rsidRPr="005F4991">
        <w:rPr>
          <w:rFonts w:ascii="Times New Roman" w:hAnsi="Times New Roman" w:cs="Times New Roman"/>
          <w:sz w:val="24"/>
          <w:szCs w:val="24"/>
        </w:rPr>
        <w:t xml:space="preserve">constitué essentiellement de la loi </w:t>
      </w:r>
      <w:r>
        <w:rPr>
          <w:rFonts w:ascii="Times New Roman" w:hAnsi="Times New Roman" w:cs="Times New Roman"/>
          <w:sz w:val="24"/>
          <w:szCs w:val="24"/>
        </w:rPr>
        <w:t xml:space="preserve">           </w:t>
      </w:r>
      <w:r w:rsidRPr="005F4991">
        <w:rPr>
          <w:rFonts w:ascii="Times New Roman" w:hAnsi="Times New Roman" w:cs="Times New Roman"/>
          <w:sz w:val="24"/>
          <w:szCs w:val="24"/>
        </w:rPr>
        <w:t xml:space="preserve">n° 05-01 du 06 février 2005 relative à la prévention et à la lutte contre le blanchiment d’argent et le financement du terrorisme et du  règlement n° 05-05 du 15 décembre 2005 relatif à la lutte contre le blanchiment d’argent et le financement du terrorisme, opposables aux banques et aux établissements financiers. </w:t>
      </w:r>
    </w:p>
    <w:p w:rsidR="00E105F0" w:rsidRPr="005F4991" w:rsidRDefault="00E105F0" w:rsidP="00E105F0">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Le</w:t>
      </w:r>
      <w:r w:rsidRPr="005F4991">
        <w:rPr>
          <w:rFonts w:ascii="Times New Roman" w:hAnsi="Times New Roman" w:cs="Times New Roman"/>
          <w:sz w:val="24"/>
          <w:szCs w:val="24"/>
        </w:rPr>
        <w:t xml:space="preserve"> Groupe GAFI </w:t>
      </w:r>
      <w:r>
        <w:rPr>
          <w:rFonts w:ascii="Times New Roman" w:hAnsi="Times New Roman" w:cs="Times New Roman"/>
          <w:sz w:val="24"/>
          <w:szCs w:val="24"/>
        </w:rPr>
        <w:t>avec ses 49</w:t>
      </w:r>
      <w:r w:rsidRPr="005F4991">
        <w:rPr>
          <w:rFonts w:ascii="Times New Roman" w:hAnsi="Times New Roman" w:cs="Times New Roman"/>
          <w:sz w:val="24"/>
          <w:szCs w:val="24"/>
        </w:rPr>
        <w:t xml:space="preserve"> recommandations de lutte contre le blanchiment d’argent et </w:t>
      </w:r>
      <w:r w:rsidRPr="005F4991">
        <w:rPr>
          <w:rFonts w:ascii="Times New Roman" w:hAnsi="Times New Roman" w:cs="Times New Roman"/>
          <w:color w:val="000000"/>
          <w:sz w:val="24"/>
          <w:szCs w:val="24"/>
        </w:rPr>
        <w:t>le fin</w:t>
      </w:r>
      <w:r>
        <w:rPr>
          <w:rFonts w:ascii="Times New Roman" w:hAnsi="Times New Roman" w:cs="Times New Roman"/>
          <w:color w:val="000000"/>
          <w:sz w:val="24"/>
          <w:szCs w:val="24"/>
        </w:rPr>
        <w:t>ancement du terrorisme constituent,</w:t>
      </w:r>
      <w:r w:rsidRPr="005F4991">
        <w:rPr>
          <w:rFonts w:ascii="Times New Roman" w:hAnsi="Times New Roman" w:cs="Times New Roman"/>
          <w:color w:val="000000"/>
          <w:sz w:val="24"/>
          <w:szCs w:val="24"/>
        </w:rPr>
        <w:t xml:space="preserve"> théoriquement</w:t>
      </w:r>
      <w:r>
        <w:rPr>
          <w:rFonts w:ascii="Times New Roman" w:hAnsi="Times New Roman" w:cs="Times New Roman"/>
          <w:color w:val="000000"/>
          <w:sz w:val="24"/>
          <w:szCs w:val="24"/>
        </w:rPr>
        <w:t>,</w:t>
      </w:r>
      <w:r w:rsidRPr="005F4991">
        <w:rPr>
          <w:rFonts w:ascii="Times New Roman" w:hAnsi="Times New Roman" w:cs="Times New Roman"/>
          <w:color w:val="000000"/>
          <w:sz w:val="24"/>
          <w:szCs w:val="24"/>
        </w:rPr>
        <w:t xml:space="preserve"> la base juridique de notre réglementation nationale</w:t>
      </w:r>
      <w:r>
        <w:rPr>
          <w:rFonts w:ascii="Times New Roman" w:hAnsi="Times New Roman" w:cs="Times New Roman"/>
          <w:color w:val="000000"/>
          <w:sz w:val="24"/>
          <w:szCs w:val="24"/>
        </w:rPr>
        <w:t xml:space="preserve"> </w:t>
      </w:r>
      <w:r w:rsidRPr="005F4991">
        <w:rPr>
          <w:rFonts w:ascii="Times New Roman" w:hAnsi="Times New Roman" w:cs="Times New Roman"/>
          <w:color w:val="000000"/>
          <w:sz w:val="24"/>
          <w:szCs w:val="24"/>
        </w:rPr>
        <w:t>qui</w:t>
      </w:r>
      <w:r>
        <w:rPr>
          <w:rFonts w:ascii="Times New Roman" w:hAnsi="Times New Roman" w:cs="Times New Roman"/>
          <w:color w:val="000000"/>
          <w:sz w:val="24"/>
          <w:szCs w:val="24"/>
        </w:rPr>
        <w:t xml:space="preserve"> représente, en principe, </w:t>
      </w:r>
      <w:r w:rsidRPr="005F4991">
        <w:rPr>
          <w:rFonts w:ascii="Times New Roman" w:hAnsi="Times New Roman" w:cs="Times New Roman"/>
          <w:color w:val="000000"/>
          <w:sz w:val="24"/>
          <w:szCs w:val="24"/>
        </w:rPr>
        <w:t>l’outil de référence de tous les dispositifs bancaires de lutte contre le blanchiment d’argent en Algérie</w:t>
      </w:r>
      <w:r>
        <w:rPr>
          <w:rFonts w:ascii="Times New Roman" w:hAnsi="Times New Roman" w:cs="Times New Roman"/>
          <w:color w:val="000000"/>
          <w:sz w:val="24"/>
          <w:szCs w:val="24"/>
        </w:rPr>
        <w:t xml:space="preserve">. C’est dans </w:t>
      </w:r>
      <w:r>
        <w:rPr>
          <w:rFonts w:ascii="Times New Roman" w:hAnsi="Times New Roman" w:cs="Times New Roman"/>
          <w:sz w:val="24"/>
          <w:szCs w:val="24"/>
        </w:rPr>
        <w:t>cette logique qu’</w:t>
      </w:r>
      <w:r w:rsidRPr="005F4991">
        <w:rPr>
          <w:rFonts w:ascii="Times New Roman" w:hAnsi="Times New Roman" w:cs="Times New Roman"/>
          <w:sz w:val="24"/>
          <w:szCs w:val="24"/>
        </w:rPr>
        <w:t>on a essayé de répondre</w:t>
      </w:r>
      <w:r>
        <w:rPr>
          <w:rFonts w:ascii="Times New Roman" w:hAnsi="Times New Roman" w:cs="Times New Roman"/>
          <w:sz w:val="24"/>
          <w:szCs w:val="24"/>
        </w:rPr>
        <w:t>,</w:t>
      </w:r>
      <w:r w:rsidRPr="005F4991">
        <w:rPr>
          <w:rFonts w:ascii="Times New Roman" w:hAnsi="Times New Roman" w:cs="Times New Roman"/>
          <w:sz w:val="24"/>
          <w:szCs w:val="24"/>
        </w:rPr>
        <w:t xml:space="preserve"> à travers le présent travail</w:t>
      </w:r>
      <w:r>
        <w:rPr>
          <w:rFonts w:ascii="Times New Roman" w:hAnsi="Times New Roman" w:cs="Times New Roman"/>
          <w:sz w:val="24"/>
          <w:szCs w:val="24"/>
        </w:rPr>
        <w:t>,</w:t>
      </w:r>
      <w:r w:rsidRPr="005F4991">
        <w:rPr>
          <w:rFonts w:ascii="Times New Roman" w:hAnsi="Times New Roman" w:cs="Times New Roman"/>
          <w:sz w:val="24"/>
          <w:szCs w:val="24"/>
        </w:rPr>
        <w:t xml:space="preserve"> à la problématique de la transposition des recommandations du GAFI dans la réglementation algérienne et à la démarche à entreprendre pour évaluer la qualité et l’efficacité </w:t>
      </w:r>
      <w:r>
        <w:rPr>
          <w:rFonts w:ascii="Times New Roman" w:hAnsi="Times New Roman" w:cs="Times New Roman"/>
          <w:sz w:val="24"/>
          <w:szCs w:val="24"/>
        </w:rPr>
        <w:t xml:space="preserve">d’un </w:t>
      </w:r>
      <w:r w:rsidRPr="005F4991">
        <w:rPr>
          <w:rFonts w:ascii="Times New Roman" w:hAnsi="Times New Roman" w:cs="Times New Roman"/>
          <w:sz w:val="24"/>
          <w:szCs w:val="24"/>
        </w:rPr>
        <w:t xml:space="preserve">dispositif bancaire </w:t>
      </w:r>
      <w:r>
        <w:rPr>
          <w:rFonts w:ascii="Times New Roman" w:hAnsi="Times New Roman" w:cs="Times New Roman"/>
          <w:sz w:val="24"/>
          <w:szCs w:val="24"/>
        </w:rPr>
        <w:t xml:space="preserve">algérien </w:t>
      </w:r>
      <w:r w:rsidRPr="005F4991">
        <w:rPr>
          <w:rFonts w:ascii="Times New Roman" w:hAnsi="Times New Roman" w:cs="Times New Roman"/>
          <w:sz w:val="24"/>
          <w:szCs w:val="24"/>
        </w:rPr>
        <w:t xml:space="preserve">de lutte contre le blanchiment d’argent. </w:t>
      </w:r>
    </w:p>
    <w:p w:rsidR="00E105F0" w:rsidRPr="001A5FBA" w:rsidRDefault="00E105F0" w:rsidP="00E105F0">
      <w:pPr>
        <w:spacing w:line="360" w:lineRule="auto"/>
        <w:ind w:firstLine="426"/>
        <w:jc w:val="both"/>
        <w:rPr>
          <w:rFonts w:ascii="Times New Roman" w:hAnsi="Times New Roman" w:cs="Times New Roman"/>
          <w:bCs/>
          <w:sz w:val="24"/>
          <w:szCs w:val="24"/>
        </w:rPr>
      </w:pPr>
      <w:r w:rsidRPr="005F4991">
        <w:rPr>
          <w:rFonts w:ascii="Times New Roman" w:hAnsi="Times New Roman" w:cs="Times New Roman"/>
          <w:sz w:val="24"/>
          <w:szCs w:val="24"/>
        </w:rPr>
        <w:t xml:space="preserve">A cet effet, quatre  chapitres ont été développés au cours de ce travail afin de </w:t>
      </w:r>
      <w:r w:rsidRPr="001A5FBA">
        <w:rPr>
          <w:rFonts w:ascii="Times New Roman" w:hAnsi="Times New Roman" w:cs="Times New Roman"/>
          <w:sz w:val="24"/>
          <w:szCs w:val="24"/>
        </w:rPr>
        <w:t>situer le débat sur la problématique centrale et d'en sortir avec des enseignements plausibles.</w:t>
      </w:r>
      <w:r w:rsidRPr="001A5FBA">
        <w:rPr>
          <w:rFonts w:ascii="Times New Roman" w:hAnsi="Times New Roman" w:cs="Times New Roman"/>
          <w:bCs/>
          <w:sz w:val="24"/>
          <w:szCs w:val="24"/>
        </w:rPr>
        <w:t xml:space="preserve"> Pour atteindre les objectifs assignés à cette étude, </w:t>
      </w:r>
      <w:r>
        <w:rPr>
          <w:rFonts w:ascii="Times New Roman" w:hAnsi="Times New Roman" w:cs="Times New Roman"/>
          <w:bCs/>
          <w:sz w:val="24"/>
          <w:szCs w:val="24"/>
        </w:rPr>
        <w:t xml:space="preserve">nous avons formulé </w:t>
      </w:r>
      <w:r w:rsidRPr="001A5FBA">
        <w:rPr>
          <w:rFonts w:ascii="Times New Roman" w:hAnsi="Times New Roman" w:cs="Times New Roman"/>
          <w:bCs/>
          <w:sz w:val="24"/>
          <w:szCs w:val="24"/>
        </w:rPr>
        <w:t>quelques hypothèses de travail qui nous ont permis d'appréhender l'ensemble des éléments liés à la lutte contre le blanchiment d’argent.</w:t>
      </w:r>
    </w:p>
    <w:p w:rsidR="00E105F0" w:rsidRPr="005F4991" w:rsidRDefault="00E105F0" w:rsidP="005D277D">
      <w:pPr>
        <w:tabs>
          <w:tab w:val="left" w:pos="284"/>
          <w:tab w:val="left" w:pos="426"/>
        </w:tabs>
        <w:spacing w:after="0" w:line="360" w:lineRule="auto"/>
        <w:jc w:val="both"/>
        <w:rPr>
          <w:rFonts w:ascii="Times New Roman" w:hAnsi="Times New Roman" w:cs="Times New Roman"/>
          <w:bCs/>
          <w:sz w:val="24"/>
          <w:szCs w:val="24"/>
        </w:rPr>
      </w:pPr>
      <w:r w:rsidRPr="001A5FBA">
        <w:rPr>
          <w:rFonts w:ascii="Times New Roman" w:hAnsi="Times New Roman" w:cs="Times New Roman"/>
          <w:sz w:val="24"/>
          <w:szCs w:val="24"/>
        </w:rPr>
        <w:lastRenderedPageBreak/>
        <w:t xml:space="preserve"> </w:t>
      </w:r>
      <w:r w:rsidR="00CE3B98">
        <w:rPr>
          <w:rFonts w:ascii="Times New Roman" w:hAnsi="Times New Roman" w:cs="Times New Roman"/>
          <w:bCs/>
          <w:sz w:val="24"/>
          <w:szCs w:val="24"/>
        </w:rPr>
        <w:t xml:space="preserve">     </w:t>
      </w:r>
      <w:r w:rsidRPr="001A5FBA">
        <w:rPr>
          <w:rFonts w:ascii="Times New Roman" w:hAnsi="Times New Roman" w:cs="Times New Roman"/>
          <w:bCs/>
          <w:sz w:val="24"/>
          <w:szCs w:val="24"/>
        </w:rPr>
        <w:t>Les résultats obtenus à travers l'étude des deux premiers c</w:t>
      </w:r>
      <w:r w:rsidRPr="001A5FBA">
        <w:rPr>
          <w:rFonts w:ascii="Times New Roman" w:hAnsi="Times New Roman" w:cs="Times New Roman"/>
          <w:bCs/>
          <w:color w:val="000000"/>
          <w:sz w:val="24"/>
          <w:szCs w:val="24"/>
        </w:rPr>
        <w:t>hap</w:t>
      </w:r>
      <w:r w:rsidRPr="001A5FBA">
        <w:rPr>
          <w:rFonts w:ascii="Times New Roman" w:hAnsi="Times New Roman" w:cs="Times New Roman"/>
          <w:bCs/>
          <w:sz w:val="24"/>
          <w:szCs w:val="24"/>
        </w:rPr>
        <w:t>itres théoriques peuvent  être r</w:t>
      </w:r>
      <w:r>
        <w:rPr>
          <w:rFonts w:ascii="Times New Roman" w:hAnsi="Times New Roman" w:cs="Times New Roman"/>
          <w:bCs/>
          <w:sz w:val="24"/>
          <w:szCs w:val="24"/>
        </w:rPr>
        <w:t>ésumés dans les points suivants</w:t>
      </w:r>
      <w:r w:rsidRPr="001A5FBA">
        <w:rPr>
          <w:rFonts w:ascii="Times New Roman" w:hAnsi="Times New Roman" w:cs="Times New Roman"/>
          <w:bCs/>
          <w:sz w:val="24"/>
          <w:szCs w:val="24"/>
        </w:rPr>
        <w:t>:</w:t>
      </w:r>
    </w:p>
    <w:p w:rsidR="00E105F0" w:rsidRPr="005F4991" w:rsidRDefault="00E105F0" w:rsidP="00E105F0">
      <w:pPr>
        <w:numPr>
          <w:ilvl w:val="0"/>
          <w:numId w:val="5"/>
        </w:numPr>
        <w:spacing w:line="360" w:lineRule="auto"/>
        <w:jc w:val="both"/>
        <w:rPr>
          <w:rFonts w:ascii="Times New Roman" w:hAnsi="Times New Roman" w:cs="Times New Roman"/>
          <w:sz w:val="24"/>
          <w:szCs w:val="24"/>
        </w:rPr>
      </w:pPr>
      <w:r w:rsidRPr="005F4991">
        <w:rPr>
          <w:rFonts w:ascii="Times New Roman" w:hAnsi="Times New Roman" w:cs="Times New Roman"/>
          <w:sz w:val="24"/>
          <w:szCs w:val="24"/>
        </w:rPr>
        <w:t>Le blanchiment d’argent peut se définir comme étant un ensemble d’opérations tendant à la dissimulation de l’origine des fonds provenant d’activités criminelles « argent sale » afin de leur donner une apparence légale « argent propre ».</w:t>
      </w:r>
    </w:p>
    <w:p w:rsidR="00E105F0" w:rsidRPr="005F4991" w:rsidRDefault="00E105F0" w:rsidP="00E105F0">
      <w:pPr>
        <w:numPr>
          <w:ilvl w:val="0"/>
          <w:numId w:val="5"/>
        </w:numPr>
        <w:spacing w:line="360" w:lineRule="auto"/>
        <w:jc w:val="both"/>
        <w:rPr>
          <w:rFonts w:ascii="Times New Roman" w:hAnsi="Times New Roman" w:cs="Times New Roman"/>
          <w:sz w:val="24"/>
          <w:szCs w:val="24"/>
        </w:rPr>
      </w:pPr>
      <w:r w:rsidRPr="005F4991">
        <w:rPr>
          <w:rFonts w:ascii="Times New Roman" w:hAnsi="Times New Roman" w:cs="Times New Roman"/>
          <w:sz w:val="24"/>
          <w:szCs w:val="24"/>
        </w:rPr>
        <w:t>Le blanchiment d’argent prend un essor phénoménal et de</w:t>
      </w:r>
      <w:r>
        <w:rPr>
          <w:rFonts w:ascii="Times New Roman" w:hAnsi="Times New Roman" w:cs="Times New Roman"/>
          <w:sz w:val="24"/>
          <w:szCs w:val="24"/>
        </w:rPr>
        <w:t>vient de plus en plus important,</w:t>
      </w:r>
      <w:r w:rsidRPr="005F4991">
        <w:rPr>
          <w:rFonts w:ascii="Times New Roman" w:hAnsi="Times New Roman" w:cs="Times New Roman"/>
          <w:sz w:val="24"/>
          <w:szCs w:val="24"/>
        </w:rPr>
        <w:t xml:space="preserve"> </w:t>
      </w:r>
      <w:r>
        <w:rPr>
          <w:rFonts w:ascii="Times New Roman" w:hAnsi="Times New Roman" w:cs="Times New Roman"/>
          <w:sz w:val="24"/>
          <w:szCs w:val="24"/>
        </w:rPr>
        <w:t>en offrant</w:t>
      </w:r>
      <w:r w:rsidRPr="005F4991">
        <w:rPr>
          <w:rFonts w:ascii="Times New Roman" w:hAnsi="Times New Roman" w:cs="Times New Roman"/>
          <w:sz w:val="24"/>
          <w:szCs w:val="24"/>
        </w:rPr>
        <w:t xml:space="preserve"> à ses acteurs un moyen par excellence pour dissimuler l’origine de l’argent sale  qui provient de leurs actes criminels</w:t>
      </w:r>
      <w:r>
        <w:rPr>
          <w:rFonts w:ascii="Times New Roman" w:hAnsi="Times New Roman" w:cs="Times New Roman"/>
          <w:sz w:val="24"/>
          <w:szCs w:val="24"/>
        </w:rPr>
        <w:t> ;</w:t>
      </w:r>
    </w:p>
    <w:p w:rsidR="00E105F0" w:rsidRPr="005F4991" w:rsidRDefault="00E105F0" w:rsidP="00E105F0">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5F4991">
        <w:rPr>
          <w:rFonts w:ascii="Times New Roman" w:hAnsi="Times New Roman" w:cs="Times New Roman"/>
          <w:sz w:val="24"/>
          <w:szCs w:val="24"/>
        </w:rPr>
        <w:t>outes les définitions subordonnent l’action de blanchir</w:t>
      </w:r>
      <w:r>
        <w:rPr>
          <w:rFonts w:ascii="Times New Roman" w:hAnsi="Times New Roman" w:cs="Times New Roman"/>
          <w:sz w:val="24"/>
          <w:szCs w:val="24"/>
        </w:rPr>
        <w:t xml:space="preserve"> à l’origine illicite des fonds. Les spécialistes en la matière</w:t>
      </w:r>
      <w:r w:rsidRPr="005F4991">
        <w:rPr>
          <w:rFonts w:ascii="Times New Roman" w:hAnsi="Times New Roman" w:cs="Times New Roman"/>
          <w:sz w:val="24"/>
          <w:szCs w:val="24"/>
        </w:rPr>
        <w:t xml:space="preserve"> </w:t>
      </w:r>
      <w:r>
        <w:rPr>
          <w:rFonts w:ascii="Times New Roman" w:hAnsi="Times New Roman" w:cs="Times New Roman"/>
          <w:sz w:val="24"/>
          <w:szCs w:val="24"/>
        </w:rPr>
        <w:t xml:space="preserve">affirment que le </w:t>
      </w:r>
      <w:r w:rsidRPr="005F4991">
        <w:rPr>
          <w:rFonts w:ascii="Times New Roman" w:hAnsi="Times New Roman" w:cs="Times New Roman"/>
          <w:sz w:val="24"/>
          <w:szCs w:val="24"/>
        </w:rPr>
        <w:t>blanchiment d’argent en tant que délit es</w:t>
      </w:r>
      <w:r>
        <w:rPr>
          <w:rFonts w:ascii="Times New Roman" w:hAnsi="Times New Roman" w:cs="Times New Roman"/>
          <w:sz w:val="24"/>
          <w:szCs w:val="24"/>
        </w:rPr>
        <w:t>t une infraction de conséquence ;</w:t>
      </w:r>
      <w:r w:rsidRPr="005F4991">
        <w:rPr>
          <w:rFonts w:ascii="Times New Roman" w:hAnsi="Times New Roman" w:cs="Times New Roman"/>
          <w:sz w:val="24"/>
          <w:szCs w:val="24"/>
        </w:rPr>
        <w:t xml:space="preserve"> </w:t>
      </w:r>
    </w:p>
    <w:p w:rsidR="00E105F0" w:rsidRPr="005F4991" w:rsidRDefault="00E105F0" w:rsidP="00E105F0">
      <w:pPr>
        <w:numPr>
          <w:ilvl w:val="0"/>
          <w:numId w:val="5"/>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w:t>
      </w:r>
      <w:r w:rsidRPr="005F4991">
        <w:rPr>
          <w:rFonts w:ascii="Times New Roman" w:hAnsi="Times New Roman" w:cs="Times New Roman"/>
          <w:color w:val="000000"/>
          <w:sz w:val="24"/>
          <w:szCs w:val="24"/>
        </w:rPr>
        <w:t>l ressort aussi de l’étude</w:t>
      </w:r>
      <w:r>
        <w:rPr>
          <w:rFonts w:ascii="Times New Roman" w:hAnsi="Times New Roman" w:cs="Times New Roman"/>
          <w:color w:val="000000"/>
          <w:sz w:val="24"/>
          <w:szCs w:val="24"/>
        </w:rPr>
        <w:t xml:space="preserve"> qu’aucun </w:t>
      </w:r>
      <w:r w:rsidRPr="005F4991">
        <w:rPr>
          <w:rFonts w:ascii="Times New Roman" w:hAnsi="Times New Roman" w:cs="Times New Roman"/>
          <w:color w:val="000000"/>
          <w:sz w:val="24"/>
          <w:szCs w:val="24"/>
        </w:rPr>
        <w:t xml:space="preserve">pays n’est à l’abri des actes criminels internationaux et de leurs infractions de conséquence à savoir, le blanchiment d’argent. </w:t>
      </w:r>
      <w:r>
        <w:rPr>
          <w:rFonts w:ascii="Times New Roman" w:hAnsi="Times New Roman" w:cs="Times New Roman"/>
          <w:color w:val="000000"/>
          <w:sz w:val="24"/>
          <w:szCs w:val="24"/>
        </w:rPr>
        <w:t>Dès lors</w:t>
      </w:r>
      <w:r w:rsidRPr="005F4991">
        <w:rPr>
          <w:rFonts w:ascii="Times New Roman" w:hAnsi="Times New Roman" w:cs="Times New Roman"/>
          <w:color w:val="000000"/>
          <w:sz w:val="24"/>
          <w:szCs w:val="24"/>
        </w:rPr>
        <w:t xml:space="preserve">, la grande majorité des pays dans le monde se sont mobilisés pour combattre ce fléau en adoptant des réglementations </w:t>
      </w:r>
      <w:r>
        <w:rPr>
          <w:rFonts w:ascii="Times New Roman" w:hAnsi="Times New Roman" w:cs="Times New Roman"/>
          <w:color w:val="000000"/>
          <w:sz w:val="24"/>
          <w:szCs w:val="24"/>
        </w:rPr>
        <w:t>qui s’</w:t>
      </w:r>
      <w:r w:rsidRPr="005F4991">
        <w:rPr>
          <w:rFonts w:ascii="Times New Roman" w:hAnsi="Times New Roman" w:cs="Times New Roman"/>
          <w:color w:val="000000"/>
          <w:sz w:val="24"/>
          <w:szCs w:val="24"/>
        </w:rPr>
        <w:t>inspir</w:t>
      </w:r>
      <w:r>
        <w:rPr>
          <w:rFonts w:ascii="Times New Roman" w:hAnsi="Times New Roman" w:cs="Times New Roman"/>
          <w:color w:val="000000"/>
          <w:sz w:val="24"/>
          <w:szCs w:val="24"/>
        </w:rPr>
        <w:t>e</w:t>
      </w:r>
      <w:r w:rsidRPr="005F4991">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s</w:t>
      </w:r>
      <w:r w:rsidRPr="005F4991">
        <w:rPr>
          <w:rFonts w:ascii="Times New Roman" w:hAnsi="Times New Roman" w:cs="Times New Roman"/>
          <w:color w:val="000000"/>
          <w:sz w:val="24"/>
          <w:szCs w:val="24"/>
        </w:rPr>
        <w:t xml:space="preserve"> normes internationales, recommandées principalement par le GAFI.  </w:t>
      </w:r>
    </w:p>
    <w:p w:rsidR="00E105F0" w:rsidRPr="000344C0" w:rsidRDefault="00E105F0" w:rsidP="00E105F0">
      <w:pPr>
        <w:numPr>
          <w:ilvl w:val="0"/>
          <w:numId w:val="5"/>
        </w:numPr>
        <w:autoSpaceDE w:val="0"/>
        <w:autoSpaceDN w:val="0"/>
        <w:adjustRightInd w:val="0"/>
        <w:spacing w:line="360" w:lineRule="auto"/>
        <w:jc w:val="both"/>
        <w:rPr>
          <w:rFonts w:ascii="Times New Roman" w:hAnsi="Times New Roman" w:cs="Times New Roman"/>
          <w:sz w:val="24"/>
          <w:szCs w:val="24"/>
        </w:rPr>
      </w:pPr>
      <w:r w:rsidRPr="005F4991">
        <w:rPr>
          <w:rFonts w:ascii="Times New Roman" w:hAnsi="Times New Roman" w:cs="Times New Roman"/>
          <w:sz w:val="24"/>
          <w:szCs w:val="24"/>
        </w:rPr>
        <w:t>Le GAFI a publié en 1990,</w:t>
      </w:r>
      <w:r>
        <w:rPr>
          <w:rFonts w:ascii="Times New Roman" w:hAnsi="Times New Roman" w:cs="Times New Roman"/>
          <w:sz w:val="24"/>
          <w:szCs w:val="24"/>
        </w:rPr>
        <w:t xml:space="preserve"> puis révisé en 1996, quarante r</w:t>
      </w:r>
      <w:r w:rsidRPr="005F4991">
        <w:rPr>
          <w:rFonts w:ascii="Times New Roman" w:hAnsi="Times New Roman" w:cs="Times New Roman"/>
          <w:sz w:val="24"/>
          <w:szCs w:val="24"/>
        </w:rPr>
        <w:t>ecommandations concernant les mesures que les gouvernements devraient mettre en œuvre sur le plan juridique, en matière de réglementation financière</w:t>
      </w:r>
      <w:r>
        <w:rPr>
          <w:rFonts w:ascii="Times New Roman" w:hAnsi="Times New Roman" w:cs="Times New Roman"/>
          <w:sz w:val="24"/>
          <w:szCs w:val="24"/>
        </w:rPr>
        <w:t xml:space="preserve"> </w:t>
      </w:r>
      <w:r w:rsidRPr="005F4991">
        <w:rPr>
          <w:rFonts w:ascii="Times New Roman" w:hAnsi="Times New Roman" w:cs="Times New Roman"/>
          <w:sz w:val="24"/>
          <w:szCs w:val="24"/>
        </w:rPr>
        <w:t xml:space="preserve">pour </w:t>
      </w:r>
      <w:r>
        <w:rPr>
          <w:rFonts w:ascii="Times New Roman" w:hAnsi="Times New Roman" w:cs="Times New Roman"/>
          <w:sz w:val="24"/>
          <w:szCs w:val="24"/>
        </w:rPr>
        <w:t xml:space="preserve">une lutte harmonisée et efficace </w:t>
      </w:r>
      <w:r w:rsidRPr="005F4991">
        <w:rPr>
          <w:rFonts w:ascii="Times New Roman" w:hAnsi="Times New Roman" w:cs="Times New Roman"/>
          <w:sz w:val="24"/>
          <w:szCs w:val="24"/>
        </w:rPr>
        <w:t>contre le blanchi</w:t>
      </w:r>
      <w:r>
        <w:rPr>
          <w:rFonts w:ascii="Times New Roman" w:hAnsi="Times New Roman" w:cs="Times New Roman"/>
          <w:sz w:val="24"/>
          <w:szCs w:val="24"/>
        </w:rPr>
        <w:t>ment de capitaux. Les quarante r</w:t>
      </w:r>
      <w:r w:rsidRPr="005F4991">
        <w:rPr>
          <w:rFonts w:ascii="Times New Roman" w:hAnsi="Times New Roman" w:cs="Times New Roman"/>
          <w:sz w:val="24"/>
          <w:szCs w:val="24"/>
        </w:rPr>
        <w:t xml:space="preserve">ecommandations du GAFI sont devenues une référence internationalement acceptée dans ce domaine. </w:t>
      </w:r>
    </w:p>
    <w:p w:rsidR="00E105F0" w:rsidRDefault="00E105F0" w:rsidP="00E105F0">
      <w:pPr>
        <w:pStyle w:val="Paragraphedeliste"/>
        <w:autoSpaceDE w:val="0"/>
        <w:autoSpaceDN w:val="0"/>
        <w:adjustRightInd w:val="0"/>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Les</w:t>
      </w:r>
      <w:r w:rsidRPr="005F4991">
        <w:rPr>
          <w:rFonts w:ascii="Times New Roman" w:hAnsi="Times New Roman" w:cs="Times New Roman"/>
          <w:sz w:val="24"/>
          <w:szCs w:val="24"/>
        </w:rPr>
        <w:t xml:space="preserve"> résultats</w:t>
      </w:r>
      <w:r>
        <w:rPr>
          <w:rFonts w:ascii="Times New Roman" w:hAnsi="Times New Roman" w:cs="Times New Roman"/>
          <w:sz w:val="24"/>
          <w:szCs w:val="24"/>
        </w:rPr>
        <w:t xml:space="preserve"> avancés et obtenus suite à notre étude </w:t>
      </w:r>
      <w:r w:rsidRPr="005F4991">
        <w:rPr>
          <w:rFonts w:ascii="Times New Roman" w:hAnsi="Times New Roman" w:cs="Times New Roman"/>
          <w:sz w:val="24"/>
          <w:szCs w:val="24"/>
        </w:rPr>
        <w:t>confirment les trois hypothèses présentées dans l'introduction générale.</w:t>
      </w:r>
    </w:p>
    <w:p w:rsidR="00E105F0" w:rsidRDefault="00E105F0" w:rsidP="00E105F0">
      <w:pPr>
        <w:spacing w:line="360" w:lineRule="auto"/>
        <w:ind w:firstLine="426"/>
        <w:jc w:val="both"/>
        <w:rPr>
          <w:rFonts w:ascii="Times New Roman" w:hAnsi="Times New Roman" w:cs="Times New Roman"/>
          <w:sz w:val="24"/>
          <w:szCs w:val="24"/>
        </w:rPr>
      </w:pPr>
      <w:r w:rsidRPr="005F4991">
        <w:rPr>
          <w:rFonts w:ascii="Times New Roman" w:hAnsi="Times New Roman" w:cs="Times New Roman"/>
          <w:sz w:val="24"/>
          <w:szCs w:val="24"/>
        </w:rPr>
        <w:t>En ce qui concerne la première partie de la problématique centrale</w:t>
      </w:r>
      <w:r w:rsidRPr="005F4991">
        <w:rPr>
          <w:rFonts w:ascii="Times New Roman" w:hAnsi="Times New Roman" w:cs="Times New Roman"/>
          <w:bCs/>
          <w:sz w:val="24"/>
          <w:szCs w:val="24"/>
        </w:rPr>
        <w:t xml:space="preserve">, </w:t>
      </w:r>
      <w:r>
        <w:rPr>
          <w:rFonts w:ascii="Times New Roman" w:hAnsi="Times New Roman" w:cs="Times New Roman"/>
          <w:bCs/>
          <w:sz w:val="24"/>
          <w:szCs w:val="24"/>
        </w:rPr>
        <w:t xml:space="preserve">elle a été abordée dans le </w:t>
      </w:r>
      <w:r w:rsidRPr="005F4991">
        <w:rPr>
          <w:rFonts w:ascii="Times New Roman" w:hAnsi="Times New Roman" w:cs="Times New Roman"/>
          <w:bCs/>
          <w:sz w:val="24"/>
          <w:szCs w:val="24"/>
        </w:rPr>
        <w:t xml:space="preserve">troisième chapitre </w:t>
      </w:r>
      <w:r>
        <w:rPr>
          <w:rFonts w:ascii="Times New Roman" w:hAnsi="Times New Roman" w:cs="Times New Roman"/>
          <w:bCs/>
          <w:sz w:val="24"/>
          <w:szCs w:val="24"/>
        </w:rPr>
        <w:t xml:space="preserve">qui </w:t>
      </w:r>
      <w:r w:rsidRPr="005F4991">
        <w:rPr>
          <w:rFonts w:ascii="Times New Roman" w:hAnsi="Times New Roman" w:cs="Times New Roman"/>
          <w:sz w:val="24"/>
          <w:szCs w:val="24"/>
        </w:rPr>
        <w:t>nous a permis de définir les différentes mesures de vigilances recommandées par le GAFI opposable</w:t>
      </w:r>
      <w:r>
        <w:rPr>
          <w:rFonts w:ascii="Times New Roman" w:hAnsi="Times New Roman" w:cs="Times New Roman"/>
          <w:sz w:val="24"/>
          <w:szCs w:val="24"/>
        </w:rPr>
        <w:t>s</w:t>
      </w:r>
      <w:r w:rsidRPr="005F4991">
        <w:rPr>
          <w:rFonts w:ascii="Times New Roman" w:hAnsi="Times New Roman" w:cs="Times New Roman"/>
          <w:sz w:val="24"/>
          <w:szCs w:val="24"/>
        </w:rPr>
        <w:t xml:space="preserve"> aux banques et</w:t>
      </w:r>
      <w:r>
        <w:rPr>
          <w:rFonts w:ascii="Times New Roman" w:hAnsi="Times New Roman" w:cs="Times New Roman"/>
          <w:sz w:val="24"/>
          <w:szCs w:val="24"/>
        </w:rPr>
        <w:t xml:space="preserve"> de vérifier </w:t>
      </w:r>
      <w:r w:rsidRPr="005F4991">
        <w:rPr>
          <w:rFonts w:ascii="Times New Roman" w:hAnsi="Times New Roman" w:cs="Times New Roman"/>
          <w:sz w:val="24"/>
          <w:szCs w:val="24"/>
        </w:rPr>
        <w:t xml:space="preserve">leur transposition dans la réglementation </w:t>
      </w:r>
      <w:r>
        <w:rPr>
          <w:rFonts w:ascii="Times New Roman" w:hAnsi="Times New Roman" w:cs="Times New Roman"/>
          <w:sz w:val="24"/>
          <w:szCs w:val="24"/>
        </w:rPr>
        <w:t>algérienne. Dans un premier temps</w:t>
      </w:r>
      <w:r w:rsidRPr="005F4991">
        <w:rPr>
          <w:rFonts w:ascii="Times New Roman" w:hAnsi="Times New Roman" w:cs="Times New Roman"/>
          <w:sz w:val="24"/>
          <w:szCs w:val="24"/>
        </w:rPr>
        <w:t xml:space="preserve">, il </w:t>
      </w:r>
      <w:r>
        <w:rPr>
          <w:rFonts w:ascii="Times New Roman" w:hAnsi="Times New Roman" w:cs="Times New Roman"/>
          <w:sz w:val="24"/>
          <w:szCs w:val="24"/>
        </w:rPr>
        <w:t>est à constater</w:t>
      </w:r>
      <w:r w:rsidRPr="005F4991">
        <w:rPr>
          <w:rFonts w:ascii="Times New Roman" w:hAnsi="Times New Roman" w:cs="Times New Roman"/>
          <w:sz w:val="24"/>
          <w:szCs w:val="24"/>
        </w:rPr>
        <w:t xml:space="preserve"> qu’afin d’atténuer le risque lié au blanchiment d’argent et au financement du terrorisme</w:t>
      </w:r>
      <w:r>
        <w:rPr>
          <w:rFonts w:ascii="Times New Roman" w:hAnsi="Times New Roman" w:cs="Times New Roman"/>
          <w:bCs/>
          <w:sz w:val="24"/>
          <w:szCs w:val="24"/>
        </w:rPr>
        <w:t>,</w:t>
      </w:r>
      <w:r w:rsidRPr="005F4991">
        <w:rPr>
          <w:rFonts w:ascii="Times New Roman" w:hAnsi="Times New Roman" w:cs="Times New Roman"/>
          <w:bCs/>
          <w:sz w:val="24"/>
          <w:szCs w:val="24"/>
        </w:rPr>
        <w:t xml:space="preserve"> </w:t>
      </w:r>
      <w:r w:rsidRPr="005F4991">
        <w:rPr>
          <w:rFonts w:ascii="Times New Roman" w:hAnsi="Times New Roman" w:cs="Times New Roman"/>
          <w:sz w:val="24"/>
          <w:szCs w:val="24"/>
        </w:rPr>
        <w:t xml:space="preserve">il est recommandé aux banques d’adopter les mesures </w:t>
      </w:r>
      <w:r>
        <w:rPr>
          <w:rFonts w:ascii="Times New Roman" w:hAnsi="Times New Roman" w:cs="Times New Roman"/>
          <w:sz w:val="24"/>
          <w:szCs w:val="24"/>
        </w:rPr>
        <w:t>de vigilance mentionnées ci-après</w:t>
      </w:r>
      <w:r w:rsidRPr="005F4991">
        <w:rPr>
          <w:rFonts w:ascii="Times New Roman" w:hAnsi="Times New Roman" w:cs="Times New Roman"/>
          <w:sz w:val="24"/>
          <w:szCs w:val="24"/>
        </w:rPr>
        <w:t>:</w:t>
      </w:r>
      <w:r>
        <w:rPr>
          <w:rFonts w:ascii="Times New Roman" w:hAnsi="Times New Roman" w:cs="Times New Roman"/>
          <w:sz w:val="24"/>
          <w:szCs w:val="24"/>
        </w:rPr>
        <w:t xml:space="preserve"> </w:t>
      </w:r>
    </w:p>
    <w:p w:rsidR="00E105F0" w:rsidRPr="00B65E2B" w:rsidRDefault="00E105F0" w:rsidP="005D277D">
      <w:pPr>
        <w:numPr>
          <w:ilvl w:val="0"/>
          <w:numId w:val="3"/>
        </w:numPr>
        <w:autoSpaceDE w:val="0"/>
        <w:autoSpaceDN w:val="0"/>
        <w:adjustRightInd w:val="0"/>
        <w:spacing w:line="360" w:lineRule="auto"/>
        <w:ind w:left="567" w:hanging="283"/>
        <w:jc w:val="both"/>
        <w:rPr>
          <w:rFonts w:ascii="Times New Roman" w:hAnsi="Times New Roman" w:cs="Times New Roman"/>
          <w:bCs/>
          <w:sz w:val="24"/>
          <w:szCs w:val="24"/>
        </w:rPr>
      </w:pPr>
      <w:r w:rsidRPr="00B65E2B">
        <w:rPr>
          <w:rFonts w:ascii="Times New Roman" w:hAnsi="Times New Roman" w:cs="Times New Roman"/>
          <w:color w:val="000000"/>
          <w:sz w:val="24"/>
          <w:szCs w:val="24"/>
          <w:lang w:eastAsia="fr-FR"/>
        </w:rPr>
        <w:lastRenderedPageBreak/>
        <w:t>Le devoir de diligence :</w:t>
      </w:r>
      <w:r>
        <w:rPr>
          <w:rFonts w:ascii="Times New Roman" w:hAnsi="Times New Roman" w:cs="Times New Roman"/>
          <w:color w:val="000000"/>
          <w:sz w:val="24"/>
          <w:szCs w:val="24"/>
          <w:lang w:eastAsia="fr-FR"/>
        </w:rPr>
        <w:t xml:space="preserve"> </w:t>
      </w:r>
      <w:r w:rsidRPr="00B65E2B">
        <w:rPr>
          <w:rFonts w:ascii="Times New Roman" w:hAnsi="Times New Roman" w:cs="Times New Roman"/>
          <w:color w:val="000000"/>
          <w:sz w:val="24"/>
          <w:szCs w:val="24"/>
          <w:lang w:eastAsia="fr-FR"/>
        </w:rPr>
        <w:t>l’identification des clients dès l’entrée en relat</w:t>
      </w:r>
      <w:r>
        <w:rPr>
          <w:rFonts w:ascii="Times New Roman" w:hAnsi="Times New Roman" w:cs="Times New Roman"/>
          <w:color w:val="000000"/>
          <w:sz w:val="24"/>
          <w:szCs w:val="24"/>
          <w:lang w:eastAsia="fr-FR"/>
        </w:rPr>
        <w:t>ion avec le client de la banque</w:t>
      </w:r>
      <w:r w:rsidRPr="00B65E2B">
        <w:rPr>
          <w:rFonts w:ascii="Times New Roman" w:hAnsi="Times New Roman" w:cs="Times New Roman"/>
          <w:color w:val="000000"/>
          <w:sz w:val="24"/>
          <w:szCs w:val="24"/>
          <w:lang w:eastAsia="fr-FR"/>
        </w:rPr>
        <w:t xml:space="preserve"> est une obligation incontournable imposée par la réglementation algérienne et recommandée par le GAFI</w:t>
      </w:r>
      <w:r>
        <w:rPr>
          <w:rFonts w:ascii="Times New Roman" w:hAnsi="Times New Roman" w:cs="Times New Roman"/>
          <w:color w:val="000000"/>
          <w:sz w:val="24"/>
          <w:szCs w:val="24"/>
          <w:lang w:eastAsia="fr-FR"/>
        </w:rPr>
        <w:t> ;</w:t>
      </w:r>
    </w:p>
    <w:p w:rsidR="00E105F0" w:rsidRPr="005F4991" w:rsidRDefault="00E105F0" w:rsidP="005D277D">
      <w:pPr>
        <w:pStyle w:val="Style13ptJustifiPremireligne095cmAvant18ptApr"/>
        <w:numPr>
          <w:ilvl w:val="0"/>
          <w:numId w:val="3"/>
        </w:numPr>
        <w:spacing w:before="0"/>
        <w:ind w:left="567" w:hanging="283"/>
        <w:rPr>
          <w:szCs w:val="24"/>
        </w:rPr>
      </w:pPr>
      <w:r w:rsidRPr="00B65E2B">
        <w:rPr>
          <w:szCs w:val="24"/>
        </w:rPr>
        <w:t xml:space="preserve">L’obligation de conservation des documents : concernant ce point et dans le but d’assurer le maximum de preuves aux autorités compétentes, la nécessité de l’existence des pièces justificatives reproduisant le processus des opérations effectuées par le client demeure une condition nécessaire. </w:t>
      </w:r>
      <w:r>
        <w:rPr>
          <w:szCs w:val="24"/>
        </w:rPr>
        <w:t>Dès lors</w:t>
      </w:r>
      <w:r w:rsidRPr="00B65E2B">
        <w:rPr>
          <w:szCs w:val="24"/>
        </w:rPr>
        <w:t xml:space="preserve">, le législateur algérien oblige les  banques, les établissements financiers et les services financiers d’Algérie-poste de conserver des pièces justificatives </w:t>
      </w:r>
      <w:r>
        <w:rPr>
          <w:szCs w:val="24"/>
        </w:rPr>
        <w:t>pour une période de cinq ans</w:t>
      </w:r>
      <w:r w:rsidRPr="00B65E2B">
        <w:rPr>
          <w:szCs w:val="24"/>
        </w:rPr>
        <w:t xml:space="preserve">, après la clôture des comptes et/ou la cessation de la relation d’affaires. Cette période correspond au seuil minimum de conservation de documents recommandé par le GAFI. </w:t>
      </w:r>
    </w:p>
    <w:p w:rsidR="00E105F0" w:rsidRDefault="00E105F0" w:rsidP="00E105F0">
      <w:pPr>
        <w:numPr>
          <w:ilvl w:val="0"/>
          <w:numId w:val="4"/>
        </w:numPr>
        <w:autoSpaceDE w:val="0"/>
        <w:autoSpaceDN w:val="0"/>
        <w:adjustRightInd w:val="0"/>
        <w:spacing w:line="360" w:lineRule="auto"/>
        <w:ind w:left="567" w:hanging="283"/>
        <w:jc w:val="both"/>
        <w:rPr>
          <w:rFonts w:ascii="Times New Roman" w:hAnsi="Times New Roman" w:cs="Times New Roman"/>
          <w:sz w:val="24"/>
          <w:szCs w:val="24"/>
        </w:rPr>
      </w:pPr>
      <w:r w:rsidRPr="00B65E2B">
        <w:rPr>
          <w:rFonts w:ascii="Times New Roman" w:hAnsi="Times New Roman" w:cs="Times New Roman"/>
          <w:sz w:val="24"/>
          <w:szCs w:val="24"/>
        </w:rPr>
        <w:t xml:space="preserve">L’obligation de déclaration de soupçon : Les </w:t>
      </w:r>
      <w:r>
        <w:rPr>
          <w:rFonts w:ascii="Times New Roman" w:hAnsi="Times New Roman" w:cs="Times New Roman"/>
          <w:sz w:val="24"/>
          <w:szCs w:val="24"/>
        </w:rPr>
        <w:t>institutions financières</w:t>
      </w:r>
      <w:r w:rsidRPr="00B65E2B">
        <w:rPr>
          <w:rFonts w:ascii="Times New Roman" w:hAnsi="Times New Roman" w:cs="Times New Roman"/>
          <w:sz w:val="24"/>
          <w:szCs w:val="24"/>
        </w:rPr>
        <w:t xml:space="preserve"> sont soumis</w:t>
      </w:r>
      <w:r>
        <w:rPr>
          <w:rFonts w:ascii="Times New Roman" w:hAnsi="Times New Roman" w:cs="Times New Roman"/>
          <w:sz w:val="24"/>
          <w:szCs w:val="24"/>
        </w:rPr>
        <w:t>es</w:t>
      </w:r>
      <w:r w:rsidRPr="00B65E2B">
        <w:rPr>
          <w:rFonts w:ascii="Times New Roman" w:hAnsi="Times New Roman" w:cs="Times New Roman"/>
          <w:sz w:val="24"/>
          <w:szCs w:val="24"/>
        </w:rPr>
        <w:t xml:space="preserve"> à l’obligation légale de déclaration de soupçon dans les formes réglementaires et à en </w:t>
      </w:r>
      <w:r>
        <w:rPr>
          <w:rFonts w:ascii="Times New Roman" w:hAnsi="Times New Roman" w:cs="Times New Roman"/>
          <w:sz w:val="24"/>
          <w:szCs w:val="24"/>
        </w:rPr>
        <w:t xml:space="preserve">accuser </w:t>
      </w:r>
      <w:r w:rsidRPr="00B65E2B">
        <w:rPr>
          <w:rFonts w:ascii="Times New Roman" w:hAnsi="Times New Roman" w:cs="Times New Roman"/>
          <w:sz w:val="24"/>
          <w:szCs w:val="24"/>
        </w:rPr>
        <w:t>réception, tel qu’énoncer dans l’article 11 du règlemen</w:t>
      </w:r>
      <w:r>
        <w:rPr>
          <w:rFonts w:ascii="Times New Roman" w:hAnsi="Times New Roman" w:cs="Times New Roman"/>
          <w:sz w:val="24"/>
          <w:szCs w:val="24"/>
        </w:rPr>
        <w:t>t 05-05 de la b</w:t>
      </w:r>
      <w:r w:rsidRPr="00B65E2B">
        <w:rPr>
          <w:rFonts w:ascii="Times New Roman" w:hAnsi="Times New Roman" w:cs="Times New Roman"/>
          <w:sz w:val="24"/>
          <w:szCs w:val="24"/>
        </w:rPr>
        <w:t xml:space="preserve">anque d’Algérie. Cette mesure est prise dès qu’il y a soupçon, même s’il </w:t>
      </w:r>
      <w:r>
        <w:rPr>
          <w:rFonts w:ascii="Times New Roman" w:hAnsi="Times New Roman" w:cs="Times New Roman"/>
          <w:sz w:val="24"/>
          <w:szCs w:val="24"/>
        </w:rPr>
        <w:t>est</w:t>
      </w:r>
      <w:r w:rsidRPr="00B65E2B">
        <w:rPr>
          <w:rFonts w:ascii="Times New Roman" w:hAnsi="Times New Roman" w:cs="Times New Roman"/>
          <w:sz w:val="24"/>
          <w:szCs w:val="24"/>
        </w:rPr>
        <w:t xml:space="preserve"> impossible de surseoir à l’exécution des opérations ou postérieurement à leur réalisation. </w:t>
      </w:r>
    </w:p>
    <w:p w:rsidR="00E105F0" w:rsidRPr="005F4991" w:rsidRDefault="00E105F0" w:rsidP="00E105F0">
      <w:pPr>
        <w:tabs>
          <w:tab w:val="left" w:pos="567"/>
        </w:tabs>
        <w:autoSpaceDE w:val="0"/>
        <w:autoSpaceDN w:val="0"/>
        <w:adjustRightInd w:val="0"/>
        <w:spacing w:line="360" w:lineRule="auto"/>
        <w:ind w:firstLine="426"/>
        <w:jc w:val="both"/>
        <w:rPr>
          <w:rStyle w:val="Style13pt"/>
          <w:rFonts w:ascii="Times New Roman" w:hAnsi="Times New Roman" w:cs="Times New Roman"/>
          <w:szCs w:val="24"/>
        </w:rPr>
      </w:pPr>
      <w:r>
        <w:rPr>
          <w:rFonts w:ascii="Times New Roman" w:hAnsi="Times New Roman" w:cs="Times New Roman"/>
          <w:sz w:val="24"/>
          <w:szCs w:val="24"/>
        </w:rPr>
        <w:tab/>
      </w:r>
      <w:r w:rsidRPr="005F4991">
        <w:rPr>
          <w:rFonts w:ascii="Times New Roman" w:hAnsi="Times New Roman" w:cs="Times New Roman"/>
          <w:sz w:val="24"/>
          <w:szCs w:val="24"/>
        </w:rPr>
        <w:t>En Algérie, les types d’opérations</w:t>
      </w:r>
      <w:r>
        <w:rPr>
          <w:rFonts w:ascii="Times New Roman" w:hAnsi="Times New Roman" w:cs="Times New Roman"/>
          <w:sz w:val="24"/>
          <w:szCs w:val="24"/>
        </w:rPr>
        <w:t>,</w:t>
      </w:r>
      <w:r w:rsidRPr="005F4991">
        <w:rPr>
          <w:rFonts w:ascii="Times New Roman" w:hAnsi="Times New Roman" w:cs="Times New Roman"/>
          <w:sz w:val="24"/>
          <w:szCs w:val="24"/>
        </w:rPr>
        <w:t xml:space="preserve"> de nature à éveiller les soupçons</w:t>
      </w:r>
      <w:r>
        <w:rPr>
          <w:rFonts w:ascii="Times New Roman" w:hAnsi="Times New Roman" w:cs="Times New Roman"/>
          <w:sz w:val="24"/>
          <w:szCs w:val="24"/>
        </w:rPr>
        <w:t xml:space="preserve"> et </w:t>
      </w:r>
      <w:r w:rsidRPr="005F4991">
        <w:rPr>
          <w:rFonts w:ascii="Times New Roman" w:hAnsi="Times New Roman" w:cs="Times New Roman"/>
          <w:sz w:val="24"/>
          <w:szCs w:val="24"/>
        </w:rPr>
        <w:t xml:space="preserve">qui doivent faire l’objet d’une déclaration </w:t>
      </w:r>
      <w:r>
        <w:rPr>
          <w:rFonts w:ascii="Times New Roman" w:hAnsi="Times New Roman" w:cs="Times New Roman"/>
          <w:sz w:val="24"/>
          <w:szCs w:val="24"/>
        </w:rPr>
        <w:t xml:space="preserve">sont définis </w:t>
      </w:r>
      <w:r w:rsidRPr="00A8087F">
        <w:rPr>
          <w:rFonts w:ascii="Times New Roman" w:hAnsi="Times New Roman" w:cs="Times New Roman"/>
          <w:sz w:val="24"/>
          <w:szCs w:val="24"/>
        </w:rPr>
        <w:t>par  la banque d’Algérie</w:t>
      </w:r>
      <w:r>
        <w:rPr>
          <w:rFonts w:ascii="Times New Roman" w:hAnsi="Times New Roman" w:cs="Times New Roman"/>
          <w:sz w:val="24"/>
          <w:szCs w:val="24"/>
        </w:rPr>
        <w:t>. Du</w:t>
      </w:r>
      <w:r w:rsidRPr="005F4991">
        <w:rPr>
          <w:rFonts w:ascii="Times New Roman" w:hAnsi="Times New Roman" w:cs="Times New Roman"/>
          <w:sz w:val="24"/>
          <w:szCs w:val="24"/>
        </w:rPr>
        <w:t xml:space="preserve"> même avis</w:t>
      </w:r>
      <w:r w:rsidRPr="00A8087F">
        <w:rPr>
          <w:rFonts w:ascii="Times New Roman" w:hAnsi="Times New Roman" w:cs="Times New Roman"/>
          <w:sz w:val="24"/>
          <w:szCs w:val="24"/>
        </w:rPr>
        <w:t xml:space="preserve"> que</w:t>
      </w:r>
      <w:r w:rsidRPr="00EC66D3">
        <w:rPr>
          <w:rFonts w:ascii="Times New Roman" w:hAnsi="Times New Roman" w:cs="Times New Roman"/>
          <w:color w:val="FF0000"/>
          <w:sz w:val="24"/>
          <w:szCs w:val="24"/>
        </w:rPr>
        <w:t xml:space="preserve"> </w:t>
      </w:r>
      <w:r w:rsidRPr="005F4991">
        <w:rPr>
          <w:rFonts w:ascii="Times New Roman" w:hAnsi="Times New Roman" w:cs="Times New Roman"/>
          <w:sz w:val="24"/>
          <w:szCs w:val="24"/>
        </w:rPr>
        <w:t>les</w:t>
      </w:r>
      <w:r w:rsidRPr="005F4991">
        <w:rPr>
          <w:rStyle w:val="Style13pt"/>
          <w:rFonts w:ascii="Times New Roman" w:hAnsi="Times New Roman" w:cs="Times New Roman"/>
          <w:szCs w:val="24"/>
        </w:rPr>
        <w:t xml:space="preserve"> organismes internationaux</w:t>
      </w:r>
      <w:r>
        <w:rPr>
          <w:rStyle w:val="Style13pt"/>
          <w:rFonts w:ascii="Times New Roman" w:hAnsi="Times New Roman" w:cs="Times New Roman"/>
          <w:szCs w:val="24"/>
        </w:rPr>
        <w:t>,</w:t>
      </w:r>
      <w:r w:rsidRPr="005F4991">
        <w:rPr>
          <w:rStyle w:val="Style13pt"/>
          <w:rFonts w:ascii="Times New Roman" w:hAnsi="Times New Roman" w:cs="Times New Roman"/>
          <w:szCs w:val="24"/>
        </w:rPr>
        <w:t xml:space="preserve"> </w:t>
      </w:r>
      <w:r>
        <w:rPr>
          <w:rStyle w:val="Style13pt"/>
          <w:rFonts w:ascii="Times New Roman" w:hAnsi="Times New Roman" w:cs="Times New Roman"/>
          <w:szCs w:val="24"/>
        </w:rPr>
        <w:t xml:space="preserve">le législateur algérien a estimé </w:t>
      </w:r>
      <w:r w:rsidRPr="005F4991">
        <w:rPr>
          <w:rStyle w:val="Style13pt"/>
          <w:rFonts w:ascii="Times New Roman" w:hAnsi="Times New Roman" w:cs="Times New Roman"/>
          <w:szCs w:val="24"/>
        </w:rPr>
        <w:t>que le comportement des criminels lors d’une opération de blanchiment ou même d’une opération de financement du terrorisme est caractérisé par certains éléments qui sont identiques et qui se répètent à l’occasion de toute opération de ce type.</w:t>
      </w:r>
      <w:r>
        <w:rPr>
          <w:rStyle w:val="Style13pt"/>
          <w:rFonts w:ascii="Times New Roman" w:hAnsi="Times New Roman" w:cs="Times New Roman"/>
          <w:szCs w:val="24"/>
        </w:rPr>
        <w:t xml:space="preserve"> De ce fait, la déclaration de soupçon ne peut être établie qu’après </w:t>
      </w:r>
      <w:r w:rsidRPr="005F4991">
        <w:rPr>
          <w:rFonts w:ascii="Times New Roman" w:hAnsi="Times New Roman" w:cs="Times New Roman"/>
          <w:sz w:val="24"/>
          <w:szCs w:val="24"/>
        </w:rPr>
        <w:t>l’o</w:t>
      </w:r>
      <w:r>
        <w:rPr>
          <w:rFonts w:ascii="Times New Roman" w:hAnsi="Times New Roman" w:cs="Times New Roman"/>
          <w:sz w:val="24"/>
          <w:szCs w:val="24"/>
        </w:rPr>
        <w:t>bservation de certains faits.</w:t>
      </w:r>
    </w:p>
    <w:p w:rsidR="00E105F0" w:rsidRPr="005F4991" w:rsidRDefault="00E105F0" w:rsidP="00E105F0">
      <w:pPr>
        <w:autoSpaceDE w:val="0"/>
        <w:autoSpaceDN w:val="0"/>
        <w:adjustRightInd w:val="0"/>
        <w:spacing w:line="360" w:lineRule="auto"/>
        <w:ind w:firstLine="426"/>
        <w:jc w:val="both"/>
        <w:rPr>
          <w:rFonts w:ascii="Times New Roman" w:hAnsi="Times New Roman" w:cs="Times New Roman"/>
          <w:sz w:val="24"/>
          <w:szCs w:val="24"/>
        </w:rPr>
      </w:pPr>
      <w:r>
        <w:rPr>
          <w:rStyle w:val="Style13pt"/>
          <w:rFonts w:ascii="Times New Roman" w:hAnsi="Times New Roman" w:cs="Times New Roman"/>
          <w:szCs w:val="24"/>
        </w:rPr>
        <w:t>Contrairement à l’Algérie</w:t>
      </w:r>
      <w:r w:rsidRPr="005F4991">
        <w:rPr>
          <w:rStyle w:val="Style13pt"/>
          <w:rFonts w:ascii="Times New Roman" w:hAnsi="Times New Roman" w:cs="Times New Roman"/>
          <w:szCs w:val="24"/>
        </w:rPr>
        <w:t xml:space="preserve">, </w:t>
      </w:r>
      <w:r>
        <w:rPr>
          <w:rStyle w:val="Style13pt"/>
          <w:rFonts w:ascii="Times New Roman" w:hAnsi="Times New Roman" w:cs="Times New Roman"/>
          <w:szCs w:val="24"/>
        </w:rPr>
        <w:t>des</w:t>
      </w:r>
      <w:r w:rsidRPr="005F4991">
        <w:rPr>
          <w:rStyle w:val="Style13pt"/>
          <w:rFonts w:ascii="Times New Roman" w:hAnsi="Times New Roman" w:cs="Times New Roman"/>
          <w:szCs w:val="24"/>
        </w:rPr>
        <w:t xml:space="preserve"> pays Anglo-Saxons </w:t>
      </w:r>
      <w:r w:rsidRPr="005F4991">
        <w:rPr>
          <w:rFonts w:ascii="Times New Roman" w:hAnsi="Times New Roman" w:cs="Times New Roman"/>
          <w:sz w:val="24"/>
          <w:szCs w:val="24"/>
        </w:rPr>
        <w:t>exigent aux banques de déclarer les «activités suspectes» plutôt que les «opérations suspectes». La première expression a une signification plus large que la seconde, puisqu’elle comprend les opérations suspectes ainsi que d’autres circonstances qui font naître des soupçons d’activités criminelles.</w:t>
      </w:r>
    </w:p>
    <w:p w:rsidR="00E105F0" w:rsidRPr="005F4991" w:rsidRDefault="00E105F0" w:rsidP="00E105F0">
      <w:pPr>
        <w:autoSpaceDE w:val="0"/>
        <w:autoSpaceDN w:val="0"/>
        <w:adjustRightInd w:val="0"/>
        <w:spacing w:line="360" w:lineRule="auto"/>
        <w:ind w:firstLine="426"/>
        <w:jc w:val="both"/>
        <w:rPr>
          <w:rFonts w:ascii="Times New Roman" w:hAnsi="Times New Roman" w:cs="Times New Roman"/>
          <w:sz w:val="24"/>
          <w:szCs w:val="24"/>
        </w:rPr>
      </w:pPr>
      <w:r w:rsidRPr="005F4991">
        <w:rPr>
          <w:rFonts w:ascii="Times New Roman" w:hAnsi="Times New Roman" w:cs="Times New Roman"/>
          <w:color w:val="000000"/>
          <w:sz w:val="24"/>
          <w:szCs w:val="24"/>
        </w:rPr>
        <w:t xml:space="preserve">Le </w:t>
      </w:r>
      <w:r w:rsidRPr="005F4991">
        <w:rPr>
          <w:rFonts w:ascii="Times New Roman" w:hAnsi="Times New Roman" w:cs="Times New Roman"/>
          <w:sz w:val="24"/>
          <w:szCs w:val="24"/>
        </w:rPr>
        <w:t xml:space="preserve">dispositif algérien de lutte contre le blanchiment tel que présenter par le législateur algérien montre quelques insuffisances d’ordre universel, partagées avec la plupart des dispositifs mondiaux mais aussi, des insuffisances d’ordre spécifique à </w:t>
      </w:r>
      <w:r>
        <w:rPr>
          <w:rFonts w:ascii="Times New Roman" w:hAnsi="Times New Roman" w:cs="Times New Roman"/>
          <w:sz w:val="24"/>
          <w:szCs w:val="24"/>
        </w:rPr>
        <w:t xml:space="preserve">l’Algérie, liées </w:t>
      </w:r>
      <w:r>
        <w:rPr>
          <w:rFonts w:ascii="Times New Roman" w:hAnsi="Times New Roman" w:cs="Times New Roman"/>
          <w:sz w:val="24"/>
          <w:szCs w:val="24"/>
        </w:rPr>
        <w:lastRenderedPageBreak/>
        <w:t xml:space="preserve">principalement </w:t>
      </w:r>
      <w:r w:rsidRPr="005F4991">
        <w:rPr>
          <w:rFonts w:ascii="Times New Roman" w:hAnsi="Times New Roman" w:cs="Times New Roman"/>
          <w:sz w:val="24"/>
          <w:szCs w:val="24"/>
        </w:rPr>
        <w:t>à la généralité et à l’ambigüité qui caractérisent la réglementation algérienne. </w:t>
      </w:r>
      <w:r>
        <w:rPr>
          <w:rFonts w:ascii="Times New Roman" w:hAnsi="Times New Roman" w:cs="Times New Roman"/>
          <w:sz w:val="24"/>
          <w:szCs w:val="24"/>
        </w:rPr>
        <w:t>C</w:t>
      </w:r>
      <w:r w:rsidRPr="005F4991">
        <w:rPr>
          <w:rFonts w:ascii="Times New Roman" w:hAnsi="Times New Roman" w:cs="Times New Roman"/>
          <w:sz w:val="24"/>
          <w:szCs w:val="24"/>
        </w:rPr>
        <w:t xml:space="preserve">es insuffisances révélées sont énumérées ci-après : </w:t>
      </w:r>
    </w:p>
    <w:p w:rsidR="00E105F0" w:rsidRDefault="00E105F0" w:rsidP="00E105F0">
      <w:pPr>
        <w:pStyle w:val="Paragraphedeliste"/>
        <w:numPr>
          <w:ilvl w:val="0"/>
          <w:numId w:val="2"/>
        </w:numPr>
        <w:tabs>
          <w:tab w:val="left" w:pos="0"/>
        </w:tabs>
        <w:autoSpaceDE w:val="0"/>
        <w:autoSpaceDN w:val="0"/>
        <w:adjustRightInd w:val="0"/>
        <w:spacing w:before="240" w:line="360" w:lineRule="auto"/>
        <w:ind w:left="567" w:hanging="283"/>
        <w:jc w:val="both"/>
        <w:rPr>
          <w:rFonts w:ascii="Times New Roman" w:hAnsi="Times New Roman" w:cs="Times New Roman"/>
          <w:sz w:val="24"/>
          <w:szCs w:val="24"/>
        </w:rPr>
      </w:pPr>
      <w:r w:rsidRPr="00D02B4B">
        <w:rPr>
          <w:rFonts w:ascii="Times New Roman" w:hAnsi="Times New Roman" w:cs="Times New Roman"/>
          <w:sz w:val="24"/>
          <w:szCs w:val="24"/>
        </w:rPr>
        <w:t>L’opposition à exécution: la déclaration de soupçon est à destination exclusive de la CTRF et les suites qui lui sont réservées entrent dans le cadre du secret professionnel et ne peuvent être portées à la connaissance du client ou du bénéficiaire des opérations. Par conséquent, la banque est soumise à un lourd handicap de communication avec ses clients dans la mesure où elle est dans l’incapacité de justifier auprès d’un client suspect le retard dans l’exécution d’une opération suspecte qui peut être effectuée dans un laps de temps raisonnable, défini dans la réglementation algérienne.</w:t>
      </w:r>
    </w:p>
    <w:p w:rsidR="00E105F0" w:rsidRPr="00D02B4B" w:rsidRDefault="00E105F0" w:rsidP="00E105F0">
      <w:pPr>
        <w:pStyle w:val="Paragraphedeliste"/>
        <w:numPr>
          <w:ilvl w:val="0"/>
          <w:numId w:val="1"/>
        </w:numPr>
        <w:autoSpaceDE w:val="0"/>
        <w:autoSpaceDN w:val="0"/>
        <w:adjustRightInd w:val="0"/>
        <w:spacing w:line="360" w:lineRule="auto"/>
        <w:ind w:left="567" w:hanging="283"/>
        <w:jc w:val="both"/>
        <w:rPr>
          <w:rFonts w:ascii="Times New Roman" w:hAnsi="Times New Roman" w:cs="Times New Roman"/>
          <w:sz w:val="24"/>
          <w:szCs w:val="24"/>
        </w:rPr>
      </w:pPr>
      <w:r w:rsidRPr="00AB5A95">
        <w:rPr>
          <w:rFonts w:ascii="Times New Roman" w:hAnsi="Times New Roman" w:cs="Times New Roman"/>
          <w:sz w:val="24"/>
          <w:szCs w:val="24"/>
        </w:rPr>
        <w:t>L’intention, la vigilance et le soupçon ne peuvent pas être pénalement définis: les mesures administratives et réglementaires impliquant le banquier à l’établissement d’une déclaration de soupçon sont théoriquement définies, mais souvent le banquier est jugé sur son attitude. Cela pose généralement un sérieux problème lié à l’attitude du banquier face aux opérations jugées douteuses ou pas par l’administration. Ainsi, accorder l’immunité civile et pénale ou pas à un banquier représente une décision d’une complexité accrue. Un banquier interviewé a résumé cette situation embarrassante par ces mots  « </w:t>
      </w:r>
      <w:r w:rsidRPr="00AB5A95">
        <w:rPr>
          <w:rFonts w:ascii="Times New Roman" w:hAnsi="Times New Roman" w:cs="Times New Roman"/>
          <w:i/>
          <w:iCs/>
          <w:sz w:val="24"/>
          <w:szCs w:val="24"/>
        </w:rPr>
        <w:t>aujourd’hui, la complexité de l’arsenal législatif et réglementaire est devenue telle qu’aucun d’entre nous ne sait ce qu’il faut faire pour ne pas être mis en examen pour blanchiment aggravé</w:t>
      </w:r>
      <w:r w:rsidRPr="00AB5A95">
        <w:rPr>
          <w:rFonts w:ascii="Times New Roman" w:hAnsi="Times New Roman" w:cs="Times New Roman"/>
          <w:sz w:val="24"/>
          <w:szCs w:val="24"/>
        </w:rPr>
        <w:t>»</w:t>
      </w:r>
      <w:r w:rsidRPr="005F4991">
        <w:rPr>
          <w:rStyle w:val="Appelnotedebasdep"/>
          <w:rFonts w:ascii="Times New Roman" w:hAnsi="Times New Roman" w:cs="Times New Roman"/>
          <w:sz w:val="24"/>
          <w:szCs w:val="24"/>
        </w:rPr>
        <w:footnoteReference w:id="2"/>
      </w:r>
      <w:r w:rsidRPr="00AB5A95">
        <w:rPr>
          <w:rFonts w:ascii="Times New Roman" w:hAnsi="Times New Roman" w:cs="Times New Roman"/>
          <w:sz w:val="24"/>
          <w:szCs w:val="24"/>
        </w:rPr>
        <w:t xml:space="preserve">. </w:t>
      </w:r>
    </w:p>
    <w:p w:rsidR="00E105F0" w:rsidRPr="00AB5A95" w:rsidRDefault="00E105F0" w:rsidP="00E105F0">
      <w:pPr>
        <w:pStyle w:val="Paragraphedeliste"/>
        <w:numPr>
          <w:ilvl w:val="0"/>
          <w:numId w:val="2"/>
        </w:numPr>
        <w:autoSpaceDE w:val="0"/>
        <w:autoSpaceDN w:val="0"/>
        <w:adjustRightInd w:val="0"/>
        <w:spacing w:before="240" w:line="360" w:lineRule="auto"/>
        <w:ind w:left="567" w:hanging="283"/>
        <w:jc w:val="both"/>
        <w:rPr>
          <w:rFonts w:ascii="Times New Roman" w:hAnsi="Times New Roman" w:cs="Times New Roman"/>
          <w:sz w:val="24"/>
          <w:szCs w:val="24"/>
        </w:rPr>
      </w:pPr>
      <w:r w:rsidRPr="00AB5A95">
        <w:rPr>
          <w:rFonts w:ascii="Times New Roman" w:hAnsi="Times New Roman" w:cs="Times New Roman"/>
          <w:sz w:val="24"/>
          <w:szCs w:val="24"/>
        </w:rPr>
        <w:t>La vigilance renforcée :</w:t>
      </w:r>
      <w:r>
        <w:rPr>
          <w:rFonts w:ascii="Times New Roman" w:hAnsi="Times New Roman" w:cs="Times New Roman"/>
          <w:sz w:val="24"/>
          <w:szCs w:val="24"/>
        </w:rPr>
        <w:t xml:space="preserve"> d</w:t>
      </w:r>
      <w:r w:rsidRPr="00AB5A95">
        <w:rPr>
          <w:rFonts w:ascii="Times New Roman" w:hAnsi="Times New Roman" w:cs="Times New Roman"/>
          <w:sz w:val="24"/>
          <w:szCs w:val="24"/>
        </w:rPr>
        <w:t xml:space="preserve">ans le cadre de la vigilance renforcée et plus précisément celle relative aux  personnes potentiellement exposées (PPE), il est constaté qu’une définition claire manque dans l’arsenal juridique algérien, ce qui a amené certain établissements bancaires d’attirer l’attention des inspecteurs de la banque d’Algérie sur des dispositions réglementaires qui méritent des précisions. Il en est ainsi particulièrement pour la caractérisation des personnes potentiellement exposées (PPE). En outre, le choix de cette dénomination à savoir, « personnes potentiellement exposées » au lieu de « personne politiquement exposées », comme suggéré par le GAFI, met en évidence le caractère ambigu de notre réglementation.  </w:t>
      </w:r>
    </w:p>
    <w:p w:rsidR="00E105F0" w:rsidRPr="005F4991" w:rsidRDefault="00E105F0" w:rsidP="00E105F0">
      <w:pPr>
        <w:spacing w:line="360" w:lineRule="auto"/>
        <w:ind w:firstLine="426"/>
        <w:jc w:val="both"/>
        <w:rPr>
          <w:rFonts w:ascii="Times New Roman" w:hAnsi="Times New Roman" w:cs="Times New Roman"/>
          <w:color w:val="000000"/>
          <w:sz w:val="24"/>
          <w:szCs w:val="24"/>
          <w:lang w:eastAsia="fr-FR"/>
        </w:rPr>
      </w:pPr>
      <w:r w:rsidRPr="005F4991">
        <w:rPr>
          <w:rFonts w:ascii="Times New Roman" w:hAnsi="Times New Roman" w:cs="Times New Roman"/>
          <w:color w:val="000000"/>
          <w:sz w:val="24"/>
          <w:szCs w:val="24"/>
          <w:lang w:eastAsia="fr-FR"/>
        </w:rPr>
        <w:t>Par ailleurs, la lut</w:t>
      </w:r>
      <w:r>
        <w:rPr>
          <w:rFonts w:ascii="Times New Roman" w:hAnsi="Times New Roman" w:cs="Times New Roman"/>
          <w:color w:val="000000"/>
          <w:sz w:val="24"/>
          <w:szCs w:val="24"/>
          <w:lang w:eastAsia="fr-FR"/>
        </w:rPr>
        <w:t>t</w:t>
      </w:r>
      <w:r w:rsidRPr="005F4991">
        <w:rPr>
          <w:rFonts w:ascii="Times New Roman" w:hAnsi="Times New Roman" w:cs="Times New Roman"/>
          <w:color w:val="000000"/>
          <w:sz w:val="24"/>
          <w:szCs w:val="24"/>
          <w:lang w:eastAsia="fr-FR"/>
        </w:rPr>
        <w:t>e contre le blanchiment ne peut atteindre son but que si les intermédiaires financiers, notamment les banques, qui jouent un rôle moteur da</w:t>
      </w:r>
      <w:r>
        <w:rPr>
          <w:rFonts w:ascii="Times New Roman" w:hAnsi="Times New Roman" w:cs="Times New Roman"/>
          <w:color w:val="000000"/>
          <w:sz w:val="24"/>
          <w:szCs w:val="24"/>
          <w:lang w:eastAsia="fr-FR"/>
        </w:rPr>
        <w:t xml:space="preserve">ns le processus </w:t>
      </w:r>
      <w:r>
        <w:rPr>
          <w:rFonts w:ascii="Times New Roman" w:hAnsi="Times New Roman" w:cs="Times New Roman"/>
          <w:color w:val="000000"/>
          <w:sz w:val="24"/>
          <w:szCs w:val="24"/>
          <w:lang w:eastAsia="fr-FR"/>
        </w:rPr>
        <w:lastRenderedPageBreak/>
        <w:t>du blanchiment</w:t>
      </w:r>
      <w:r w:rsidRPr="005F4991">
        <w:rPr>
          <w:rFonts w:ascii="Times New Roman" w:hAnsi="Times New Roman" w:cs="Times New Roman"/>
          <w:color w:val="000000"/>
          <w:sz w:val="24"/>
          <w:szCs w:val="24"/>
          <w:lang w:eastAsia="fr-FR"/>
        </w:rPr>
        <w:t xml:space="preserve"> </w:t>
      </w:r>
      <w:r>
        <w:rPr>
          <w:rFonts w:ascii="Times New Roman" w:hAnsi="Times New Roman" w:cs="Times New Roman"/>
          <w:color w:val="000000"/>
          <w:sz w:val="24"/>
          <w:szCs w:val="24"/>
          <w:lang w:eastAsia="fr-FR"/>
        </w:rPr>
        <w:t xml:space="preserve">d’argent, </w:t>
      </w:r>
      <w:r w:rsidRPr="005F4991">
        <w:rPr>
          <w:rFonts w:ascii="Times New Roman" w:hAnsi="Times New Roman" w:cs="Times New Roman"/>
          <w:color w:val="000000"/>
          <w:sz w:val="24"/>
          <w:szCs w:val="24"/>
          <w:lang w:eastAsia="fr-FR"/>
        </w:rPr>
        <w:t>f</w:t>
      </w:r>
      <w:r>
        <w:rPr>
          <w:rFonts w:ascii="Times New Roman" w:hAnsi="Times New Roman" w:cs="Times New Roman"/>
          <w:color w:val="000000"/>
          <w:sz w:val="24"/>
          <w:szCs w:val="24"/>
          <w:lang w:eastAsia="fr-FR"/>
        </w:rPr>
        <w:t>assent preuve d’une</w:t>
      </w:r>
      <w:r w:rsidRPr="005F4991">
        <w:rPr>
          <w:rFonts w:ascii="Times New Roman" w:hAnsi="Times New Roman" w:cs="Times New Roman"/>
          <w:color w:val="000000"/>
          <w:sz w:val="24"/>
          <w:szCs w:val="24"/>
          <w:lang w:eastAsia="fr-FR"/>
        </w:rPr>
        <w:t xml:space="preserve"> vigilance en m</w:t>
      </w:r>
      <w:r>
        <w:rPr>
          <w:rFonts w:ascii="Times New Roman" w:hAnsi="Times New Roman" w:cs="Times New Roman"/>
          <w:color w:val="000000"/>
          <w:sz w:val="24"/>
          <w:szCs w:val="24"/>
          <w:lang w:eastAsia="fr-FR"/>
        </w:rPr>
        <w:t>atière d’opérations financières,  d’identification de l’</w:t>
      </w:r>
      <w:r w:rsidRPr="005F4991">
        <w:rPr>
          <w:rFonts w:ascii="Times New Roman" w:hAnsi="Times New Roman" w:cs="Times New Roman"/>
          <w:color w:val="000000"/>
          <w:sz w:val="24"/>
          <w:szCs w:val="24"/>
          <w:lang w:eastAsia="fr-FR"/>
        </w:rPr>
        <w:t>identité des clients</w:t>
      </w:r>
      <w:r>
        <w:rPr>
          <w:rFonts w:ascii="Times New Roman" w:hAnsi="Times New Roman" w:cs="Times New Roman"/>
          <w:color w:val="000000"/>
          <w:sz w:val="24"/>
          <w:szCs w:val="24"/>
          <w:lang w:eastAsia="fr-FR"/>
        </w:rPr>
        <w:t xml:space="preserve"> et</w:t>
      </w:r>
      <w:r w:rsidRPr="005F4991">
        <w:rPr>
          <w:rFonts w:ascii="Times New Roman" w:hAnsi="Times New Roman" w:cs="Times New Roman"/>
          <w:color w:val="000000"/>
          <w:sz w:val="24"/>
          <w:szCs w:val="24"/>
          <w:lang w:eastAsia="fr-FR"/>
        </w:rPr>
        <w:t xml:space="preserve"> des ayants droits économiques </w:t>
      </w:r>
      <w:r>
        <w:rPr>
          <w:rFonts w:ascii="Times New Roman" w:hAnsi="Times New Roman" w:cs="Times New Roman"/>
          <w:color w:val="000000"/>
          <w:sz w:val="24"/>
          <w:szCs w:val="24"/>
          <w:lang w:eastAsia="fr-FR"/>
        </w:rPr>
        <w:t>ainsi que l’</w:t>
      </w:r>
      <w:r w:rsidRPr="005F4991">
        <w:rPr>
          <w:rFonts w:ascii="Times New Roman" w:hAnsi="Times New Roman" w:cs="Times New Roman"/>
          <w:color w:val="000000"/>
          <w:sz w:val="24"/>
          <w:szCs w:val="24"/>
          <w:lang w:eastAsia="fr-FR"/>
        </w:rPr>
        <w:t>examen</w:t>
      </w:r>
      <w:r>
        <w:rPr>
          <w:rFonts w:ascii="Times New Roman" w:hAnsi="Times New Roman" w:cs="Times New Roman"/>
          <w:color w:val="000000"/>
          <w:sz w:val="24"/>
          <w:szCs w:val="24"/>
          <w:lang w:eastAsia="fr-FR"/>
        </w:rPr>
        <w:t xml:space="preserve"> des</w:t>
      </w:r>
      <w:r w:rsidRPr="005F4991">
        <w:rPr>
          <w:rFonts w:ascii="Times New Roman" w:hAnsi="Times New Roman" w:cs="Times New Roman"/>
          <w:color w:val="000000"/>
          <w:sz w:val="24"/>
          <w:szCs w:val="24"/>
          <w:lang w:eastAsia="fr-FR"/>
        </w:rPr>
        <w:t xml:space="preserve"> documents requis pour la réalisation des opérations. </w:t>
      </w:r>
    </w:p>
    <w:p w:rsidR="00E105F0" w:rsidRPr="005F4991" w:rsidRDefault="00E105F0" w:rsidP="00E105F0">
      <w:pPr>
        <w:spacing w:line="360" w:lineRule="auto"/>
        <w:ind w:firstLine="426"/>
        <w:jc w:val="both"/>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A cet effet</w:t>
      </w:r>
      <w:r w:rsidRPr="005F4991">
        <w:rPr>
          <w:rFonts w:ascii="Times New Roman" w:hAnsi="Times New Roman" w:cs="Times New Roman"/>
          <w:color w:val="000000"/>
          <w:sz w:val="24"/>
          <w:szCs w:val="24"/>
          <w:lang w:eastAsia="fr-FR"/>
        </w:rPr>
        <w:t xml:space="preserve">, la deuxième partie de la problématique, traitée au niveau du quatrième chapitre, a présenté un référentiel d’évaluation qui repose </w:t>
      </w:r>
      <w:r>
        <w:rPr>
          <w:rFonts w:ascii="Times New Roman" w:hAnsi="Times New Roman" w:cs="Times New Roman"/>
          <w:color w:val="000000"/>
          <w:sz w:val="24"/>
          <w:szCs w:val="24"/>
          <w:lang w:eastAsia="fr-FR"/>
        </w:rPr>
        <w:t xml:space="preserve">principalement sur </w:t>
      </w:r>
      <w:r w:rsidRPr="005F4991">
        <w:rPr>
          <w:rFonts w:ascii="Times New Roman" w:hAnsi="Times New Roman" w:cs="Times New Roman"/>
          <w:color w:val="000000"/>
          <w:sz w:val="24"/>
          <w:szCs w:val="24"/>
          <w:lang w:eastAsia="fr-FR"/>
        </w:rPr>
        <w:t>l’arsenal juridique algérien</w:t>
      </w:r>
      <w:r>
        <w:rPr>
          <w:rFonts w:ascii="Times New Roman" w:hAnsi="Times New Roman" w:cs="Times New Roman"/>
          <w:color w:val="000000"/>
          <w:sz w:val="24"/>
          <w:szCs w:val="24"/>
          <w:lang w:eastAsia="fr-FR"/>
        </w:rPr>
        <w:t xml:space="preserve"> </w:t>
      </w:r>
      <w:r w:rsidRPr="005F4991">
        <w:rPr>
          <w:rFonts w:ascii="Times New Roman" w:hAnsi="Times New Roman" w:cs="Times New Roman"/>
          <w:color w:val="000000"/>
          <w:sz w:val="24"/>
          <w:szCs w:val="24"/>
          <w:lang w:eastAsia="fr-FR"/>
        </w:rPr>
        <w:t>et</w:t>
      </w:r>
      <w:r>
        <w:rPr>
          <w:rFonts w:ascii="Times New Roman" w:hAnsi="Times New Roman" w:cs="Times New Roman"/>
          <w:color w:val="000000"/>
          <w:sz w:val="24"/>
          <w:szCs w:val="24"/>
          <w:lang w:eastAsia="fr-FR"/>
        </w:rPr>
        <w:t xml:space="preserve"> sur</w:t>
      </w:r>
      <w:r w:rsidRPr="005F4991">
        <w:rPr>
          <w:rFonts w:ascii="Times New Roman" w:hAnsi="Times New Roman" w:cs="Times New Roman"/>
          <w:color w:val="000000"/>
          <w:sz w:val="24"/>
          <w:szCs w:val="24"/>
          <w:lang w:eastAsia="fr-FR"/>
        </w:rPr>
        <w:t xml:space="preserve"> la démarche d’évaluation </w:t>
      </w:r>
      <w:r>
        <w:rPr>
          <w:rFonts w:ascii="Times New Roman" w:hAnsi="Times New Roman" w:cs="Times New Roman"/>
          <w:color w:val="000000"/>
          <w:sz w:val="24"/>
          <w:szCs w:val="24"/>
          <w:lang w:eastAsia="fr-FR"/>
        </w:rPr>
        <w:t xml:space="preserve">adoptée </w:t>
      </w:r>
      <w:r w:rsidRPr="005F4991">
        <w:rPr>
          <w:rFonts w:ascii="Times New Roman" w:hAnsi="Times New Roman" w:cs="Times New Roman"/>
          <w:color w:val="000000"/>
          <w:sz w:val="24"/>
          <w:szCs w:val="24"/>
          <w:lang w:eastAsia="fr-FR"/>
        </w:rPr>
        <w:t xml:space="preserve">par les inspecteurs de la commission bancaire dans leurs missions de supervision. Le chapitre a </w:t>
      </w:r>
      <w:r>
        <w:rPr>
          <w:rFonts w:ascii="Times New Roman" w:hAnsi="Times New Roman" w:cs="Times New Roman"/>
          <w:color w:val="000000"/>
          <w:sz w:val="24"/>
          <w:szCs w:val="24"/>
          <w:lang w:eastAsia="fr-FR"/>
        </w:rPr>
        <w:t xml:space="preserve">abordé </w:t>
      </w:r>
      <w:r w:rsidRPr="005F4991">
        <w:rPr>
          <w:rFonts w:ascii="Times New Roman" w:hAnsi="Times New Roman" w:cs="Times New Roman"/>
          <w:color w:val="000000"/>
          <w:sz w:val="24"/>
          <w:szCs w:val="24"/>
          <w:lang w:eastAsia="fr-FR"/>
        </w:rPr>
        <w:t>deux volets d’évaluations à savoir</w:t>
      </w:r>
      <w:r>
        <w:rPr>
          <w:rFonts w:ascii="Times New Roman" w:hAnsi="Times New Roman" w:cs="Times New Roman"/>
          <w:color w:val="000000"/>
          <w:sz w:val="24"/>
          <w:szCs w:val="24"/>
          <w:lang w:eastAsia="fr-FR"/>
        </w:rPr>
        <w:t xml:space="preserve">, </w:t>
      </w:r>
      <w:r w:rsidRPr="005F4991">
        <w:rPr>
          <w:rFonts w:ascii="Times New Roman" w:hAnsi="Times New Roman" w:cs="Times New Roman"/>
          <w:color w:val="000000"/>
          <w:sz w:val="24"/>
          <w:szCs w:val="24"/>
          <w:lang w:eastAsia="fr-FR"/>
        </w:rPr>
        <w:t xml:space="preserve">l’évaluation de la qualité </w:t>
      </w:r>
      <w:r>
        <w:rPr>
          <w:rFonts w:ascii="Times New Roman" w:hAnsi="Times New Roman" w:cs="Times New Roman"/>
          <w:color w:val="000000"/>
          <w:sz w:val="24"/>
          <w:szCs w:val="24"/>
          <w:lang w:eastAsia="fr-FR"/>
        </w:rPr>
        <w:t>et l’évaluation de</w:t>
      </w:r>
      <w:r w:rsidRPr="005F4991">
        <w:rPr>
          <w:rFonts w:ascii="Times New Roman" w:hAnsi="Times New Roman" w:cs="Times New Roman"/>
          <w:color w:val="000000"/>
          <w:sz w:val="24"/>
          <w:szCs w:val="24"/>
          <w:lang w:eastAsia="fr-FR"/>
        </w:rPr>
        <w:t xml:space="preserve"> l’efficacité d’un dispositif bancaire algérien. </w:t>
      </w:r>
    </w:p>
    <w:p w:rsidR="00E105F0" w:rsidRPr="005F4991" w:rsidRDefault="00E105F0" w:rsidP="005D277D">
      <w:pPr>
        <w:spacing w:line="360" w:lineRule="auto"/>
        <w:ind w:firstLine="426"/>
        <w:jc w:val="both"/>
        <w:rPr>
          <w:rFonts w:ascii="Times New Roman" w:hAnsi="Times New Roman" w:cs="Times New Roman"/>
          <w:sz w:val="24"/>
          <w:szCs w:val="24"/>
        </w:rPr>
      </w:pPr>
      <w:r w:rsidRPr="005F4991">
        <w:rPr>
          <w:rFonts w:ascii="Times New Roman" w:hAnsi="Times New Roman" w:cs="Times New Roman"/>
          <w:color w:val="000000"/>
          <w:sz w:val="24"/>
          <w:szCs w:val="24"/>
          <w:lang w:eastAsia="fr-FR"/>
        </w:rPr>
        <w:t xml:space="preserve">En ce qui concerne l’évaluation de la qualité d’un dispositif bancaire de lutte anti-blanchiment d’argent, </w:t>
      </w:r>
      <w:r w:rsidRPr="005F4991">
        <w:rPr>
          <w:rFonts w:ascii="Times New Roman" w:hAnsi="Times New Roman" w:cs="Times New Roman"/>
          <w:sz w:val="24"/>
          <w:szCs w:val="24"/>
        </w:rPr>
        <w:t>l</w:t>
      </w:r>
      <w:r>
        <w:rPr>
          <w:rFonts w:ascii="Times New Roman" w:hAnsi="Times New Roman" w:cs="Times New Roman"/>
          <w:sz w:val="24"/>
          <w:szCs w:val="24"/>
        </w:rPr>
        <w:t>e chargé de l</w:t>
      </w:r>
      <w:r w:rsidRPr="005F4991">
        <w:rPr>
          <w:rFonts w:ascii="Times New Roman" w:hAnsi="Times New Roman" w:cs="Times New Roman"/>
          <w:sz w:val="24"/>
          <w:szCs w:val="24"/>
        </w:rPr>
        <w:t>’évaluat</w:t>
      </w:r>
      <w:r>
        <w:rPr>
          <w:rFonts w:ascii="Times New Roman" w:hAnsi="Times New Roman" w:cs="Times New Roman"/>
          <w:sz w:val="24"/>
          <w:szCs w:val="24"/>
        </w:rPr>
        <w:t>ion</w:t>
      </w:r>
      <w:r w:rsidRPr="005F4991">
        <w:rPr>
          <w:rFonts w:ascii="Times New Roman" w:hAnsi="Times New Roman" w:cs="Times New Roman"/>
          <w:sz w:val="24"/>
          <w:szCs w:val="24"/>
        </w:rPr>
        <w:t xml:space="preserve"> </w:t>
      </w:r>
      <w:r>
        <w:rPr>
          <w:rFonts w:ascii="Times New Roman" w:hAnsi="Times New Roman" w:cs="Times New Roman"/>
          <w:sz w:val="24"/>
          <w:szCs w:val="24"/>
        </w:rPr>
        <w:t>est tenu d’</w:t>
      </w:r>
      <w:r w:rsidRPr="005F4991">
        <w:rPr>
          <w:rFonts w:ascii="Times New Roman" w:hAnsi="Times New Roman" w:cs="Times New Roman"/>
          <w:sz w:val="24"/>
          <w:szCs w:val="24"/>
        </w:rPr>
        <w:t xml:space="preserve">examiner principalement les quatre points </w:t>
      </w:r>
      <w:r>
        <w:rPr>
          <w:rFonts w:ascii="Times New Roman" w:hAnsi="Times New Roman" w:cs="Times New Roman"/>
          <w:sz w:val="24"/>
          <w:szCs w:val="24"/>
        </w:rPr>
        <w:t>cités ci-après</w:t>
      </w:r>
      <w:r w:rsidRPr="005F4991">
        <w:rPr>
          <w:rFonts w:ascii="Times New Roman" w:hAnsi="Times New Roman" w:cs="Times New Roman"/>
          <w:sz w:val="24"/>
          <w:szCs w:val="24"/>
        </w:rPr>
        <w:t xml:space="preserve">:  </w:t>
      </w:r>
    </w:p>
    <w:p w:rsidR="00E105F0" w:rsidRPr="005F4991" w:rsidRDefault="00E105F0" w:rsidP="00E105F0">
      <w:pPr>
        <w:numPr>
          <w:ilvl w:val="0"/>
          <w:numId w:val="7"/>
        </w:numPr>
        <w:spacing w:after="0" w:line="360" w:lineRule="auto"/>
        <w:jc w:val="both"/>
        <w:rPr>
          <w:rFonts w:ascii="Times New Roman" w:hAnsi="Times New Roman" w:cs="Times New Roman"/>
          <w:sz w:val="24"/>
          <w:szCs w:val="24"/>
        </w:rPr>
      </w:pPr>
      <w:r w:rsidRPr="005F4991">
        <w:rPr>
          <w:rFonts w:ascii="Times New Roman" w:hAnsi="Times New Roman" w:cs="Times New Roman"/>
          <w:sz w:val="24"/>
          <w:szCs w:val="24"/>
        </w:rPr>
        <w:t>Le rôle et l’action du correspondant CTRF ; </w:t>
      </w:r>
    </w:p>
    <w:p w:rsidR="00E105F0" w:rsidRPr="005F4991" w:rsidRDefault="00E105F0" w:rsidP="00E105F0">
      <w:pPr>
        <w:pStyle w:val="Paragraphedeliste"/>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q</w:t>
      </w:r>
      <w:r w:rsidRPr="005F4991">
        <w:rPr>
          <w:rFonts w:ascii="Times New Roman" w:hAnsi="Times New Roman" w:cs="Times New Roman"/>
          <w:sz w:val="24"/>
          <w:szCs w:val="24"/>
        </w:rPr>
        <w:t>ualité de la réglementation interne ;</w:t>
      </w:r>
    </w:p>
    <w:p w:rsidR="00E105F0" w:rsidRPr="005F4991" w:rsidRDefault="00E105F0" w:rsidP="00E105F0">
      <w:pPr>
        <w:pStyle w:val="Paragraphedeliste"/>
        <w:numPr>
          <w:ilvl w:val="0"/>
          <w:numId w:val="6"/>
        </w:numPr>
        <w:spacing w:after="0" w:line="360" w:lineRule="auto"/>
        <w:jc w:val="both"/>
        <w:rPr>
          <w:rFonts w:ascii="Times New Roman" w:hAnsi="Times New Roman" w:cs="Times New Roman"/>
          <w:sz w:val="24"/>
          <w:szCs w:val="24"/>
        </w:rPr>
      </w:pPr>
      <w:r w:rsidRPr="005F4991">
        <w:rPr>
          <w:rFonts w:ascii="Times New Roman" w:hAnsi="Times New Roman" w:cs="Times New Roman"/>
          <w:sz w:val="24"/>
          <w:szCs w:val="24"/>
        </w:rPr>
        <w:t>Le système de surveillance ;</w:t>
      </w:r>
    </w:p>
    <w:p w:rsidR="00E105F0" w:rsidRDefault="00E105F0" w:rsidP="00E105F0">
      <w:pPr>
        <w:pStyle w:val="Paragraphedeliste"/>
        <w:numPr>
          <w:ilvl w:val="0"/>
          <w:numId w:val="6"/>
        </w:numPr>
        <w:spacing w:line="360" w:lineRule="auto"/>
        <w:jc w:val="both"/>
        <w:rPr>
          <w:rFonts w:ascii="Times New Roman" w:hAnsi="Times New Roman" w:cs="Times New Roman"/>
          <w:sz w:val="24"/>
          <w:szCs w:val="24"/>
        </w:rPr>
      </w:pPr>
      <w:r w:rsidRPr="005F4991">
        <w:rPr>
          <w:rFonts w:ascii="Times New Roman" w:hAnsi="Times New Roman" w:cs="Times New Roman"/>
          <w:sz w:val="24"/>
          <w:szCs w:val="24"/>
        </w:rPr>
        <w:t>Le contrôle interne.</w:t>
      </w:r>
    </w:p>
    <w:p w:rsidR="00E105F0" w:rsidRDefault="00E105F0" w:rsidP="005D277D">
      <w:pPr>
        <w:spacing w:line="360" w:lineRule="auto"/>
        <w:ind w:firstLine="426"/>
        <w:jc w:val="both"/>
        <w:rPr>
          <w:rFonts w:ascii="Times New Roman" w:hAnsi="Times New Roman" w:cs="Times New Roman"/>
          <w:sz w:val="24"/>
          <w:szCs w:val="24"/>
        </w:rPr>
      </w:pPr>
      <w:r w:rsidRPr="005F4991">
        <w:rPr>
          <w:rFonts w:ascii="Times New Roman" w:hAnsi="Times New Roman" w:cs="Times New Roman"/>
          <w:color w:val="000000"/>
          <w:sz w:val="24"/>
          <w:szCs w:val="24"/>
          <w:lang w:eastAsia="fr-FR"/>
        </w:rPr>
        <w:t>Concernant le deuxième volet d’évaluation relatif à l’évaluation de l’efficacité d’un dispositif bancaire de lut</w:t>
      </w:r>
      <w:r>
        <w:rPr>
          <w:rFonts w:ascii="Times New Roman" w:hAnsi="Times New Roman" w:cs="Times New Roman"/>
          <w:color w:val="000000"/>
          <w:sz w:val="24"/>
          <w:szCs w:val="24"/>
          <w:lang w:eastAsia="fr-FR"/>
        </w:rPr>
        <w:t>te anti-blanchiment d’argent, le chargé de l’</w:t>
      </w:r>
      <w:r w:rsidRPr="005F4991">
        <w:rPr>
          <w:rFonts w:ascii="Times New Roman" w:hAnsi="Times New Roman" w:cs="Times New Roman"/>
          <w:color w:val="000000"/>
          <w:sz w:val="24"/>
          <w:szCs w:val="24"/>
          <w:lang w:eastAsia="fr-FR"/>
        </w:rPr>
        <w:t>évaluat</w:t>
      </w:r>
      <w:r>
        <w:rPr>
          <w:rFonts w:ascii="Times New Roman" w:hAnsi="Times New Roman" w:cs="Times New Roman"/>
          <w:color w:val="000000"/>
          <w:sz w:val="24"/>
          <w:szCs w:val="24"/>
          <w:lang w:eastAsia="fr-FR"/>
        </w:rPr>
        <w:t>ion</w:t>
      </w:r>
      <w:r w:rsidRPr="005F4991">
        <w:rPr>
          <w:rFonts w:ascii="Times New Roman" w:hAnsi="Times New Roman" w:cs="Times New Roman"/>
          <w:color w:val="000000"/>
          <w:sz w:val="24"/>
          <w:szCs w:val="24"/>
          <w:lang w:eastAsia="fr-FR"/>
        </w:rPr>
        <w:t xml:space="preserve"> </w:t>
      </w:r>
      <w:r>
        <w:rPr>
          <w:rFonts w:ascii="Times New Roman" w:hAnsi="Times New Roman" w:cs="Times New Roman"/>
          <w:color w:val="000000"/>
          <w:sz w:val="24"/>
          <w:szCs w:val="24"/>
          <w:lang w:eastAsia="fr-FR"/>
        </w:rPr>
        <w:t xml:space="preserve">est appelé à </w:t>
      </w:r>
      <w:r w:rsidRPr="005F4991">
        <w:rPr>
          <w:rFonts w:ascii="Times New Roman" w:hAnsi="Times New Roman" w:cs="Times New Roman"/>
          <w:color w:val="000000"/>
          <w:sz w:val="24"/>
          <w:szCs w:val="24"/>
          <w:lang w:eastAsia="fr-FR"/>
        </w:rPr>
        <w:t xml:space="preserve">donner son appréciation </w:t>
      </w:r>
      <w:r w:rsidRPr="005F4991">
        <w:rPr>
          <w:rFonts w:ascii="Times New Roman" w:hAnsi="Times New Roman" w:cs="Times New Roman"/>
          <w:sz w:val="24"/>
          <w:szCs w:val="24"/>
        </w:rPr>
        <w:t>par rapport à un échantillon de dossier examinés. Cette évaluation doit comprendre les points suivants :</w:t>
      </w:r>
    </w:p>
    <w:p w:rsidR="00E105F0" w:rsidRPr="005F4991" w:rsidRDefault="00E105F0" w:rsidP="00E105F0">
      <w:pPr>
        <w:pStyle w:val="Paragraphedeliste"/>
        <w:numPr>
          <w:ilvl w:val="0"/>
          <w:numId w:val="8"/>
        </w:numPr>
        <w:spacing w:after="0" w:line="360" w:lineRule="auto"/>
        <w:jc w:val="both"/>
        <w:rPr>
          <w:rFonts w:ascii="Times New Roman" w:hAnsi="Times New Roman" w:cs="Times New Roman"/>
          <w:sz w:val="24"/>
          <w:szCs w:val="24"/>
        </w:rPr>
      </w:pPr>
      <w:r w:rsidRPr="005F4991">
        <w:rPr>
          <w:rFonts w:ascii="Times New Roman" w:hAnsi="Times New Roman" w:cs="Times New Roman"/>
          <w:sz w:val="24"/>
          <w:szCs w:val="24"/>
        </w:rPr>
        <w:t>L’identification de la clientèle</w:t>
      </w:r>
      <w:r>
        <w:rPr>
          <w:rFonts w:ascii="Times New Roman" w:hAnsi="Times New Roman" w:cs="Times New Roman"/>
          <w:sz w:val="24"/>
          <w:szCs w:val="24"/>
        </w:rPr>
        <w:t> ;</w:t>
      </w:r>
      <w:r w:rsidRPr="005F4991">
        <w:rPr>
          <w:rFonts w:ascii="Times New Roman" w:hAnsi="Times New Roman" w:cs="Times New Roman"/>
          <w:sz w:val="24"/>
          <w:szCs w:val="24"/>
        </w:rPr>
        <w:t xml:space="preserve"> </w:t>
      </w:r>
    </w:p>
    <w:p w:rsidR="00E105F0" w:rsidRPr="005F4991" w:rsidRDefault="00E105F0" w:rsidP="00E105F0">
      <w:pPr>
        <w:pStyle w:val="Paragraphedeliste"/>
        <w:numPr>
          <w:ilvl w:val="0"/>
          <w:numId w:val="8"/>
        </w:numPr>
        <w:spacing w:after="0" w:line="360" w:lineRule="auto"/>
        <w:jc w:val="both"/>
        <w:rPr>
          <w:rFonts w:ascii="Times New Roman" w:hAnsi="Times New Roman" w:cs="Times New Roman"/>
          <w:sz w:val="24"/>
          <w:szCs w:val="24"/>
        </w:rPr>
      </w:pPr>
      <w:r w:rsidRPr="005F4991">
        <w:rPr>
          <w:rFonts w:ascii="Times New Roman" w:hAnsi="Times New Roman" w:cs="Times New Roman"/>
          <w:sz w:val="24"/>
          <w:szCs w:val="24"/>
        </w:rPr>
        <w:t>La conservation des documents et des renseignements</w:t>
      </w:r>
      <w:r>
        <w:rPr>
          <w:rFonts w:ascii="Times New Roman" w:hAnsi="Times New Roman" w:cs="Times New Roman"/>
          <w:sz w:val="24"/>
          <w:szCs w:val="24"/>
        </w:rPr>
        <w:t> ;</w:t>
      </w:r>
      <w:r w:rsidRPr="005F4991">
        <w:rPr>
          <w:rFonts w:ascii="Times New Roman" w:hAnsi="Times New Roman" w:cs="Times New Roman"/>
          <w:sz w:val="24"/>
          <w:szCs w:val="24"/>
        </w:rPr>
        <w:t> </w:t>
      </w:r>
    </w:p>
    <w:p w:rsidR="00E105F0" w:rsidRPr="005F4991" w:rsidRDefault="00E105F0" w:rsidP="00E105F0">
      <w:pPr>
        <w:pStyle w:val="Paragraphedeliste"/>
        <w:numPr>
          <w:ilvl w:val="0"/>
          <w:numId w:val="8"/>
        </w:numPr>
        <w:spacing w:line="360" w:lineRule="auto"/>
        <w:jc w:val="both"/>
        <w:rPr>
          <w:rFonts w:ascii="Times New Roman" w:hAnsi="Times New Roman" w:cs="Times New Roman"/>
          <w:sz w:val="24"/>
          <w:szCs w:val="24"/>
        </w:rPr>
      </w:pPr>
      <w:r w:rsidRPr="005F4991">
        <w:rPr>
          <w:rFonts w:ascii="Times New Roman" w:hAnsi="Times New Roman" w:cs="Times New Roman"/>
          <w:sz w:val="24"/>
          <w:szCs w:val="24"/>
        </w:rPr>
        <w:t>L’efficacité du dispositif de déclaration de soupçon</w:t>
      </w:r>
      <w:r>
        <w:rPr>
          <w:rFonts w:ascii="Times New Roman" w:hAnsi="Times New Roman" w:cs="Times New Roman"/>
          <w:sz w:val="24"/>
          <w:szCs w:val="24"/>
        </w:rPr>
        <w:t> ;</w:t>
      </w:r>
      <w:r w:rsidRPr="005F4991">
        <w:rPr>
          <w:rFonts w:ascii="Times New Roman" w:hAnsi="Times New Roman" w:cs="Times New Roman"/>
          <w:sz w:val="24"/>
          <w:szCs w:val="24"/>
        </w:rPr>
        <w:t> </w:t>
      </w:r>
    </w:p>
    <w:p w:rsidR="00E105F0" w:rsidRPr="005F4991" w:rsidRDefault="00E105F0" w:rsidP="00E105F0">
      <w:pPr>
        <w:pStyle w:val="Paragraphedeliste"/>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L’i</w:t>
      </w:r>
      <w:r w:rsidRPr="005F4991">
        <w:rPr>
          <w:rFonts w:ascii="Times New Roman" w:hAnsi="Times New Roman" w:cs="Times New Roman"/>
          <w:sz w:val="24"/>
          <w:szCs w:val="24"/>
        </w:rPr>
        <w:t>nformation et la formation du personnel</w:t>
      </w:r>
      <w:r>
        <w:rPr>
          <w:rFonts w:ascii="Times New Roman" w:hAnsi="Times New Roman" w:cs="Times New Roman"/>
          <w:sz w:val="24"/>
          <w:szCs w:val="24"/>
        </w:rPr>
        <w:t>.</w:t>
      </w:r>
      <w:r w:rsidRPr="005F4991">
        <w:rPr>
          <w:rFonts w:ascii="Times New Roman" w:hAnsi="Times New Roman" w:cs="Times New Roman"/>
          <w:sz w:val="24"/>
          <w:szCs w:val="24"/>
        </w:rPr>
        <w:t> </w:t>
      </w:r>
    </w:p>
    <w:p w:rsidR="00E105F0" w:rsidRPr="005F4991" w:rsidRDefault="00E105F0" w:rsidP="00E105F0">
      <w:pPr>
        <w:spacing w:line="360" w:lineRule="auto"/>
        <w:ind w:firstLine="426"/>
        <w:jc w:val="both"/>
        <w:rPr>
          <w:rFonts w:ascii="Times New Roman" w:hAnsi="Times New Roman" w:cs="Times New Roman"/>
          <w:sz w:val="24"/>
          <w:szCs w:val="24"/>
        </w:rPr>
      </w:pPr>
      <w:r w:rsidRPr="005F4991">
        <w:rPr>
          <w:rFonts w:ascii="Times New Roman" w:hAnsi="Times New Roman" w:cs="Times New Roman"/>
          <w:sz w:val="24"/>
          <w:szCs w:val="24"/>
        </w:rPr>
        <w:t>Il est à rappeler que conformément aux normes internationales établies par le Comité de Bâle sur le contrôle bancaire et le</w:t>
      </w:r>
      <w:r>
        <w:rPr>
          <w:rFonts w:ascii="Times New Roman" w:hAnsi="Times New Roman" w:cs="Times New Roman"/>
          <w:sz w:val="24"/>
          <w:szCs w:val="24"/>
        </w:rPr>
        <w:t>s recommandations du</w:t>
      </w:r>
      <w:r w:rsidRPr="005F4991">
        <w:rPr>
          <w:rFonts w:ascii="Times New Roman" w:hAnsi="Times New Roman" w:cs="Times New Roman"/>
          <w:sz w:val="24"/>
          <w:szCs w:val="24"/>
        </w:rPr>
        <w:t xml:space="preserve"> GAFI, les pays doivent s’assurer que leurs institutions financières ont</w:t>
      </w:r>
      <w:r>
        <w:rPr>
          <w:rFonts w:ascii="Times New Roman" w:hAnsi="Times New Roman" w:cs="Times New Roman"/>
          <w:sz w:val="24"/>
          <w:szCs w:val="24"/>
        </w:rPr>
        <w:t xml:space="preserve"> mis</w:t>
      </w:r>
      <w:r w:rsidRPr="005F4991">
        <w:rPr>
          <w:rFonts w:ascii="Times New Roman" w:hAnsi="Times New Roman" w:cs="Times New Roman"/>
          <w:sz w:val="24"/>
          <w:szCs w:val="24"/>
        </w:rPr>
        <w:t xml:space="preserve"> en place un dispositif de lutte contre le blanchiment d</w:t>
      </w:r>
      <w:r>
        <w:rPr>
          <w:rFonts w:ascii="Times New Roman" w:hAnsi="Times New Roman" w:cs="Times New Roman"/>
          <w:sz w:val="24"/>
          <w:szCs w:val="24"/>
        </w:rPr>
        <w:t>’argent. En Algérie, c’est  le rôle de la b</w:t>
      </w:r>
      <w:r w:rsidRPr="005F4991">
        <w:rPr>
          <w:rFonts w:ascii="Times New Roman" w:hAnsi="Times New Roman" w:cs="Times New Roman"/>
          <w:sz w:val="24"/>
          <w:szCs w:val="24"/>
        </w:rPr>
        <w:t>anque d’Algérie qui veille à assurer un haut niveau d’éthique et de professionnalisme dans le secteur et ce, par l’évaluat</w:t>
      </w:r>
      <w:r>
        <w:rPr>
          <w:rFonts w:ascii="Times New Roman" w:hAnsi="Times New Roman" w:cs="Times New Roman"/>
          <w:sz w:val="24"/>
          <w:szCs w:val="24"/>
        </w:rPr>
        <w:t>ion périodique des dispositifs anti-blanchiment d’argent d</w:t>
      </w:r>
      <w:r w:rsidRPr="005F4991">
        <w:rPr>
          <w:rFonts w:ascii="Times New Roman" w:hAnsi="Times New Roman" w:cs="Times New Roman"/>
          <w:sz w:val="24"/>
          <w:szCs w:val="24"/>
        </w:rPr>
        <w:t>es banques algérienne</w:t>
      </w:r>
      <w:r>
        <w:rPr>
          <w:rFonts w:ascii="Times New Roman" w:hAnsi="Times New Roman" w:cs="Times New Roman"/>
          <w:sz w:val="24"/>
          <w:szCs w:val="24"/>
        </w:rPr>
        <w:t>s</w:t>
      </w:r>
      <w:r w:rsidRPr="005F4991">
        <w:rPr>
          <w:rFonts w:ascii="Times New Roman" w:hAnsi="Times New Roman" w:cs="Times New Roman"/>
          <w:sz w:val="24"/>
          <w:szCs w:val="24"/>
        </w:rPr>
        <w:t>.</w:t>
      </w:r>
    </w:p>
    <w:p w:rsidR="00E105F0" w:rsidRPr="005F4991" w:rsidRDefault="00E105F0" w:rsidP="00E105F0">
      <w:pPr>
        <w:autoSpaceDE w:val="0"/>
        <w:autoSpaceDN w:val="0"/>
        <w:adjustRightInd w:val="0"/>
        <w:spacing w:line="360" w:lineRule="auto"/>
        <w:ind w:firstLine="426"/>
        <w:jc w:val="both"/>
        <w:rPr>
          <w:rFonts w:ascii="Times New Roman" w:hAnsi="Times New Roman" w:cs="Times New Roman"/>
          <w:sz w:val="24"/>
          <w:szCs w:val="24"/>
        </w:rPr>
      </w:pPr>
      <w:r w:rsidRPr="005F4991">
        <w:rPr>
          <w:rFonts w:ascii="Times New Roman" w:hAnsi="Times New Roman" w:cs="Times New Roman"/>
          <w:sz w:val="24"/>
          <w:szCs w:val="24"/>
        </w:rPr>
        <w:lastRenderedPageBreak/>
        <w:t>Cependant, les évaluations directes effectuées par l’autorité de contrôle</w:t>
      </w:r>
      <w:r>
        <w:rPr>
          <w:rFonts w:ascii="Times New Roman" w:hAnsi="Times New Roman" w:cs="Times New Roman"/>
          <w:sz w:val="24"/>
          <w:szCs w:val="24"/>
        </w:rPr>
        <w:t>,</w:t>
      </w:r>
      <w:r w:rsidRPr="005F4991">
        <w:rPr>
          <w:rFonts w:ascii="Times New Roman" w:hAnsi="Times New Roman" w:cs="Times New Roman"/>
          <w:sz w:val="24"/>
          <w:szCs w:val="24"/>
        </w:rPr>
        <w:t xml:space="preserve"> </w:t>
      </w:r>
      <w:r>
        <w:rPr>
          <w:rFonts w:ascii="Times New Roman" w:hAnsi="Times New Roman" w:cs="Times New Roman"/>
          <w:sz w:val="24"/>
          <w:szCs w:val="24"/>
        </w:rPr>
        <w:t xml:space="preserve">représentée par la </w:t>
      </w:r>
      <w:r w:rsidRPr="005F4991">
        <w:rPr>
          <w:rFonts w:ascii="Times New Roman" w:hAnsi="Times New Roman" w:cs="Times New Roman"/>
          <w:sz w:val="24"/>
          <w:szCs w:val="24"/>
        </w:rPr>
        <w:t>commissi</w:t>
      </w:r>
      <w:r>
        <w:rPr>
          <w:rFonts w:ascii="Times New Roman" w:hAnsi="Times New Roman" w:cs="Times New Roman"/>
          <w:sz w:val="24"/>
          <w:szCs w:val="24"/>
        </w:rPr>
        <w:t xml:space="preserve">on bancaire de la banque d’Algérie ne seraient pas d’une utilité optimale à cause du </w:t>
      </w:r>
      <w:r w:rsidRPr="005F4991">
        <w:rPr>
          <w:rFonts w:ascii="Times New Roman" w:hAnsi="Times New Roman" w:cs="Times New Roman"/>
          <w:sz w:val="24"/>
          <w:szCs w:val="24"/>
        </w:rPr>
        <w:t xml:space="preserve">nombre </w:t>
      </w:r>
      <w:r>
        <w:rPr>
          <w:rFonts w:ascii="Times New Roman" w:hAnsi="Times New Roman" w:cs="Times New Roman"/>
          <w:sz w:val="24"/>
          <w:szCs w:val="24"/>
        </w:rPr>
        <w:t xml:space="preserve">réduit des inspecteurs par rapport au nombre élevé des agences bancaires, ce qui obligé </w:t>
      </w:r>
      <w:r w:rsidRPr="005F4991">
        <w:rPr>
          <w:rFonts w:ascii="Times New Roman" w:hAnsi="Times New Roman" w:cs="Times New Roman"/>
          <w:sz w:val="24"/>
          <w:szCs w:val="24"/>
        </w:rPr>
        <w:t xml:space="preserve">la commission bancaire à prévoir </w:t>
      </w:r>
      <w:r>
        <w:rPr>
          <w:rFonts w:ascii="Times New Roman" w:hAnsi="Times New Roman" w:cs="Times New Roman"/>
          <w:sz w:val="24"/>
          <w:szCs w:val="24"/>
        </w:rPr>
        <w:t>l’</w:t>
      </w:r>
      <w:r w:rsidRPr="005F4991">
        <w:rPr>
          <w:rFonts w:ascii="Times New Roman" w:hAnsi="Times New Roman" w:cs="Times New Roman"/>
          <w:sz w:val="24"/>
          <w:szCs w:val="24"/>
        </w:rPr>
        <w:t>évaluation</w:t>
      </w:r>
      <w:r>
        <w:rPr>
          <w:rFonts w:ascii="Times New Roman" w:hAnsi="Times New Roman" w:cs="Times New Roman"/>
          <w:sz w:val="24"/>
          <w:szCs w:val="24"/>
        </w:rPr>
        <w:t xml:space="preserve"> du même dispositif bancaire,</w:t>
      </w:r>
      <w:r w:rsidRPr="005F4991">
        <w:rPr>
          <w:rFonts w:ascii="Times New Roman" w:hAnsi="Times New Roman" w:cs="Times New Roman"/>
          <w:sz w:val="24"/>
          <w:szCs w:val="24"/>
        </w:rPr>
        <w:t xml:space="preserve"> sauf exception, tous les 3 ans. A cet égard, il paraît évident que le contrôle des banques effectué par  les professionnels mandatés sera </w:t>
      </w:r>
      <w:r>
        <w:rPr>
          <w:rFonts w:ascii="Times New Roman" w:hAnsi="Times New Roman" w:cs="Times New Roman"/>
          <w:sz w:val="24"/>
          <w:szCs w:val="24"/>
        </w:rPr>
        <w:t xml:space="preserve">d’une importance primordiale dans la lutte contre le blanchiment d’argent en Algérie.  </w:t>
      </w:r>
      <w:r w:rsidRPr="005F4991">
        <w:rPr>
          <w:rFonts w:ascii="Times New Roman" w:hAnsi="Times New Roman" w:cs="Times New Roman"/>
          <w:sz w:val="24"/>
          <w:szCs w:val="24"/>
        </w:rPr>
        <w:t xml:space="preserve"> </w:t>
      </w:r>
    </w:p>
    <w:p w:rsidR="00E105F0" w:rsidRDefault="00E105F0" w:rsidP="00E105F0">
      <w:pPr>
        <w:tabs>
          <w:tab w:val="left" w:pos="567"/>
        </w:tabs>
        <w:autoSpaceDE w:val="0"/>
        <w:autoSpaceDN w:val="0"/>
        <w:adjustRightInd w:val="0"/>
        <w:spacing w:line="360" w:lineRule="auto"/>
        <w:ind w:firstLine="426"/>
        <w:jc w:val="both"/>
        <w:rPr>
          <w:rFonts w:ascii="Times New Roman" w:hAnsi="Times New Roman" w:cs="Times New Roman"/>
          <w:sz w:val="24"/>
          <w:szCs w:val="24"/>
        </w:rPr>
      </w:pPr>
      <w:r w:rsidRPr="005F4991">
        <w:rPr>
          <w:rFonts w:ascii="Times New Roman" w:hAnsi="Times New Roman" w:cs="Times New Roman"/>
          <w:sz w:val="24"/>
          <w:szCs w:val="24"/>
        </w:rPr>
        <w:t>Par ailleurs, il est évident qu’un respect strict des obligations de diligence définies dans notre arsenal juridique permettra de lutter plus efficacement contre le blanchiment, ou tout au moins d’en freiner le processus.</w:t>
      </w:r>
    </w:p>
    <w:p w:rsidR="00E105F0" w:rsidRPr="005F4991" w:rsidRDefault="00E105F0" w:rsidP="00E105F0">
      <w:pPr>
        <w:tabs>
          <w:tab w:val="left" w:pos="567"/>
        </w:tabs>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Dans cette logique</w:t>
      </w:r>
      <w:r w:rsidRPr="005F4991">
        <w:rPr>
          <w:rFonts w:ascii="Times New Roman" w:hAnsi="Times New Roman" w:cs="Times New Roman"/>
          <w:sz w:val="24"/>
          <w:szCs w:val="24"/>
        </w:rPr>
        <w:t xml:space="preserve">, on a </w:t>
      </w:r>
      <w:r>
        <w:rPr>
          <w:rFonts w:ascii="Times New Roman" w:hAnsi="Times New Roman" w:cs="Times New Roman"/>
          <w:sz w:val="24"/>
          <w:szCs w:val="24"/>
        </w:rPr>
        <w:t>défini</w:t>
      </w:r>
      <w:r w:rsidRPr="005F4991">
        <w:rPr>
          <w:rFonts w:ascii="Times New Roman" w:hAnsi="Times New Roman" w:cs="Times New Roman"/>
          <w:sz w:val="24"/>
          <w:szCs w:val="24"/>
        </w:rPr>
        <w:t xml:space="preserve"> un référentiel d’évaluation qui regroupe les principales obligations de diligence </w:t>
      </w:r>
      <w:r>
        <w:rPr>
          <w:rFonts w:ascii="Times New Roman" w:hAnsi="Times New Roman" w:cs="Times New Roman"/>
          <w:sz w:val="24"/>
          <w:szCs w:val="24"/>
        </w:rPr>
        <w:t>en matière de lutte contre le blanchiment d’argent</w:t>
      </w:r>
      <w:r w:rsidRPr="005F4991">
        <w:rPr>
          <w:rFonts w:ascii="Times New Roman" w:hAnsi="Times New Roman" w:cs="Times New Roman"/>
          <w:sz w:val="24"/>
          <w:szCs w:val="24"/>
        </w:rPr>
        <w:t xml:space="preserve">. La finalité de ce référentiel d’évaluation était de présenter une démarche qui peut être utilisée par </w:t>
      </w:r>
      <w:r>
        <w:rPr>
          <w:rFonts w:ascii="Times New Roman" w:hAnsi="Times New Roman" w:cs="Times New Roman"/>
          <w:sz w:val="24"/>
          <w:szCs w:val="24"/>
        </w:rPr>
        <w:t xml:space="preserve">le chargé de l’évaluation au sein de la banque </w:t>
      </w:r>
      <w:r w:rsidRPr="005F4991">
        <w:rPr>
          <w:rFonts w:ascii="Times New Roman" w:hAnsi="Times New Roman" w:cs="Times New Roman"/>
          <w:sz w:val="24"/>
          <w:szCs w:val="24"/>
        </w:rPr>
        <w:t>et</w:t>
      </w:r>
      <w:r>
        <w:rPr>
          <w:rFonts w:ascii="Times New Roman" w:hAnsi="Times New Roman" w:cs="Times New Roman"/>
          <w:sz w:val="24"/>
          <w:szCs w:val="24"/>
        </w:rPr>
        <w:t xml:space="preserve"> par</w:t>
      </w:r>
      <w:r w:rsidRPr="005F4991">
        <w:rPr>
          <w:rFonts w:ascii="Times New Roman" w:hAnsi="Times New Roman" w:cs="Times New Roman"/>
          <w:sz w:val="24"/>
          <w:szCs w:val="24"/>
        </w:rPr>
        <w:t xml:space="preserve"> les professionnels mandatés par la banque afin de garantir une exploitation optimale </w:t>
      </w:r>
      <w:r>
        <w:rPr>
          <w:rFonts w:ascii="Times New Roman" w:hAnsi="Times New Roman" w:cs="Times New Roman"/>
          <w:sz w:val="24"/>
          <w:szCs w:val="24"/>
        </w:rPr>
        <w:t>par l’autorité de contrôle en Algérie</w:t>
      </w:r>
      <w:r w:rsidRPr="005F4991">
        <w:rPr>
          <w:rFonts w:ascii="Times New Roman" w:hAnsi="Times New Roman" w:cs="Times New Roman"/>
          <w:sz w:val="24"/>
          <w:szCs w:val="24"/>
        </w:rPr>
        <w:t xml:space="preserve"> des rapports établis</w:t>
      </w:r>
      <w:r>
        <w:rPr>
          <w:rFonts w:ascii="Times New Roman" w:hAnsi="Times New Roman" w:cs="Times New Roman"/>
          <w:sz w:val="24"/>
          <w:szCs w:val="24"/>
        </w:rPr>
        <w:t xml:space="preserve">. En outre, ces rapports d’évaluation qui peuvent </w:t>
      </w:r>
      <w:r w:rsidRPr="005F4991">
        <w:rPr>
          <w:rFonts w:ascii="Times New Roman" w:hAnsi="Times New Roman" w:cs="Times New Roman"/>
          <w:sz w:val="24"/>
          <w:szCs w:val="24"/>
        </w:rPr>
        <w:t>constitu</w:t>
      </w:r>
      <w:r>
        <w:rPr>
          <w:rFonts w:ascii="Times New Roman" w:hAnsi="Times New Roman" w:cs="Times New Roman"/>
          <w:sz w:val="24"/>
          <w:szCs w:val="24"/>
        </w:rPr>
        <w:t xml:space="preserve">er </w:t>
      </w:r>
      <w:r w:rsidRPr="005F4991">
        <w:rPr>
          <w:rFonts w:ascii="Times New Roman" w:hAnsi="Times New Roman" w:cs="Times New Roman"/>
          <w:sz w:val="24"/>
          <w:szCs w:val="24"/>
        </w:rPr>
        <w:t>un outil de signalisation et de prévention contre les opérations de blanchiment de capitaux</w:t>
      </w:r>
      <w:r>
        <w:rPr>
          <w:rFonts w:ascii="Times New Roman" w:hAnsi="Times New Roman" w:cs="Times New Roman"/>
          <w:sz w:val="24"/>
          <w:szCs w:val="24"/>
        </w:rPr>
        <w:t xml:space="preserve"> en Algérie</w:t>
      </w:r>
      <w:r w:rsidRPr="005F4991">
        <w:rPr>
          <w:rFonts w:ascii="Times New Roman" w:hAnsi="Times New Roman" w:cs="Times New Roman"/>
          <w:sz w:val="24"/>
          <w:szCs w:val="24"/>
        </w:rPr>
        <w:t>.</w:t>
      </w:r>
    </w:p>
    <w:p w:rsidR="00E105F0" w:rsidRPr="005F4991" w:rsidRDefault="00E105F0" w:rsidP="00E105F0">
      <w:pPr>
        <w:tabs>
          <w:tab w:val="left" w:pos="426"/>
        </w:tabs>
        <w:spacing w:line="360" w:lineRule="auto"/>
        <w:ind w:firstLine="426"/>
        <w:jc w:val="both"/>
        <w:rPr>
          <w:rFonts w:ascii="Times New Roman" w:hAnsi="Times New Roman" w:cs="Times New Roman"/>
          <w:sz w:val="24"/>
          <w:szCs w:val="24"/>
        </w:rPr>
      </w:pPr>
      <w:r w:rsidRPr="005F4991">
        <w:rPr>
          <w:rFonts w:ascii="Times New Roman" w:hAnsi="Times New Roman" w:cs="Times New Roman"/>
          <w:sz w:val="24"/>
          <w:szCs w:val="24"/>
        </w:rPr>
        <w:t xml:space="preserve">De ce qui précède, on peut à présent répondre à la problématique centrale de cette </w:t>
      </w:r>
      <w:r>
        <w:rPr>
          <w:rFonts w:ascii="Times New Roman" w:hAnsi="Times New Roman" w:cs="Times New Roman"/>
          <w:sz w:val="24"/>
          <w:szCs w:val="24"/>
        </w:rPr>
        <w:t>étude</w:t>
      </w:r>
      <w:r w:rsidRPr="005F4991">
        <w:rPr>
          <w:rFonts w:ascii="Times New Roman" w:hAnsi="Times New Roman" w:cs="Times New Roman"/>
          <w:sz w:val="24"/>
          <w:szCs w:val="24"/>
        </w:rPr>
        <w:t xml:space="preserve"> en confirmant partiellement l'hypothèse principale précédemment proposée car le dispositif algérien de lutte contre le blanchiment d’argent </w:t>
      </w:r>
      <w:r>
        <w:rPr>
          <w:rFonts w:ascii="Times New Roman" w:hAnsi="Times New Roman" w:cs="Times New Roman"/>
          <w:sz w:val="24"/>
          <w:szCs w:val="24"/>
        </w:rPr>
        <w:t>et le financement du terrorisme</w:t>
      </w:r>
      <w:r w:rsidRPr="005F4991">
        <w:rPr>
          <w:rFonts w:ascii="Times New Roman" w:hAnsi="Times New Roman" w:cs="Times New Roman"/>
          <w:sz w:val="24"/>
          <w:szCs w:val="24"/>
        </w:rPr>
        <w:t>, bien que riche, est encore à l’état naissant et beauco</w:t>
      </w:r>
      <w:r>
        <w:rPr>
          <w:rFonts w:ascii="Times New Roman" w:hAnsi="Times New Roman" w:cs="Times New Roman"/>
          <w:sz w:val="24"/>
          <w:szCs w:val="24"/>
        </w:rPr>
        <w:t xml:space="preserve">up de choses restent à parfaire. Cependant, on peut avancer que </w:t>
      </w:r>
      <w:r w:rsidRPr="005F4991">
        <w:rPr>
          <w:rFonts w:ascii="Times New Roman" w:hAnsi="Times New Roman" w:cs="Times New Roman"/>
          <w:sz w:val="24"/>
          <w:szCs w:val="24"/>
        </w:rPr>
        <w:t>dans l’ensemble</w:t>
      </w:r>
      <w:r>
        <w:rPr>
          <w:rFonts w:ascii="Times New Roman" w:hAnsi="Times New Roman" w:cs="Times New Roman"/>
          <w:sz w:val="24"/>
          <w:szCs w:val="24"/>
        </w:rPr>
        <w:t xml:space="preserve"> </w:t>
      </w:r>
      <w:r w:rsidRPr="005F4991">
        <w:rPr>
          <w:rFonts w:ascii="Times New Roman" w:hAnsi="Times New Roman" w:cs="Times New Roman"/>
          <w:sz w:val="24"/>
          <w:szCs w:val="24"/>
        </w:rPr>
        <w:t xml:space="preserve">notre arsenal juridique </w:t>
      </w:r>
      <w:r>
        <w:rPr>
          <w:rFonts w:ascii="Times New Roman" w:hAnsi="Times New Roman" w:cs="Times New Roman"/>
          <w:sz w:val="24"/>
          <w:szCs w:val="24"/>
        </w:rPr>
        <w:t>couvre</w:t>
      </w:r>
      <w:r w:rsidRPr="005F4991">
        <w:rPr>
          <w:rFonts w:ascii="Times New Roman" w:hAnsi="Times New Roman" w:cs="Times New Roman"/>
          <w:sz w:val="24"/>
          <w:szCs w:val="24"/>
        </w:rPr>
        <w:t xml:space="preserve"> plus ou moi</w:t>
      </w:r>
      <w:r>
        <w:rPr>
          <w:rFonts w:ascii="Times New Roman" w:hAnsi="Times New Roman" w:cs="Times New Roman"/>
          <w:sz w:val="24"/>
          <w:szCs w:val="24"/>
        </w:rPr>
        <w:t>n</w:t>
      </w:r>
      <w:r w:rsidRPr="005F4991">
        <w:rPr>
          <w:rFonts w:ascii="Times New Roman" w:hAnsi="Times New Roman" w:cs="Times New Roman"/>
          <w:sz w:val="24"/>
          <w:szCs w:val="24"/>
        </w:rPr>
        <w:t xml:space="preserve">s toutes les normes recommandées par le GAFI. Concernant la deuxième partie de la problématique, qui avait pour objet la présentation d’un référentiel d’évaluation </w:t>
      </w:r>
      <w:r>
        <w:rPr>
          <w:rFonts w:ascii="Times New Roman" w:hAnsi="Times New Roman" w:cs="Times New Roman"/>
          <w:sz w:val="24"/>
          <w:szCs w:val="24"/>
        </w:rPr>
        <w:t>d’un</w:t>
      </w:r>
      <w:r w:rsidRPr="005F4991">
        <w:rPr>
          <w:rFonts w:ascii="Times New Roman" w:hAnsi="Times New Roman" w:cs="Times New Roman"/>
          <w:sz w:val="24"/>
          <w:szCs w:val="24"/>
        </w:rPr>
        <w:t xml:space="preserve"> dispositif  bancaire </w:t>
      </w:r>
      <w:r>
        <w:rPr>
          <w:rFonts w:ascii="Times New Roman" w:hAnsi="Times New Roman" w:cs="Times New Roman"/>
          <w:sz w:val="24"/>
          <w:szCs w:val="24"/>
        </w:rPr>
        <w:t xml:space="preserve">algérien </w:t>
      </w:r>
      <w:r w:rsidRPr="005F4991">
        <w:rPr>
          <w:rFonts w:ascii="Times New Roman" w:hAnsi="Times New Roman" w:cs="Times New Roman"/>
          <w:sz w:val="24"/>
          <w:szCs w:val="24"/>
        </w:rPr>
        <w:t>de lutte anti-blanchiment d’argent, on a noté que</w:t>
      </w:r>
      <w:r>
        <w:rPr>
          <w:rFonts w:ascii="Times New Roman" w:hAnsi="Times New Roman" w:cs="Times New Roman"/>
          <w:sz w:val="24"/>
          <w:szCs w:val="24"/>
        </w:rPr>
        <w:t xml:space="preserve"> toute évaluation efficace d’un dispositif bancaire doit tenir compte des deux volets d’évaluation à savoir, ceux relatifs à</w:t>
      </w:r>
      <w:r w:rsidRPr="005F4991">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5F4991">
        <w:rPr>
          <w:rFonts w:ascii="Times New Roman" w:hAnsi="Times New Roman" w:cs="Times New Roman"/>
          <w:sz w:val="24"/>
          <w:szCs w:val="24"/>
        </w:rPr>
        <w:t xml:space="preserve">qualité </w:t>
      </w:r>
      <w:r>
        <w:rPr>
          <w:rFonts w:ascii="Times New Roman" w:hAnsi="Times New Roman" w:cs="Times New Roman"/>
          <w:sz w:val="24"/>
          <w:szCs w:val="24"/>
        </w:rPr>
        <w:t xml:space="preserve">et à </w:t>
      </w:r>
      <w:r w:rsidRPr="005F4991">
        <w:rPr>
          <w:rFonts w:ascii="Times New Roman" w:hAnsi="Times New Roman" w:cs="Times New Roman"/>
          <w:sz w:val="24"/>
          <w:szCs w:val="24"/>
        </w:rPr>
        <w:t>l’efficacité</w:t>
      </w:r>
      <w:r>
        <w:rPr>
          <w:rFonts w:ascii="Times New Roman" w:hAnsi="Times New Roman" w:cs="Times New Roman"/>
          <w:sz w:val="24"/>
          <w:szCs w:val="24"/>
        </w:rPr>
        <w:t xml:space="preserve">. L’appréciation de cette dernière dépend de </w:t>
      </w:r>
      <w:r w:rsidRPr="005F4991">
        <w:rPr>
          <w:rFonts w:ascii="Times New Roman" w:hAnsi="Times New Roman" w:cs="Times New Roman"/>
          <w:sz w:val="24"/>
          <w:szCs w:val="24"/>
        </w:rPr>
        <w:t xml:space="preserve">la proportion de cas où la réglementation n’a pas été respectée par rapport à un échantillon de dossier examinés, alors que l’évaluation de la qualité touche plus précisément à l’organisation et aux procédures internes </w:t>
      </w:r>
      <w:r>
        <w:rPr>
          <w:rFonts w:ascii="Times New Roman" w:hAnsi="Times New Roman" w:cs="Times New Roman"/>
          <w:sz w:val="24"/>
          <w:szCs w:val="24"/>
        </w:rPr>
        <w:t xml:space="preserve">inscrites dans un </w:t>
      </w:r>
      <w:r w:rsidRPr="005F4991">
        <w:rPr>
          <w:rFonts w:ascii="Times New Roman" w:hAnsi="Times New Roman" w:cs="Times New Roman"/>
          <w:sz w:val="24"/>
          <w:szCs w:val="24"/>
        </w:rPr>
        <w:t xml:space="preserve">dispositif bancaire de lutte contre le blanchiment d’argent. Cependant, ce but ambitieux ne peut être atteint qu’après la réadaptation de ce référentiel à la </w:t>
      </w:r>
      <w:r w:rsidRPr="005F4991">
        <w:rPr>
          <w:rFonts w:ascii="Times New Roman" w:hAnsi="Times New Roman" w:cs="Times New Roman"/>
          <w:sz w:val="24"/>
          <w:szCs w:val="24"/>
        </w:rPr>
        <w:lastRenderedPageBreak/>
        <w:t>déontologie de chaque banque</w:t>
      </w:r>
      <w:r>
        <w:rPr>
          <w:rFonts w:ascii="Times New Roman" w:hAnsi="Times New Roman" w:cs="Times New Roman"/>
          <w:sz w:val="24"/>
          <w:szCs w:val="24"/>
        </w:rPr>
        <w:t>, notamment</w:t>
      </w:r>
      <w:r w:rsidRPr="005F4991">
        <w:rPr>
          <w:rFonts w:ascii="Times New Roman" w:hAnsi="Times New Roman" w:cs="Times New Roman"/>
          <w:sz w:val="24"/>
          <w:szCs w:val="24"/>
        </w:rPr>
        <w:t xml:space="preserve"> les banques étrangères qui sont obligées selon les recommandations du GAFI </w:t>
      </w:r>
      <w:r>
        <w:rPr>
          <w:rFonts w:ascii="Times New Roman" w:hAnsi="Times New Roman" w:cs="Times New Roman"/>
          <w:sz w:val="24"/>
          <w:szCs w:val="24"/>
        </w:rPr>
        <w:t>d’</w:t>
      </w:r>
      <w:r w:rsidRPr="005F4991">
        <w:rPr>
          <w:rFonts w:ascii="Times New Roman" w:hAnsi="Times New Roman" w:cs="Times New Roman"/>
          <w:sz w:val="24"/>
          <w:szCs w:val="24"/>
        </w:rPr>
        <w:t xml:space="preserve">appliquer la réglementation la plus sévère. </w:t>
      </w:r>
    </w:p>
    <w:p w:rsidR="00E105F0" w:rsidRPr="005F4991" w:rsidRDefault="00E105F0" w:rsidP="00E105F0">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Il est a rappeler qu’on </w:t>
      </w:r>
      <w:r w:rsidRPr="005F4991">
        <w:rPr>
          <w:rFonts w:ascii="Times New Roman" w:hAnsi="Times New Roman" w:cs="Times New Roman"/>
          <w:sz w:val="24"/>
          <w:szCs w:val="24"/>
        </w:rPr>
        <w:t>a relevé dans notre étude quelques insuffisances liées principalement au car</w:t>
      </w:r>
      <w:r>
        <w:rPr>
          <w:rFonts w:ascii="Times New Roman" w:hAnsi="Times New Roman" w:cs="Times New Roman"/>
          <w:sz w:val="24"/>
          <w:szCs w:val="24"/>
        </w:rPr>
        <w:t>a</w:t>
      </w:r>
      <w:r w:rsidRPr="005F4991">
        <w:rPr>
          <w:rFonts w:ascii="Times New Roman" w:hAnsi="Times New Roman" w:cs="Times New Roman"/>
          <w:sz w:val="24"/>
          <w:szCs w:val="24"/>
        </w:rPr>
        <w:t>ctère général et sommaire d’une réglementation qui avait, à notre sens, comme but principal, l’alignement national à l’engagement international de</w:t>
      </w:r>
      <w:r>
        <w:rPr>
          <w:rFonts w:ascii="Times New Roman" w:hAnsi="Times New Roman" w:cs="Times New Roman"/>
          <w:sz w:val="24"/>
          <w:szCs w:val="24"/>
        </w:rPr>
        <w:t xml:space="preserve"> </w:t>
      </w:r>
      <w:r w:rsidRPr="005F4991">
        <w:rPr>
          <w:rFonts w:ascii="Times New Roman" w:hAnsi="Times New Roman" w:cs="Times New Roman"/>
          <w:sz w:val="24"/>
          <w:szCs w:val="24"/>
        </w:rPr>
        <w:t>lutte contre le blanchiment d’argent et le financement du terrorisme</w:t>
      </w:r>
      <w:r>
        <w:rPr>
          <w:rFonts w:ascii="Times New Roman" w:hAnsi="Times New Roman" w:cs="Times New Roman"/>
          <w:sz w:val="24"/>
          <w:szCs w:val="24"/>
        </w:rPr>
        <w:t xml:space="preserve"> et non pas </w:t>
      </w:r>
      <w:r w:rsidRPr="005F4991">
        <w:rPr>
          <w:rFonts w:ascii="Times New Roman" w:hAnsi="Times New Roman" w:cs="Times New Roman"/>
          <w:sz w:val="24"/>
          <w:szCs w:val="24"/>
        </w:rPr>
        <w:t>la lutte en elle-même. Pour pallier à cette carence principale, on suggère les propositions suivantes :</w:t>
      </w:r>
    </w:p>
    <w:p w:rsidR="00E105F0" w:rsidRPr="005F4991" w:rsidRDefault="00E105F0" w:rsidP="005D277D">
      <w:pPr>
        <w:numPr>
          <w:ilvl w:val="0"/>
          <w:numId w:val="9"/>
        </w:numPr>
        <w:autoSpaceDE w:val="0"/>
        <w:autoSpaceDN w:val="0"/>
        <w:adjustRightInd w:val="0"/>
        <w:spacing w:line="360" w:lineRule="auto"/>
        <w:ind w:left="284" w:hanging="284"/>
        <w:jc w:val="both"/>
        <w:rPr>
          <w:rFonts w:ascii="Times New Roman" w:hAnsi="Times New Roman" w:cs="Times New Roman"/>
          <w:sz w:val="24"/>
          <w:szCs w:val="24"/>
        </w:rPr>
      </w:pPr>
      <w:r w:rsidRPr="005F4991">
        <w:rPr>
          <w:rFonts w:ascii="Times New Roman" w:hAnsi="Times New Roman" w:cs="Times New Roman"/>
          <w:sz w:val="24"/>
          <w:szCs w:val="24"/>
        </w:rPr>
        <w:t xml:space="preserve">La promulgation des </w:t>
      </w:r>
      <w:r>
        <w:rPr>
          <w:rFonts w:ascii="Times New Roman" w:hAnsi="Times New Roman" w:cs="Times New Roman"/>
          <w:sz w:val="24"/>
          <w:szCs w:val="24"/>
        </w:rPr>
        <w:t xml:space="preserve">textes </w:t>
      </w:r>
      <w:r w:rsidRPr="005F4991">
        <w:rPr>
          <w:rFonts w:ascii="Times New Roman" w:hAnsi="Times New Roman" w:cs="Times New Roman"/>
          <w:sz w:val="24"/>
          <w:szCs w:val="24"/>
        </w:rPr>
        <w:t>précisant les modalités d’application de</w:t>
      </w:r>
      <w:r>
        <w:rPr>
          <w:rFonts w:ascii="Times New Roman" w:hAnsi="Times New Roman" w:cs="Times New Roman"/>
          <w:sz w:val="24"/>
          <w:szCs w:val="24"/>
        </w:rPr>
        <w:t xml:space="preserve"> certains articles de la loi n°</w:t>
      </w:r>
      <w:r w:rsidRPr="005F4991">
        <w:rPr>
          <w:rFonts w:ascii="Times New Roman" w:hAnsi="Times New Roman" w:cs="Times New Roman"/>
          <w:sz w:val="24"/>
          <w:szCs w:val="24"/>
        </w:rPr>
        <w:t>05-01</w:t>
      </w:r>
      <w:r>
        <w:rPr>
          <w:rFonts w:ascii="Times New Roman" w:hAnsi="Times New Roman" w:cs="Times New Roman"/>
          <w:sz w:val="24"/>
          <w:szCs w:val="24"/>
        </w:rPr>
        <w:t xml:space="preserve"> et du règlement n°05-05 de la b</w:t>
      </w:r>
      <w:r w:rsidRPr="005F4991">
        <w:rPr>
          <w:rFonts w:ascii="Times New Roman" w:hAnsi="Times New Roman" w:cs="Times New Roman"/>
          <w:sz w:val="24"/>
          <w:szCs w:val="24"/>
        </w:rPr>
        <w:t xml:space="preserve">anque d’Algérie. Les articles qui </w:t>
      </w:r>
      <w:r>
        <w:rPr>
          <w:rFonts w:ascii="Times New Roman" w:hAnsi="Times New Roman" w:cs="Times New Roman"/>
          <w:sz w:val="24"/>
          <w:szCs w:val="24"/>
        </w:rPr>
        <w:t xml:space="preserve">peuvent </w:t>
      </w:r>
      <w:r w:rsidRPr="005F4991">
        <w:rPr>
          <w:rFonts w:ascii="Times New Roman" w:hAnsi="Times New Roman" w:cs="Times New Roman"/>
          <w:sz w:val="24"/>
          <w:szCs w:val="24"/>
        </w:rPr>
        <w:t xml:space="preserve">être visés sont : </w:t>
      </w:r>
    </w:p>
    <w:p w:rsidR="00E105F0" w:rsidRPr="005F4991" w:rsidRDefault="00E105F0" w:rsidP="00E105F0">
      <w:pPr>
        <w:numPr>
          <w:ilvl w:val="0"/>
          <w:numId w:val="10"/>
        </w:numPr>
        <w:tabs>
          <w:tab w:val="left" w:pos="709"/>
        </w:tabs>
        <w:autoSpaceDE w:val="0"/>
        <w:autoSpaceDN w:val="0"/>
        <w:adjustRightInd w:val="0"/>
        <w:spacing w:line="360" w:lineRule="auto"/>
        <w:ind w:left="709" w:hanging="142"/>
        <w:jc w:val="both"/>
        <w:rPr>
          <w:rFonts w:ascii="Times New Roman" w:hAnsi="Times New Roman" w:cs="Times New Roman"/>
          <w:sz w:val="24"/>
          <w:szCs w:val="24"/>
        </w:rPr>
      </w:pPr>
      <w:r w:rsidRPr="005F4991">
        <w:rPr>
          <w:rFonts w:ascii="Times New Roman" w:hAnsi="Times New Roman" w:cs="Times New Roman"/>
          <w:sz w:val="24"/>
          <w:szCs w:val="24"/>
        </w:rPr>
        <w:t>Article 6 de la loi n°05-01 qui stipule que « </w:t>
      </w:r>
      <w:r w:rsidRPr="005F4991">
        <w:rPr>
          <w:rFonts w:ascii="Times New Roman" w:hAnsi="Times New Roman" w:cs="Times New Roman"/>
          <w:i/>
          <w:iCs/>
          <w:sz w:val="24"/>
          <w:szCs w:val="24"/>
        </w:rPr>
        <w:t>Tout paiement d'un montant supérieur à un seuil fixé par voie réglementaire doit être effectué par les moyens de paiement à travers les circuits bancaires et financiers </w:t>
      </w:r>
      <w:r w:rsidRPr="005F4991">
        <w:rPr>
          <w:rFonts w:ascii="Times New Roman" w:hAnsi="Times New Roman" w:cs="Times New Roman"/>
          <w:sz w:val="24"/>
          <w:szCs w:val="24"/>
        </w:rPr>
        <w:t xml:space="preserve">». Il est à rappeler que cette obligation a fait l'objet de deux décrets exécutifs, le premier a été abrogé en 2006 alors </w:t>
      </w:r>
      <w:r>
        <w:rPr>
          <w:rFonts w:ascii="Times New Roman" w:hAnsi="Times New Roman" w:cs="Times New Roman"/>
          <w:sz w:val="24"/>
          <w:szCs w:val="24"/>
        </w:rPr>
        <w:t xml:space="preserve">que </w:t>
      </w:r>
      <w:r w:rsidRPr="005F4991">
        <w:rPr>
          <w:rFonts w:ascii="Times New Roman" w:hAnsi="Times New Roman" w:cs="Times New Roman"/>
          <w:sz w:val="24"/>
          <w:szCs w:val="24"/>
        </w:rPr>
        <w:t>le deuxième, publié dans le Journal officiel n° 43, a été suspendu, avant même son entrée en vigueur, suite aux événements de janvier 2011. L'article 2 de ce texte souligne que « </w:t>
      </w:r>
      <w:r w:rsidRPr="005F4991">
        <w:rPr>
          <w:rFonts w:ascii="Times New Roman" w:hAnsi="Times New Roman" w:cs="Times New Roman"/>
          <w:i/>
          <w:iCs/>
          <w:sz w:val="24"/>
          <w:szCs w:val="24"/>
        </w:rPr>
        <w:t xml:space="preserve">tout paiement qui excède la somme de cinq cent mille dinars (500 000 DA) doit être effectué par les moyens de paiement suivants : chèque, virement, carte de paiement, prélèvement, lettre de change, billet à ordre, et tout autre moyen de paiement scriptural ».  </w:t>
      </w:r>
    </w:p>
    <w:p w:rsidR="00E105F0" w:rsidRPr="005F4991" w:rsidRDefault="00E105F0" w:rsidP="00E105F0">
      <w:pPr>
        <w:numPr>
          <w:ilvl w:val="0"/>
          <w:numId w:val="10"/>
        </w:numPr>
        <w:autoSpaceDE w:val="0"/>
        <w:autoSpaceDN w:val="0"/>
        <w:adjustRightInd w:val="0"/>
        <w:spacing w:line="360" w:lineRule="auto"/>
        <w:ind w:left="709" w:hanging="142"/>
        <w:jc w:val="both"/>
        <w:rPr>
          <w:rFonts w:ascii="Times New Roman" w:hAnsi="Times New Roman" w:cs="Times New Roman"/>
          <w:i/>
          <w:iCs/>
          <w:sz w:val="24"/>
          <w:szCs w:val="24"/>
        </w:rPr>
      </w:pPr>
      <w:r w:rsidRPr="005F4991">
        <w:rPr>
          <w:rFonts w:ascii="Times New Roman" w:hAnsi="Times New Roman" w:cs="Times New Roman"/>
          <w:sz w:val="24"/>
          <w:szCs w:val="24"/>
        </w:rPr>
        <w:t>Article</w:t>
      </w:r>
      <w:r>
        <w:rPr>
          <w:rFonts w:ascii="Times New Roman" w:hAnsi="Times New Roman" w:cs="Times New Roman"/>
          <w:sz w:val="24"/>
          <w:szCs w:val="24"/>
        </w:rPr>
        <w:t xml:space="preserve"> 7 du règlement n° 05-05 de la b</w:t>
      </w:r>
      <w:r w:rsidRPr="005F4991">
        <w:rPr>
          <w:rFonts w:ascii="Times New Roman" w:hAnsi="Times New Roman" w:cs="Times New Roman"/>
          <w:sz w:val="24"/>
          <w:szCs w:val="24"/>
        </w:rPr>
        <w:t xml:space="preserve">anque d’Algérie qui stipule que «  </w:t>
      </w:r>
      <w:r w:rsidRPr="005F4991">
        <w:rPr>
          <w:rFonts w:ascii="Times New Roman" w:hAnsi="Times New Roman" w:cs="Times New Roman"/>
          <w:i/>
          <w:iCs/>
          <w:sz w:val="24"/>
          <w:szCs w:val="24"/>
        </w:rPr>
        <w:t xml:space="preserve">Les banques, les établissements financiers et les services financiers d’Algérie-poste doivent, à la discrétion de leur direction générale, obtenir de tout nouveau client, personne potentiellement exposée, suffisamment de renseignements et prendre les dispositions de prudence adéquates dans la gestion de cette relation ». </w:t>
      </w:r>
      <w:r>
        <w:rPr>
          <w:rFonts w:ascii="Times New Roman" w:hAnsi="Times New Roman" w:cs="Times New Roman"/>
          <w:sz w:val="24"/>
          <w:szCs w:val="24"/>
        </w:rPr>
        <w:t>C</w:t>
      </w:r>
      <w:r w:rsidRPr="000C20E2">
        <w:rPr>
          <w:rFonts w:ascii="Times New Roman" w:hAnsi="Times New Roman" w:cs="Times New Roman"/>
          <w:sz w:val="24"/>
          <w:szCs w:val="24"/>
        </w:rPr>
        <w:t>omme nous l’avons déjà avancé, cette</w:t>
      </w:r>
      <w:r w:rsidRPr="005F4991">
        <w:rPr>
          <w:rFonts w:ascii="Times New Roman" w:hAnsi="Times New Roman" w:cs="Times New Roman"/>
          <w:sz w:val="24"/>
          <w:szCs w:val="24"/>
        </w:rPr>
        <w:t xml:space="preserve"> disposition réglementaire  méritent des précisions relatives à la</w:t>
      </w:r>
      <w:r>
        <w:rPr>
          <w:rFonts w:ascii="Times New Roman" w:hAnsi="Times New Roman" w:cs="Times New Roman"/>
          <w:sz w:val="24"/>
          <w:szCs w:val="24"/>
        </w:rPr>
        <w:t xml:space="preserve"> détermination de ces </w:t>
      </w:r>
      <w:r w:rsidRPr="005F4991">
        <w:rPr>
          <w:rFonts w:ascii="Times New Roman" w:hAnsi="Times New Roman" w:cs="Times New Roman"/>
          <w:sz w:val="24"/>
          <w:szCs w:val="24"/>
        </w:rPr>
        <w:t>personne</w:t>
      </w:r>
      <w:r>
        <w:rPr>
          <w:rFonts w:ascii="Times New Roman" w:hAnsi="Times New Roman" w:cs="Times New Roman"/>
          <w:sz w:val="24"/>
          <w:szCs w:val="24"/>
        </w:rPr>
        <w:t>s</w:t>
      </w:r>
      <w:r w:rsidRPr="005F4991">
        <w:rPr>
          <w:rFonts w:ascii="Times New Roman" w:hAnsi="Times New Roman" w:cs="Times New Roman"/>
          <w:sz w:val="24"/>
          <w:szCs w:val="24"/>
        </w:rPr>
        <w:t xml:space="preserve"> potentiellement exposée</w:t>
      </w:r>
      <w:r>
        <w:rPr>
          <w:rFonts w:ascii="Times New Roman" w:hAnsi="Times New Roman" w:cs="Times New Roman"/>
          <w:sz w:val="24"/>
          <w:szCs w:val="24"/>
        </w:rPr>
        <w:t>s</w:t>
      </w:r>
      <w:r w:rsidRPr="005F4991">
        <w:rPr>
          <w:rFonts w:ascii="Times New Roman" w:hAnsi="Times New Roman" w:cs="Times New Roman"/>
          <w:sz w:val="24"/>
          <w:szCs w:val="24"/>
        </w:rPr>
        <w:t xml:space="preserve"> (PPE).</w:t>
      </w:r>
    </w:p>
    <w:p w:rsidR="00E105F0" w:rsidRDefault="00E105F0" w:rsidP="005D277D">
      <w:pPr>
        <w:numPr>
          <w:ilvl w:val="0"/>
          <w:numId w:val="9"/>
        </w:numPr>
        <w:tabs>
          <w:tab w:val="left" w:pos="-284"/>
          <w:tab w:val="left" w:pos="284"/>
        </w:tabs>
        <w:autoSpaceDE w:val="0"/>
        <w:autoSpaceDN w:val="0"/>
        <w:adjustRightInd w:val="0"/>
        <w:spacing w:line="360" w:lineRule="auto"/>
        <w:ind w:left="284" w:hanging="284"/>
        <w:jc w:val="both"/>
        <w:rPr>
          <w:rStyle w:val="Style13pt"/>
          <w:rFonts w:ascii="Times New Roman" w:hAnsi="Times New Roman" w:cs="Times New Roman"/>
          <w:szCs w:val="24"/>
        </w:rPr>
      </w:pPr>
      <w:r>
        <w:rPr>
          <w:rFonts w:ascii="Times New Roman" w:hAnsi="Times New Roman" w:cs="Times New Roman"/>
          <w:sz w:val="24"/>
          <w:szCs w:val="24"/>
        </w:rPr>
        <w:t xml:space="preserve"> </w:t>
      </w:r>
      <w:r w:rsidRPr="005F4991">
        <w:rPr>
          <w:rFonts w:ascii="Times New Roman" w:hAnsi="Times New Roman" w:cs="Times New Roman"/>
          <w:sz w:val="24"/>
          <w:szCs w:val="24"/>
        </w:rPr>
        <w:t xml:space="preserve">Concernant les menaces de blanchiment relatives aux opérations qui peuvent être traitées dans l’anonymat via les technologies nouvelles, le législateur algérien doit prévoir des </w:t>
      </w:r>
      <w:r w:rsidRPr="005F4991">
        <w:rPr>
          <w:rFonts w:ascii="Times New Roman" w:hAnsi="Times New Roman" w:cs="Times New Roman"/>
          <w:sz w:val="24"/>
          <w:szCs w:val="24"/>
        </w:rPr>
        <w:lastRenderedPageBreak/>
        <w:t>mesures spécifiques pour une attention particulière aux menaces de blanchiment inhérentes aux technologies nouvelles et à toutes les opérations complexes</w:t>
      </w:r>
      <w:r w:rsidRPr="005F4991">
        <w:rPr>
          <w:rStyle w:val="Style13pt"/>
          <w:rFonts w:ascii="Times New Roman" w:hAnsi="Times New Roman" w:cs="Times New Roman"/>
          <w:szCs w:val="24"/>
        </w:rPr>
        <w:t xml:space="preserve"> qui gagnent du terrain.</w:t>
      </w:r>
    </w:p>
    <w:p w:rsidR="00E105F0" w:rsidRPr="005F4991" w:rsidRDefault="00E105F0" w:rsidP="00E105F0">
      <w:pPr>
        <w:pStyle w:val="Paragraphedeliste"/>
        <w:numPr>
          <w:ilvl w:val="0"/>
          <w:numId w:val="9"/>
        </w:numPr>
        <w:autoSpaceDE w:val="0"/>
        <w:autoSpaceDN w:val="0"/>
        <w:adjustRightInd w:val="0"/>
        <w:spacing w:line="360" w:lineRule="auto"/>
        <w:ind w:left="426" w:hanging="284"/>
        <w:jc w:val="both"/>
        <w:rPr>
          <w:rFonts w:ascii="Times New Roman" w:hAnsi="Times New Roman" w:cs="Times New Roman"/>
          <w:i/>
          <w:iCs/>
          <w:sz w:val="24"/>
          <w:szCs w:val="24"/>
        </w:rPr>
      </w:pPr>
      <w:r w:rsidRPr="005F4991">
        <w:rPr>
          <w:rFonts w:ascii="Times New Roman" w:hAnsi="Times New Roman" w:cs="Times New Roman"/>
          <w:sz w:val="24"/>
          <w:szCs w:val="24"/>
        </w:rPr>
        <w:t xml:space="preserve">Les autorités de contrôle doivent associer les banques en leur retournant l’information relative aux résultats de leurs enquêtes pour </w:t>
      </w:r>
      <w:r>
        <w:rPr>
          <w:rFonts w:ascii="Times New Roman" w:hAnsi="Times New Roman" w:cs="Times New Roman"/>
          <w:sz w:val="24"/>
          <w:szCs w:val="24"/>
        </w:rPr>
        <w:t>témoigner de leur reconnaissance vis-à-vis des employés de la banque</w:t>
      </w:r>
      <w:r w:rsidRPr="005F4991">
        <w:rPr>
          <w:rFonts w:ascii="Times New Roman" w:hAnsi="Times New Roman" w:cs="Times New Roman"/>
          <w:sz w:val="24"/>
          <w:szCs w:val="24"/>
        </w:rPr>
        <w:t xml:space="preserve">.  </w:t>
      </w:r>
    </w:p>
    <w:p w:rsidR="00E105F0" w:rsidRPr="001F102F" w:rsidRDefault="00E105F0" w:rsidP="00E105F0">
      <w:pPr>
        <w:numPr>
          <w:ilvl w:val="0"/>
          <w:numId w:val="9"/>
        </w:numPr>
        <w:autoSpaceDE w:val="0"/>
        <w:autoSpaceDN w:val="0"/>
        <w:adjustRightInd w:val="0"/>
        <w:spacing w:line="360" w:lineRule="auto"/>
        <w:ind w:left="426"/>
        <w:jc w:val="both"/>
        <w:rPr>
          <w:rFonts w:ascii="Times New Roman" w:hAnsi="Times New Roman" w:cs="Times New Roman"/>
          <w:color w:val="000000"/>
          <w:sz w:val="24"/>
          <w:szCs w:val="24"/>
        </w:rPr>
      </w:pPr>
      <w:r w:rsidRPr="005F4991">
        <w:rPr>
          <w:rFonts w:ascii="Times New Roman" w:hAnsi="Times New Roman" w:cs="Times New Roman"/>
          <w:sz w:val="24"/>
          <w:szCs w:val="24"/>
        </w:rPr>
        <w:t>Dans le but d’</w:t>
      </w:r>
      <w:r w:rsidRPr="005F4991">
        <w:rPr>
          <w:rStyle w:val="hps"/>
          <w:rFonts w:ascii="Times New Roman" w:hAnsi="Times New Roman" w:cs="Times New Roman"/>
          <w:sz w:val="24"/>
          <w:szCs w:val="24"/>
        </w:rPr>
        <w:t>améliorer la coopération dans</w:t>
      </w:r>
      <w:r w:rsidRPr="005F4991">
        <w:rPr>
          <w:rFonts w:ascii="Times New Roman" w:hAnsi="Times New Roman" w:cs="Times New Roman"/>
          <w:sz w:val="24"/>
          <w:szCs w:val="24"/>
        </w:rPr>
        <w:t xml:space="preserve"> </w:t>
      </w:r>
      <w:r w:rsidRPr="005F4991">
        <w:rPr>
          <w:rStyle w:val="hps"/>
          <w:rFonts w:ascii="Times New Roman" w:hAnsi="Times New Roman" w:cs="Times New Roman"/>
          <w:sz w:val="24"/>
          <w:szCs w:val="24"/>
        </w:rPr>
        <w:t>la lutte contre le</w:t>
      </w:r>
      <w:r w:rsidRPr="005F4991">
        <w:rPr>
          <w:rFonts w:ascii="Times New Roman" w:hAnsi="Times New Roman" w:cs="Times New Roman"/>
          <w:sz w:val="24"/>
          <w:szCs w:val="24"/>
        </w:rPr>
        <w:t xml:space="preserve"> </w:t>
      </w:r>
      <w:r w:rsidRPr="005F4991">
        <w:rPr>
          <w:rStyle w:val="hps"/>
          <w:rFonts w:ascii="Times New Roman" w:hAnsi="Times New Roman" w:cs="Times New Roman"/>
          <w:sz w:val="24"/>
          <w:szCs w:val="24"/>
        </w:rPr>
        <w:t>blanchiment</w:t>
      </w:r>
      <w:r>
        <w:rPr>
          <w:rStyle w:val="hps"/>
          <w:rFonts w:ascii="Times New Roman" w:hAnsi="Times New Roman" w:cs="Times New Roman"/>
          <w:sz w:val="24"/>
          <w:szCs w:val="24"/>
        </w:rPr>
        <w:t xml:space="preserve"> d’argent</w:t>
      </w:r>
      <w:r w:rsidRPr="005F4991">
        <w:rPr>
          <w:rStyle w:val="hps"/>
          <w:rFonts w:ascii="Times New Roman" w:hAnsi="Times New Roman" w:cs="Times New Roman"/>
          <w:sz w:val="24"/>
          <w:szCs w:val="24"/>
        </w:rPr>
        <w:t xml:space="preserve"> et le financement</w:t>
      </w:r>
      <w:r w:rsidRPr="005F4991">
        <w:rPr>
          <w:rFonts w:ascii="Times New Roman" w:hAnsi="Times New Roman" w:cs="Times New Roman"/>
          <w:sz w:val="24"/>
          <w:szCs w:val="24"/>
        </w:rPr>
        <w:t xml:space="preserve"> </w:t>
      </w:r>
      <w:r w:rsidRPr="005F4991">
        <w:rPr>
          <w:rStyle w:val="hps"/>
          <w:rFonts w:ascii="Times New Roman" w:hAnsi="Times New Roman" w:cs="Times New Roman"/>
          <w:sz w:val="24"/>
          <w:szCs w:val="24"/>
        </w:rPr>
        <w:t xml:space="preserve">du terrorisme </w:t>
      </w:r>
      <w:r>
        <w:rPr>
          <w:rStyle w:val="hps"/>
          <w:rFonts w:ascii="Times New Roman" w:hAnsi="Times New Roman" w:cs="Times New Roman"/>
          <w:sz w:val="24"/>
          <w:szCs w:val="24"/>
        </w:rPr>
        <w:t>et afin</w:t>
      </w:r>
      <w:r w:rsidRPr="005F4991">
        <w:rPr>
          <w:rFonts w:ascii="Times New Roman" w:hAnsi="Times New Roman" w:cs="Times New Roman"/>
          <w:sz w:val="24"/>
          <w:szCs w:val="24"/>
        </w:rPr>
        <w:t xml:space="preserve"> </w:t>
      </w:r>
      <w:r w:rsidRPr="005F4991">
        <w:rPr>
          <w:rStyle w:val="hps"/>
          <w:rFonts w:ascii="Times New Roman" w:hAnsi="Times New Roman" w:cs="Times New Roman"/>
          <w:sz w:val="24"/>
          <w:szCs w:val="24"/>
        </w:rPr>
        <w:t>de favoriser la</w:t>
      </w:r>
      <w:r w:rsidRPr="005F4991">
        <w:rPr>
          <w:rFonts w:ascii="Times New Roman" w:hAnsi="Times New Roman" w:cs="Times New Roman"/>
          <w:sz w:val="24"/>
          <w:szCs w:val="24"/>
        </w:rPr>
        <w:t xml:space="preserve"> </w:t>
      </w:r>
      <w:r w:rsidRPr="005F4991">
        <w:rPr>
          <w:rStyle w:val="hps"/>
          <w:rFonts w:ascii="Times New Roman" w:hAnsi="Times New Roman" w:cs="Times New Roman"/>
          <w:sz w:val="24"/>
          <w:szCs w:val="24"/>
        </w:rPr>
        <w:t>mise en œuvre de</w:t>
      </w:r>
      <w:r w:rsidRPr="005F4991">
        <w:rPr>
          <w:rFonts w:ascii="Times New Roman" w:hAnsi="Times New Roman" w:cs="Times New Roman"/>
          <w:sz w:val="24"/>
          <w:szCs w:val="24"/>
        </w:rPr>
        <w:t xml:space="preserve"> </w:t>
      </w:r>
      <w:r w:rsidRPr="005F4991">
        <w:rPr>
          <w:rStyle w:val="hps"/>
          <w:rFonts w:ascii="Times New Roman" w:hAnsi="Times New Roman" w:cs="Times New Roman"/>
          <w:sz w:val="24"/>
          <w:szCs w:val="24"/>
        </w:rPr>
        <w:t>programmes nationaux</w:t>
      </w:r>
      <w:r w:rsidRPr="005F4991">
        <w:rPr>
          <w:rFonts w:ascii="Times New Roman" w:hAnsi="Times New Roman" w:cs="Times New Roman"/>
          <w:sz w:val="24"/>
          <w:szCs w:val="24"/>
        </w:rPr>
        <w:t xml:space="preserve"> </w:t>
      </w:r>
      <w:r w:rsidRPr="005F4991">
        <w:rPr>
          <w:rStyle w:val="hps"/>
          <w:rFonts w:ascii="Times New Roman" w:hAnsi="Times New Roman" w:cs="Times New Roman"/>
          <w:sz w:val="24"/>
          <w:szCs w:val="24"/>
        </w:rPr>
        <w:t>dans ce domaine</w:t>
      </w:r>
      <w:r>
        <w:rPr>
          <w:rFonts w:ascii="Times New Roman" w:hAnsi="Times New Roman" w:cs="Times New Roman"/>
          <w:sz w:val="24"/>
          <w:szCs w:val="24"/>
        </w:rPr>
        <w:t xml:space="preserve">. </w:t>
      </w:r>
      <w:r w:rsidRPr="005F4991">
        <w:rPr>
          <w:rFonts w:ascii="Times New Roman" w:hAnsi="Times New Roman" w:cs="Times New Roman"/>
          <w:sz w:val="24"/>
          <w:szCs w:val="24"/>
        </w:rPr>
        <w:t xml:space="preserve"> </w:t>
      </w:r>
      <w:r>
        <w:rPr>
          <w:rFonts w:ascii="Times New Roman" w:hAnsi="Times New Roman" w:cs="Times New Roman"/>
          <w:sz w:val="24"/>
          <w:szCs w:val="24"/>
        </w:rPr>
        <w:t>Il est à notre sens utile que l’Algérie adhère</w:t>
      </w:r>
      <w:r w:rsidRPr="005F4991">
        <w:rPr>
          <w:rFonts w:ascii="Times New Roman" w:hAnsi="Times New Roman" w:cs="Times New Roman"/>
          <w:sz w:val="24"/>
          <w:szCs w:val="24"/>
        </w:rPr>
        <w:t xml:space="preserve"> au Groupe Egmont qui regroupe</w:t>
      </w:r>
      <w:r>
        <w:rPr>
          <w:rFonts w:ascii="Times New Roman" w:hAnsi="Times New Roman" w:cs="Times New Roman"/>
          <w:sz w:val="24"/>
          <w:szCs w:val="24"/>
        </w:rPr>
        <w:t xml:space="preserve"> actuellement 128 juridictions, l</w:t>
      </w:r>
      <w:r w:rsidRPr="005F4991">
        <w:rPr>
          <w:rFonts w:ascii="Times New Roman" w:hAnsi="Times New Roman" w:cs="Times New Roman"/>
          <w:sz w:val="24"/>
          <w:szCs w:val="24"/>
        </w:rPr>
        <w:t>e seul groupe, selon les experts en la matière, qui a une vocation opérationnelle dans sa lutte contre le blanchiment d’argent et le financement du terrorisme.</w:t>
      </w:r>
    </w:p>
    <w:p w:rsidR="00E105F0" w:rsidRPr="005F4991" w:rsidRDefault="00E105F0" w:rsidP="00E105F0">
      <w:pPr>
        <w:tabs>
          <w:tab w:val="left" w:pos="426"/>
        </w:tabs>
        <w:spacing w:line="360" w:lineRule="auto"/>
        <w:ind w:firstLine="360"/>
        <w:jc w:val="lowKashida"/>
        <w:rPr>
          <w:rStyle w:val="hps"/>
          <w:rFonts w:ascii="Times New Roman" w:hAnsi="Times New Roman" w:cs="Times New Roman"/>
          <w:sz w:val="24"/>
          <w:szCs w:val="24"/>
        </w:rPr>
      </w:pPr>
      <w:r>
        <w:rPr>
          <w:rStyle w:val="hps"/>
          <w:rFonts w:ascii="Times New Roman" w:hAnsi="Times New Roman" w:cs="Times New Roman"/>
          <w:sz w:val="24"/>
          <w:szCs w:val="24"/>
        </w:rPr>
        <w:tab/>
      </w:r>
      <w:r w:rsidRPr="005F4991">
        <w:rPr>
          <w:rStyle w:val="hps"/>
          <w:rFonts w:ascii="Times New Roman" w:hAnsi="Times New Roman" w:cs="Times New Roman"/>
          <w:sz w:val="24"/>
          <w:szCs w:val="24"/>
        </w:rPr>
        <w:t xml:space="preserve">Durant l’élaboration de ce mémoire, on a croisé quelques difficultés d’ordre théorique, car peu d’ouvrages </w:t>
      </w:r>
      <w:r>
        <w:rPr>
          <w:rStyle w:val="hps"/>
          <w:rFonts w:ascii="Times New Roman" w:hAnsi="Times New Roman" w:cs="Times New Roman"/>
          <w:sz w:val="24"/>
          <w:szCs w:val="24"/>
        </w:rPr>
        <w:t xml:space="preserve">traitent le sujet </w:t>
      </w:r>
      <w:r w:rsidRPr="005F4991">
        <w:rPr>
          <w:rStyle w:val="hps"/>
          <w:rFonts w:ascii="Times New Roman" w:hAnsi="Times New Roman" w:cs="Times New Roman"/>
          <w:sz w:val="24"/>
          <w:szCs w:val="24"/>
        </w:rPr>
        <w:t xml:space="preserve">de </w:t>
      </w:r>
      <w:r>
        <w:rPr>
          <w:rStyle w:val="hps"/>
          <w:rFonts w:ascii="Times New Roman" w:hAnsi="Times New Roman" w:cs="Times New Roman"/>
          <w:sz w:val="24"/>
          <w:szCs w:val="24"/>
        </w:rPr>
        <w:t xml:space="preserve">la </w:t>
      </w:r>
      <w:r w:rsidRPr="005F4991">
        <w:rPr>
          <w:rStyle w:val="hps"/>
          <w:rFonts w:ascii="Times New Roman" w:hAnsi="Times New Roman" w:cs="Times New Roman"/>
          <w:sz w:val="24"/>
          <w:szCs w:val="24"/>
        </w:rPr>
        <w:t>lutte contre le blanchiment d’argent. Ce travail n’</w:t>
      </w:r>
      <w:r>
        <w:rPr>
          <w:rStyle w:val="hps"/>
          <w:rFonts w:ascii="Times New Roman" w:hAnsi="Times New Roman" w:cs="Times New Roman"/>
          <w:sz w:val="24"/>
          <w:szCs w:val="24"/>
        </w:rPr>
        <w:t>est sans doute pas sans lacunes. L</w:t>
      </w:r>
      <w:r w:rsidRPr="005F4991">
        <w:rPr>
          <w:rStyle w:val="hps"/>
          <w:rFonts w:ascii="Times New Roman" w:hAnsi="Times New Roman" w:cs="Times New Roman"/>
          <w:sz w:val="24"/>
          <w:szCs w:val="24"/>
        </w:rPr>
        <w:t xml:space="preserve">a plus importante d’entre elles est l’absence d’un cas pratique </w:t>
      </w:r>
      <w:r>
        <w:rPr>
          <w:rStyle w:val="hps"/>
          <w:rFonts w:ascii="Times New Roman" w:hAnsi="Times New Roman" w:cs="Times New Roman"/>
          <w:sz w:val="24"/>
          <w:szCs w:val="24"/>
        </w:rPr>
        <w:t xml:space="preserve">traitant l’évaluation d’un dispositif bancaire donné. Cette carence est due principalement à </w:t>
      </w:r>
      <w:r w:rsidRPr="005F4991">
        <w:rPr>
          <w:rStyle w:val="hps"/>
          <w:rFonts w:ascii="Times New Roman" w:hAnsi="Times New Roman" w:cs="Times New Roman"/>
          <w:sz w:val="24"/>
          <w:szCs w:val="24"/>
        </w:rPr>
        <w:t>la réticence des banques algériennes quant à la diffusion de leurs dispositifs de lutte contre le blanchiment d’argent.</w:t>
      </w:r>
    </w:p>
    <w:p w:rsidR="00E105F0" w:rsidRPr="005F4991" w:rsidRDefault="00E105F0" w:rsidP="00E105F0">
      <w:pPr>
        <w:tabs>
          <w:tab w:val="left" w:pos="426"/>
        </w:tabs>
        <w:spacing w:line="360" w:lineRule="auto"/>
        <w:ind w:firstLine="360"/>
        <w:jc w:val="both"/>
        <w:rPr>
          <w:rStyle w:val="hps"/>
          <w:rFonts w:ascii="Times New Roman" w:hAnsi="Times New Roman" w:cs="Times New Roman"/>
          <w:sz w:val="24"/>
          <w:szCs w:val="24"/>
        </w:rPr>
      </w:pPr>
      <w:r>
        <w:rPr>
          <w:rStyle w:val="hps"/>
          <w:rFonts w:ascii="Times New Roman" w:hAnsi="Times New Roman" w:cs="Times New Roman"/>
          <w:sz w:val="24"/>
          <w:szCs w:val="24"/>
        </w:rPr>
        <w:tab/>
      </w:r>
      <w:r w:rsidRPr="005F4991">
        <w:rPr>
          <w:rStyle w:val="hps"/>
          <w:rFonts w:ascii="Times New Roman" w:hAnsi="Times New Roman" w:cs="Times New Roman"/>
          <w:sz w:val="24"/>
          <w:szCs w:val="24"/>
        </w:rPr>
        <w:t xml:space="preserve">La diversité du sujet </w:t>
      </w:r>
      <w:r>
        <w:rPr>
          <w:rStyle w:val="hps"/>
          <w:rFonts w:ascii="Times New Roman" w:hAnsi="Times New Roman" w:cs="Times New Roman"/>
          <w:sz w:val="24"/>
          <w:szCs w:val="24"/>
        </w:rPr>
        <w:t xml:space="preserve">constitue à la fois </w:t>
      </w:r>
      <w:r w:rsidRPr="005F4991">
        <w:rPr>
          <w:rStyle w:val="hps"/>
          <w:rFonts w:ascii="Times New Roman" w:hAnsi="Times New Roman" w:cs="Times New Roman"/>
          <w:sz w:val="24"/>
          <w:szCs w:val="24"/>
        </w:rPr>
        <w:t xml:space="preserve">sa force </w:t>
      </w:r>
      <w:r>
        <w:rPr>
          <w:rStyle w:val="hps"/>
          <w:rFonts w:ascii="Times New Roman" w:hAnsi="Times New Roman" w:cs="Times New Roman"/>
          <w:sz w:val="24"/>
          <w:szCs w:val="24"/>
        </w:rPr>
        <w:t xml:space="preserve">et </w:t>
      </w:r>
      <w:r w:rsidRPr="005F4991">
        <w:rPr>
          <w:rStyle w:val="hps"/>
          <w:rFonts w:ascii="Times New Roman" w:hAnsi="Times New Roman" w:cs="Times New Roman"/>
          <w:sz w:val="24"/>
          <w:szCs w:val="24"/>
        </w:rPr>
        <w:t>sa faiblesse ; sa force c</w:t>
      </w:r>
      <w:r>
        <w:rPr>
          <w:rStyle w:val="hps"/>
          <w:rFonts w:ascii="Times New Roman" w:hAnsi="Times New Roman" w:cs="Times New Roman"/>
          <w:sz w:val="24"/>
          <w:szCs w:val="24"/>
        </w:rPr>
        <w:t>ar elle</w:t>
      </w:r>
      <w:r w:rsidRPr="005F4991">
        <w:rPr>
          <w:rStyle w:val="hps"/>
          <w:rFonts w:ascii="Times New Roman" w:hAnsi="Times New Roman" w:cs="Times New Roman"/>
          <w:sz w:val="24"/>
          <w:szCs w:val="24"/>
        </w:rPr>
        <w:t xml:space="preserve"> nous a permis d’avoir une vision globale sur les pratiques nationales </w:t>
      </w:r>
      <w:r>
        <w:rPr>
          <w:rStyle w:val="hps"/>
          <w:rFonts w:ascii="Times New Roman" w:hAnsi="Times New Roman" w:cs="Times New Roman"/>
          <w:sz w:val="24"/>
          <w:szCs w:val="24"/>
        </w:rPr>
        <w:t xml:space="preserve">et </w:t>
      </w:r>
      <w:r w:rsidRPr="005F4991">
        <w:rPr>
          <w:rStyle w:val="hps"/>
          <w:rFonts w:ascii="Times New Roman" w:hAnsi="Times New Roman" w:cs="Times New Roman"/>
          <w:sz w:val="24"/>
          <w:szCs w:val="24"/>
        </w:rPr>
        <w:t xml:space="preserve">internationales de lutte contre le blanchiment d’argent; sa faiblesse car cette diversité nous a </w:t>
      </w:r>
      <w:r>
        <w:rPr>
          <w:rStyle w:val="hps"/>
          <w:rFonts w:ascii="Times New Roman" w:hAnsi="Times New Roman" w:cs="Times New Roman"/>
          <w:sz w:val="24"/>
          <w:szCs w:val="24"/>
        </w:rPr>
        <w:t xml:space="preserve">empêché </w:t>
      </w:r>
      <w:r w:rsidRPr="005F4991">
        <w:rPr>
          <w:rStyle w:val="hps"/>
          <w:rFonts w:ascii="Times New Roman" w:hAnsi="Times New Roman" w:cs="Times New Roman"/>
          <w:sz w:val="24"/>
          <w:szCs w:val="24"/>
        </w:rPr>
        <w:t>d’approfondir beaucoup plus les thèmes traités dans notre étude. A cet égard, plusieurs extension</w:t>
      </w:r>
      <w:r>
        <w:rPr>
          <w:rStyle w:val="hps"/>
          <w:rFonts w:ascii="Times New Roman" w:hAnsi="Times New Roman" w:cs="Times New Roman"/>
          <w:sz w:val="24"/>
          <w:szCs w:val="24"/>
        </w:rPr>
        <w:t xml:space="preserve">s à cette étude sont possibles. On suggère, à cet effet, </w:t>
      </w:r>
      <w:r w:rsidRPr="005F4991">
        <w:rPr>
          <w:rStyle w:val="hps"/>
          <w:rFonts w:ascii="Times New Roman" w:hAnsi="Times New Roman" w:cs="Times New Roman"/>
          <w:sz w:val="24"/>
          <w:szCs w:val="24"/>
        </w:rPr>
        <w:t xml:space="preserve"> aux étudiants </w:t>
      </w:r>
      <w:r>
        <w:rPr>
          <w:rStyle w:val="hps"/>
          <w:rFonts w:ascii="Times New Roman" w:hAnsi="Times New Roman" w:cs="Times New Roman"/>
          <w:sz w:val="24"/>
          <w:szCs w:val="24"/>
        </w:rPr>
        <w:t>qui s’</w:t>
      </w:r>
      <w:r w:rsidRPr="005F4991">
        <w:rPr>
          <w:rStyle w:val="hps"/>
          <w:rFonts w:ascii="Times New Roman" w:hAnsi="Times New Roman" w:cs="Times New Roman"/>
          <w:sz w:val="24"/>
          <w:szCs w:val="24"/>
        </w:rPr>
        <w:t>intéress</w:t>
      </w:r>
      <w:r>
        <w:rPr>
          <w:rStyle w:val="hps"/>
          <w:rFonts w:ascii="Times New Roman" w:hAnsi="Times New Roman" w:cs="Times New Roman"/>
          <w:sz w:val="24"/>
          <w:szCs w:val="24"/>
        </w:rPr>
        <w:t xml:space="preserve">ent à la recherche dans le </w:t>
      </w:r>
      <w:r w:rsidRPr="005F4991">
        <w:rPr>
          <w:rStyle w:val="hps"/>
          <w:rFonts w:ascii="Times New Roman" w:hAnsi="Times New Roman" w:cs="Times New Roman"/>
          <w:sz w:val="24"/>
          <w:szCs w:val="24"/>
        </w:rPr>
        <w:t>domaine</w:t>
      </w:r>
      <w:r>
        <w:rPr>
          <w:rStyle w:val="hps"/>
          <w:rFonts w:ascii="Times New Roman" w:hAnsi="Times New Roman" w:cs="Times New Roman"/>
          <w:sz w:val="24"/>
          <w:szCs w:val="24"/>
        </w:rPr>
        <w:t xml:space="preserve"> de la lutte contre le blanchiment d’argent et le financement du terrorisme en Algérie de se pencher d</w:t>
      </w:r>
      <w:r w:rsidRPr="005F4991">
        <w:rPr>
          <w:rStyle w:val="hps"/>
          <w:rFonts w:ascii="Times New Roman" w:hAnsi="Times New Roman" w:cs="Times New Roman"/>
          <w:sz w:val="24"/>
          <w:szCs w:val="24"/>
        </w:rPr>
        <w:t xml:space="preserve">avantage sur l’un des aspects </w:t>
      </w:r>
      <w:r>
        <w:rPr>
          <w:rStyle w:val="hps"/>
          <w:rFonts w:ascii="Times New Roman" w:hAnsi="Times New Roman" w:cs="Times New Roman"/>
          <w:sz w:val="24"/>
          <w:szCs w:val="24"/>
        </w:rPr>
        <w:t>suivants</w:t>
      </w:r>
      <w:r w:rsidRPr="005F4991">
        <w:rPr>
          <w:rStyle w:val="hps"/>
          <w:rFonts w:ascii="Times New Roman" w:hAnsi="Times New Roman" w:cs="Times New Roman"/>
          <w:sz w:val="24"/>
          <w:szCs w:val="24"/>
        </w:rPr>
        <w:t>:</w:t>
      </w:r>
    </w:p>
    <w:p w:rsidR="00E105F0" w:rsidRDefault="00E105F0" w:rsidP="00E105F0">
      <w:pPr>
        <w:numPr>
          <w:ilvl w:val="0"/>
          <w:numId w:val="11"/>
        </w:numPr>
        <w:spacing w:after="0"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L’évaluation d’un dispositif bancaire de lutte contre le blanchiment d’argent ;</w:t>
      </w:r>
    </w:p>
    <w:p w:rsidR="00E105F0" w:rsidRPr="00DE6C82" w:rsidRDefault="00E105F0" w:rsidP="00E105F0">
      <w:pPr>
        <w:numPr>
          <w:ilvl w:val="0"/>
          <w:numId w:val="11"/>
        </w:numPr>
        <w:spacing w:after="0"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La mise en place d’un système d’alerte des opérations douteuses dans une banque ;</w:t>
      </w:r>
    </w:p>
    <w:p w:rsidR="00017773" w:rsidRDefault="00E105F0" w:rsidP="005D277D">
      <w:pPr>
        <w:numPr>
          <w:ilvl w:val="0"/>
          <w:numId w:val="11"/>
        </w:numPr>
        <w:spacing w:after="0" w:line="36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 xml:space="preserve">L’efficacité du traitement des déclarations de soupçon par la </w:t>
      </w:r>
      <w:r w:rsidR="005D277D">
        <w:rPr>
          <w:rStyle w:val="hps"/>
          <w:rFonts w:ascii="Times New Roman" w:hAnsi="Times New Roman" w:cs="Times New Roman"/>
          <w:sz w:val="24"/>
          <w:szCs w:val="24"/>
        </w:rPr>
        <w:t>CTRF ;</w:t>
      </w:r>
    </w:p>
    <w:p w:rsidR="005D277D" w:rsidRPr="005D277D" w:rsidRDefault="00017773" w:rsidP="00E105F0">
      <w:pPr>
        <w:numPr>
          <w:ilvl w:val="0"/>
          <w:numId w:val="11"/>
        </w:numPr>
        <w:spacing w:after="0" w:line="360" w:lineRule="auto"/>
        <w:jc w:val="both"/>
        <w:rPr>
          <w:rStyle w:val="hps"/>
        </w:rPr>
      </w:pPr>
      <w:r w:rsidRPr="005D277D">
        <w:rPr>
          <w:rStyle w:val="hps"/>
          <w:rFonts w:ascii="Times New Roman" w:hAnsi="Times New Roman" w:cs="Times New Roman"/>
          <w:sz w:val="24"/>
          <w:szCs w:val="24"/>
        </w:rPr>
        <w:t>L’économie informelle et le blanchiment d’argent en Algérie;</w:t>
      </w:r>
    </w:p>
    <w:p w:rsidR="005E18C1" w:rsidRDefault="00E105F0" w:rsidP="00E105F0">
      <w:pPr>
        <w:numPr>
          <w:ilvl w:val="0"/>
          <w:numId w:val="11"/>
        </w:numPr>
        <w:spacing w:after="0" w:line="360" w:lineRule="auto"/>
        <w:jc w:val="both"/>
      </w:pPr>
      <w:r w:rsidRPr="005D277D">
        <w:rPr>
          <w:rStyle w:val="hps"/>
          <w:rFonts w:ascii="Times New Roman" w:hAnsi="Times New Roman" w:cs="Times New Roman"/>
          <w:sz w:val="24"/>
          <w:szCs w:val="24"/>
        </w:rPr>
        <w:t>Le groupe Egmont et la coopération internationale dans le domaine de la lutte contre le blanchiment d’argent.</w:t>
      </w:r>
    </w:p>
    <w:sectPr w:rsidR="005E18C1" w:rsidSect="002F2247">
      <w:headerReference w:type="default" r:id="rId7"/>
      <w:pgSz w:w="11906" w:h="16838"/>
      <w:pgMar w:top="1417" w:right="1417" w:bottom="1417" w:left="1417" w:header="708" w:footer="708" w:gutter="0"/>
      <w:pgNumType w:start="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882" w:rsidRDefault="006A6882" w:rsidP="00E105F0">
      <w:pPr>
        <w:spacing w:after="0" w:line="240" w:lineRule="auto"/>
      </w:pPr>
      <w:r>
        <w:separator/>
      </w:r>
    </w:p>
  </w:endnote>
  <w:endnote w:type="continuationSeparator" w:id="1">
    <w:p w:rsidR="006A6882" w:rsidRDefault="006A6882" w:rsidP="00E10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882" w:rsidRDefault="006A6882" w:rsidP="00E105F0">
      <w:pPr>
        <w:spacing w:after="0" w:line="240" w:lineRule="auto"/>
      </w:pPr>
      <w:r>
        <w:separator/>
      </w:r>
    </w:p>
  </w:footnote>
  <w:footnote w:type="continuationSeparator" w:id="1">
    <w:p w:rsidR="006A6882" w:rsidRDefault="006A6882" w:rsidP="00E105F0">
      <w:pPr>
        <w:spacing w:after="0" w:line="240" w:lineRule="auto"/>
      </w:pPr>
      <w:r>
        <w:continuationSeparator/>
      </w:r>
    </w:p>
  </w:footnote>
  <w:footnote w:id="2">
    <w:p w:rsidR="00E105F0" w:rsidRPr="00854636" w:rsidRDefault="00E105F0" w:rsidP="00E105F0">
      <w:pPr>
        <w:pStyle w:val="Notedebasdepage"/>
        <w:rPr>
          <w:rFonts w:ascii="Times New Roman" w:hAnsi="Times New Roman" w:cs="Times New Roman"/>
        </w:rPr>
      </w:pPr>
      <w:r w:rsidRPr="007D7C7C">
        <w:rPr>
          <w:rStyle w:val="Appelnotedebasdep"/>
        </w:rPr>
        <w:footnoteRef/>
      </w:r>
      <w:r w:rsidRPr="007D7C7C">
        <w:t xml:space="preserve"> </w:t>
      </w:r>
      <w:r w:rsidRPr="00854636">
        <w:rPr>
          <w:rFonts w:ascii="Times New Roman" w:hAnsi="Times New Roman" w:cs="Times New Roman"/>
        </w:rPr>
        <w:t xml:space="preserve">VERNIER Eric, « les technique de blanchiment et moyens de lutte », Paris, Dunod, 2005, </w:t>
      </w:r>
      <w:r>
        <w:rPr>
          <w:rFonts w:ascii="Times New Roman" w:hAnsi="Times New Roman" w:cs="Times New Roman"/>
        </w:rPr>
        <w:t>P</w:t>
      </w:r>
      <w:r w:rsidRPr="00854636">
        <w:rPr>
          <w:rFonts w:ascii="Times New Roman" w:hAnsi="Times New Roman" w:cs="Times New Roman"/>
        </w:rPr>
        <w:t xml:space="preserve"> 192.</w:t>
      </w:r>
    </w:p>
    <w:p w:rsidR="00E105F0" w:rsidRDefault="00E105F0" w:rsidP="00E105F0">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93" w:rsidRPr="00407793" w:rsidRDefault="00E70AC2" w:rsidP="00407793">
    <w:pPr>
      <w:pStyle w:val="En-tte"/>
      <w:rPr>
        <w:rFonts w:ascii="Times New Roman" w:hAnsi="Times New Roman" w:cs="Times New Roman"/>
        <w:b/>
        <w:bCs/>
        <w:i/>
        <w:iCs/>
        <w:sz w:val="24"/>
        <w:szCs w:val="24"/>
      </w:rPr>
    </w:pPr>
    <w:r w:rsidRPr="00E70AC2">
      <w:rPr>
        <w:noProof/>
        <w:lang w:eastAsia="zh-TW"/>
      </w:rPr>
      <w:pict>
        <v:shapetype id="_x0000_t202" coordsize="21600,21600" o:spt="202" path="m,l,21600r21600,l21600,xe">
          <v:stroke joinstyle="miter"/>
          <v:path gradientshapeok="t" o:connecttype="rect"/>
        </v:shapetype>
        <v:shape id="_x0000_s1025" type="#_x0000_t202" style="position:absolute;margin-left:524.45pt;margin-top:37.7pt;width:70.85pt;height:13.45pt;z-index:251660288;mso-width-percent:1000;mso-position-horizontal-relative:page;mso-position-vertical-relative:page;mso-width-percent:1000;mso-width-relative:right-margin-area;v-text-anchor:middle" o:allowincell="f" fillcolor="#4f81bd" stroked="f">
          <v:textbox style="mso-next-textbox:#_x0000_s1025;mso-fit-shape-to-text:t" inset=",0,,0">
            <w:txbxContent>
              <w:p w:rsidR="00EF4721" w:rsidRPr="00EF4721" w:rsidRDefault="00E70AC2">
                <w:pPr>
                  <w:spacing w:after="0" w:line="240" w:lineRule="auto"/>
                  <w:rPr>
                    <w:color w:val="FFFFFF"/>
                  </w:rPr>
                </w:pPr>
                <w:r>
                  <w:fldChar w:fldCharType="begin"/>
                </w:r>
                <w:r w:rsidR="009B00D4">
                  <w:instrText xml:space="preserve"> PAGE   \* MERGEFORMAT </w:instrText>
                </w:r>
                <w:r>
                  <w:fldChar w:fldCharType="separate"/>
                </w:r>
                <w:r w:rsidR="005D277D" w:rsidRPr="005D277D">
                  <w:rPr>
                    <w:noProof/>
                    <w:color w:val="FFFFFF"/>
                  </w:rPr>
                  <w:t>88</w:t>
                </w:r>
                <w:r>
                  <w:fldChar w:fldCharType="end"/>
                </w:r>
              </w:p>
            </w:txbxContent>
          </v:textbox>
          <w10:wrap anchorx="page" anchory="margin"/>
        </v:shape>
      </w:pict>
    </w:r>
    <w:r w:rsidRPr="00E70AC2">
      <w:rPr>
        <w:noProof/>
        <w:lang w:eastAsia="fr-FR"/>
      </w:rPr>
      <w:pict>
        <v:line id="_x0000_s1029" style="position:absolute;z-index:251661312" from="-5.4pt,18.05pt" to="453.6pt,18.15pt" strokeweight="3pt">
          <v:stroke linestyle="thinThin"/>
          <w10:wrap anchorx="page"/>
        </v:line>
      </w:pict>
    </w:r>
    <w:r w:rsidR="00407793" w:rsidRPr="00407793">
      <w:rPr>
        <w:rFonts w:ascii="Times New Roman" w:hAnsi="Times New Roman" w:cs="Times New Roman"/>
        <w:b/>
        <w:bCs/>
        <w:i/>
        <w:iCs/>
        <w:sz w:val="24"/>
        <w:szCs w:val="24"/>
      </w:rPr>
      <w:t xml:space="preserve">Conclusion générale </w:t>
    </w:r>
  </w:p>
  <w:p w:rsidR="00EF4721" w:rsidRDefault="006A68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823"/>
    <w:multiLevelType w:val="hybridMultilevel"/>
    <w:tmpl w:val="5EB4AC48"/>
    <w:lvl w:ilvl="0" w:tplc="1804A6BE">
      <w:numFmt w:val="bullet"/>
      <w:lvlText w:val="-"/>
      <w:lvlJc w:val="left"/>
      <w:pPr>
        <w:ind w:left="720" w:hanging="360"/>
      </w:pPr>
      <w:rPr>
        <w:rFonts w:ascii="TimesNewRoman" w:eastAsia="Times New Roman" w:hAnsi="TimesNewRoman" w:cs="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6720E4"/>
    <w:multiLevelType w:val="hybridMultilevel"/>
    <w:tmpl w:val="13A03100"/>
    <w:lvl w:ilvl="0" w:tplc="50D45F1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842B85"/>
    <w:multiLevelType w:val="hybridMultilevel"/>
    <w:tmpl w:val="8F2AE0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1C7E7A"/>
    <w:multiLevelType w:val="hybridMultilevel"/>
    <w:tmpl w:val="CD7471FA"/>
    <w:lvl w:ilvl="0" w:tplc="1804A6BE">
      <w:numFmt w:val="bullet"/>
      <w:lvlText w:val="-"/>
      <w:lvlJc w:val="left"/>
      <w:pPr>
        <w:ind w:left="1440" w:hanging="360"/>
      </w:pPr>
      <w:rPr>
        <w:rFonts w:ascii="TimesNewRoman" w:eastAsia="Times New Roman" w:hAnsi="TimesNewRoman" w:cs="TimesNew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3975AC4"/>
    <w:multiLevelType w:val="hybridMultilevel"/>
    <w:tmpl w:val="BD9818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6965797"/>
    <w:multiLevelType w:val="hybridMultilevel"/>
    <w:tmpl w:val="AAD4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E54FF2"/>
    <w:multiLevelType w:val="hybridMultilevel"/>
    <w:tmpl w:val="C4D4736A"/>
    <w:lvl w:ilvl="0" w:tplc="71BCBD3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2D6A75"/>
    <w:multiLevelType w:val="hybridMultilevel"/>
    <w:tmpl w:val="930243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C26391"/>
    <w:multiLevelType w:val="hybridMultilevel"/>
    <w:tmpl w:val="37F659B6"/>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6556CDA"/>
    <w:multiLevelType w:val="hybridMultilevel"/>
    <w:tmpl w:val="82AA427E"/>
    <w:lvl w:ilvl="0" w:tplc="9B048C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D520F8E"/>
    <w:multiLevelType w:val="hybridMultilevel"/>
    <w:tmpl w:val="9932AAD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0"/>
  </w:num>
  <w:num w:numId="6">
    <w:abstractNumId w:val="8"/>
  </w:num>
  <w:num w:numId="7">
    <w:abstractNumId w:val="1"/>
  </w:num>
  <w:num w:numId="8">
    <w:abstractNumId w:val="9"/>
  </w:num>
  <w:num w:numId="9">
    <w:abstractNumId w:val="2"/>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E105F0"/>
    <w:rsid w:val="000057D4"/>
    <w:rsid w:val="000156EE"/>
    <w:rsid w:val="00016232"/>
    <w:rsid w:val="00017773"/>
    <w:rsid w:val="000203FF"/>
    <w:rsid w:val="00025DC9"/>
    <w:rsid w:val="0002719A"/>
    <w:rsid w:val="0003047B"/>
    <w:rsid w:val="000437A4"/>
    <w:rsid w:val="00043DC8"/>
    <w:rsid w:val="000456AB"/>
    <w:rsid w:val="00046FCD"/>
    <w:rsid w:val="0005717C"/>
    <w:rsid w:val="0007586E"/>
    <w:rsid w:val="000768AC"/>
    <w:rsid w:val="000814E3"/>
    <w:rsid w:val="00081EFF"/>
    <w:rsid w:val="000865E2"/>
    <w:rsid w:val="00096914"/>
    <w:rsid w:val="000B0384"/>
    <w:rsid w:val="000B67BA"/>
    <w:rsid w:val="000C4306"/>
    <w:rsid w:val="000E4832"/>
    <w:rsid w:val="001028CD"/>
    <w:rsid w:val="00106044"/>
    <w:rsid w:val="00106A96"/>
    <w:rsid w:val="001156E2"/>
    <w:rsid w:val="001175DA"/>
    <w:rsid w:val="00124896"/>
    <w:rsid w:val="00125C68"/>
    <w:rsid w:val="00137288"/>
    <w:rsid w:val="00145659"/>
    <w:rsid w:val="00145875"/>
    <w:rsid w:val="00146D00"/>
    <w:rsid w:val="00151201"/>
    <w:rsid w:val="00151BDC"/>
    <w:rsid w:val="00160FEA"/>
    <w:rsid w:val="00174CC3"/>
    <w:rsid w:val="00183BE8"/>
    <w:rsid w:val="001861BF"/>
    <w:rsid w:val="00190192"/>
    <w:rsid w:val="001912D4"/>
    <w:rsid w:val="00193058"/>
    <w:rsid w:val="001A09F2"/>
    <w:rsid w:val="001A539F"/>
    <w:rsid w:val="001D1BA9"/>
    <w:rsid w:val="001E523C"/>
    <w:rsid w:val="001E6882"/>
    <w:rsid w:val="001F0E6C"/>
    <w:rsid w:val="001F64FB"/>
    <w:rsid w:val="0023189A"/>
    <w:rsid w:val="002340E0"/>
    <w:rsid w:val="00237134"/>
    <w:rsid w:val="00254283"/>
    <w:rsid w:val="0025565A"/>
    <w:rsid w:val="00266D4C"/>
    <w:rsid w:val="00275938"/>
    <w:rsid w:val="00277792"/>
    <w:rsid w:val="00290226"/>
    <w:rsid w:val="002929E4"/>
    <w:rsid w:val="00294409"/>
    <w:rsid w:val="00294FF3"/>
    <w:rsid w:val="002B585F"/>
    <w:rsid w:val="002C5219"/>
    <w:rsid w:val="002C77D7"/>
    <w:rsid w:val="002E0060"/>
    <w:rsid w:val="002E1C8B"/>
    <w:rsid w:val="002E41F2"/>
    <w:rsid w:val="002E4275"/>
    <w:rsid w:val="002F2247"/>
    <w:rsid w:val="002F319C"/>
    <w:rsid w:val="002F33E2"/>
    <w:rsid w:val="00305FEF"/>
    <w:rsid w:val="003268B8"/>
    <w:rsid w:val="00332807"/>
    <w:rsid w:val="00335DB2"/>
    <w:rsid w:val="00341486"/>
    <w:rsid w:val="003524D9"/>
    <w:rsid w:val="00353980"/>
    <w:rsid w:val="00362FF9"/>
    <w:rsid w:val="00366548"/>
    <w:rsid w:val="003702CA"/>
    <w:rsid w:val="003748B9"/>
    <w:rsid w:val="00375FCA"/>
    <w:rsid w:val="00381941"/>
    <w:rsid w:val="0038745E"/>
    <w:rsid w:val="00390ACF"/>
    <w:rsid w:val="00395765"/>
    <w:rsid w:val="003A3708"/>
    <w:rsid w:val="003A412B"/>
    <w:rsid w:val="003A6C95"/>
    <w:rsid w:val="003A7C3F"/>
    <w:rsid w:val="003C0548"/>
    <w:rsid w:val="003C1E2A"/>
    <w:rsid w:val="003C36DA"/>
    <w:rsid w:val="003C449C"/>
    <w:rsid w:val="003C6C2F"/>
    <w:rsid w:val="003D2EF6"/>
    <w:rsid w:val="003D7502"/>
    <w:rsid w:val="003E08F4"/>
    <w:rsid w:val="003F5BC8"/>
    <w:rsid w:val="00400AA4"/>
    <w:rsid w:val="00403F27"/>
    <w:rsid w:val="00403FED"/>
    <w:rsid w:val="00407793"/>
    <w:rsid w:val="004401F5"/>
    <w:rsid w:val="00451786"/>
    <w:rsid w:val="00457C59"/>
    <w:rsid w:val="00462A5E"/>
    <w:rsid w:val="004657CE"/>
    <w:rsid w:val="0047676A"/>
    <w:rsid w:val="00494EFB"/>
    <w:rsid w:val="0049595F"/>
    <w:rsid w:val="004A1BD6"/>
    <w:rsid w:val="004A66C7"/>
    <w:rsid w:val="004C1FB3"/>
    <w:rsid w:val="004C4E19"/>
    <w:rsid w:val="004C55B8"/>
    <w:rsid w:val="004C5EF4"/>
    <w:rsid w:val="004C696C"/>
    <w:rsid w:val="004D1C2A"/>
    <w:rsid w:val="004D2FC9"/>
    <w:rsid w:val="004E3561"/>
    <w:rsid w:val="004E4A59"/>
    <w:rsid w:val="004E5892"/>
    <w:rsid w:val="004E62D2"/>
    <w:rsid w:val="004E7D08"/>
    <w:rsid w:val="004F249F"/>
    <w:rsid w:val="0051123C"/>
    <w:rsid w:val="00530D63"/>
    <w:rsid w:val="00532A47"/>
    <w:rsid w:val="005402CC"/>
    <w:rsid w:val="00546074"/>
    <w:rsid w:val="00547342"/>
    <w:rsid w:val="0055591F"/>
    <w:rsid w:val="005617A2"/>
    <w:rsid w:val="00563C99"/>
    <w:rsid w:val="00573E48"/>
    <w:rsid w:val="0058357B"/>
    <w:rsid w:val="00586DD9"/>
    <w:rsid w:val="005878BC"/>
    <w:rsid w:val="005928F5"/>
    <w:rsid w:val="005970DC"/>
    <w:rsid w:val="005A3210"/>
    <w:rsid w:val="005A6F56"/>
    <w:rsid w:val="005B2277"/>
    <w:rsid w:val="005B2A87"/>
    <w:rsid w:val="005C411A"/>
    <w:rsid w:val="005C4446"/>
    <w:rsid w:val="005C4693"/>
    <w:rsid w:val="005D1073"/>
    <w:rsid w:val="005D2173"/>
    <w:rsid w:val="005D277D"/>
    <w:rsid w:val="005D626C"/>
    <w:rsid w:val="005D725A"/>
    <w:rsid w:val="005E0DBF"/>
    <w:rsid w:val="005E18C1"/>
    <w:rsid w:val="005F2FB4"/>
    <w:rsid w:val="005F7381"/>
    <w:rsid w:val="00601AB9"/>
    <w:rsid w:val="00601B91"/>
    <w:rsid w:val="006057D6"/>
    <w:rsid w:val="00612EC6"/>
    <w:rsid w:val="00615097"/>
    <w:rsid w:val="00616077"/>
    <w:rsid w:val="006214E1"/>
    <w:rsid w:val="00627D1E"/>
    <w:rsid w:val="00631DD5"/>
    <w:rsid w:val="00643F3F"/>
    <w:rsid w:val="0064626C"/>
    <w:rsid w:val="00653B09"/>
    <w:rsid w:val="00657669"/>
    <w:rsid w:val="00662DBA"/>
    <w:rsid w:val="00673E04"/>
    <w:rsid w:val="00680514"/>
    <w:rsid w:val="0068528E"/>
    <w:rsid w:val="006904F8"/>
    <w:rsid w:val="00693A72"/>
    <w:rsid w:val="00696982"/>
    <w:rsid w:val="0069773B"/>
    <w:rsid w:val="006978CE"/>
    <w:rsid w:val="006A1043"/>
    <w:rsid w:val="006A6882"/>
    <w:rsid w:val="006A72E2"/>
    <w:rsid w:val="006B7D81"/>
    <w:rsid w:val="006C1556"/>
    <w:rsid w:val="006C7D37"/>
    <w:rsid w:val="006D3C96"/>
    <w:rsid w:val="006D4FDE"/>
    <w:rsid w:val="006D7D3C"/>
    <w:rsid w:val="006E175C"/>
    <w:rsid w:val="006E6AF9"/>
    <w:rsid w:val="006E7F82"/>
    <w:rsid w:val="006F1F90"/>
    <w:rsid w:val="006F512D"/>
    <w:rsid w:val="0070352F"/>
    <w:rsid w:val="00716195"/>
    <w:rsid w:val="007461A2"/>
    <w:rsid w:val="007560E6"/>
    <w:rsid w:val="00761BD3"/>
    <w:rsid w:val="007808C2"/>
    <w:rsid w:val="00785114"/>
    <w:rsid w:val="00785C79"/>
    <w:rsid w:val="007937B4"/>
    <w:rsid w:val="00796597"/>
    <w:rsid w:val="007B0E79"/>
    <w:rsid w:val="007B5182"/>
    <w:rsid w:val="007B5C82"/>
    <w:rsid w:val="007C0821"/>
    <w:rsid w:val="007C39FF"/>
    <w:rsid w:val="007D300B"/>
    <w:rsid w:val="007D5E30"/>
    <w:rsid w:val="007E5F8A"/>
    <w:rsid w:val="007F4B93"/>
    <w:rsid w:val="00805B34"/>
    <w:rsid w:val="008115CB"/>
    <w:rsid w:val="00812038"/>
    <w:rsid w:val="00816A7E"/>
    <w:rsid w:val="00817FD8"/>
    <w:rsid w:val="0082058E"/>
    <w:rsid w:val="008237F9"/>
    <w:rsid w:val="008242D2"/>
    <w:rsid w:val="008256EE"/>
    <w:rsid w:val="0083005E"/>
    <w:rsid w:val="00845BE8"/>
    <w:rsid w:val="00857DF8"/>
    <w:rsid w:val="00862EBB"/>
    <w:rsid w:val="0086368A"/>
    <w:rsid w:val="00863C0D"/>
    <w:rsid w:val="00867C8C"/>
    <w:rsid w:val="00867DA7"/>
    <w:rsid w:val="008748CE"/>
    <w:rsid w:val="0089112F"/>
    <w:rsid w:val="008916DC"/>
    <w:rsid w:val="008A2594"/>
    <w:rsid w:val="008A44FF"/>
    <w:rsid w:val="008A694E"/>
    <w:rsid w:val="008B1B5C"/>
    <w:rsid w:val="008B4282"/>
    <w:rsid w:val="008B44A1"/>
    <w:rsid w:val="008D3E7A"/>
    <w:rsid w:val="008D56FA"/>
    <w:rsid w:val="009015D5"/>
    <w:rsid w:val="0090701B"/>
    <w:rsid w:val="00907EE7"/>
    <w:rsid w:val="00916FAB"/>
    <w:rsid w:val="00920EB7"/>
    <w:rsid w:val="009366F7"/>
    <w:rsid w:val="0093722B"/>
    <w:rsid w:val="00937EA0"/>
    <w:rsid w:val="009443DF"/>
    <w:rsid w:val="009655B0"/>
    <w:rsid w:val="00965A3D"/>
    <w:rsid w:val="009731A5"/>
    <w:rsid w:val="00982280"/>
    <w:rsid w:val="00987D96"/>
    <w:rsid w:val="009948FB"/>
    <w:rsid w:val="00997991"/>
    <w:rsid w:val="009A3057"/>
    <w:rsid w:val="009B00D4"/>
    <w:rsid w:val="009B02F5"/>
    <w:rsid w:val="009B2259"/>
    <w:rsid w:val="009B2DF4"/>
    <w:rsid w:val="009B39B9"/>
    <w:rsid w:val="009B6ED9"/>
    <w:rsid w:val="009B779B"/>
    <w:rsid w:val="009D4377"/>
    <w:rsid w:val="009D4F2F"/>
    <w:rsid w:val="009F01D4"/>
    <w:rsid w:val="009F5078"/>
    <w:rsid w:val="00A00DC0"/>
    <w:rsid w:val="00A0284D"/>
    <w:rsid w:val="00A15A86"/>
    <w:rsid w:val="00A22367"/>
    <w:rsid w:val="00A23626"/>
    <w:rsid w:val="00A26F5E"/>
    <w:rsid w:val="00A45129"/>
    <w:rsid w:val="00A47487"/>
    <w:rsid w:val="00A50880"/>
    <w:rsid w:val="00A5548F"/>
    <w:rsid w:val="00A648BE"/>
    <w:rsid w:val="00A64EF0"/>
    <w:rsid w:val="00A666BD"/>
    <w:rsid w:val="00A713B5"/>
    <w:rsid w:val="00A71971"/>
    <w:rsid w:val="00A8405E"/>
    <w:rsid w:val="00A84919"/>
    <w:rsid w:val="00A855B0"/>
    <w:rsid w:val="00A85AF2"/>
    <w:rsid w:val="00A93C0A"/>
    <w:rsid w:val="00AA5464"/>
    <w:rsid w:val="00AB2EAF"/>
    <w:rsid w:val="00AB3CA5"/>
    <w:rsid w:val="00AD156C"/>
    <w:rsid w:val="00AD6239"/>
    <w:rsid w:val="00AD6404"/>
    <w:rsid w:val="00AD7D44"/>
    <w:rsid w:val="00AE2520"/>
    <w:rsid w:val="00AE3395"/>
    <w:rsid w:val="00AF4387"/>
    <w:rsid w:val="00AF78FF"/>
    <w:rsid w:val="00B05DDE"/>
    <w:rsid w:val="00B12D44"/>
    <w:rsid w:val="00B13622"/>
    <w:rsid w:val="00B140CC"/>
    <w:rsid w:val="00B14A02"/>
    <w:rsid w:val="00B16AF8"/>
    <w:rsid w:val="00B21765"/>
    <w:rsid w:val="00B23783"/>
    <w:rsid w:val="00B25929"/>
    <w:rsid w:val="00B25E90"/>
    <w:rsid w:val="00B40C9F"/>
    <w:rsid w:val="00B504C5"/>
    <w:rsid w:val="00B504E6"/>
    <w:rsid w:val="00B55073"/>
    <w:rsid w:val="00B6153E"/>
    <w:rsid w:val="00B629E6"/>
    <w:rsid w:val="00B659BF"/>
    <w:rsid w:val="00B65CE5"/>
    <w:rsid w:val="00B75024"/>
    <w:rsid w:val="00B75B68"/>
    <w:rsid w:val="00BB266A"/>
    <w:rsid w:val="00BB5F39"/>
    <w:rsid w:val="00BC7FCD"/>
    <w:rsid w:val="00BD4816"/>
    <w:rsid w:val="00BD7CAB"/>
    <w:rsid w:val="00BE55D3"/>
    <w:rsid w:val="00BF528C"/>
    <w:rsid w:val="00C15ADE"/>
    <w:rsid w:val="00C15F15"/>
    <w:rsid w:val="00C365EC"/>
    <w:rsid w:val="00C4199D"/>
    <w:rsid w:val="00C46B74"/>
    <w:rsid w:val="00C53A9C"/>
    <w:rsid w:val="00C612A7"/>
    <w:rsid w:val="00C71DAD"/>
    <w:rsid w:val="00C73DD4"/>
    <w:rsid w:val="00C745E9"/>
    <w:rsid w:val="00C75B5E"/>
    <w:rsid w:val="00C7663C"/>
    <w:rsid w:val="00C80FC6"/>
    <w:rsid w:val="00C81EC0"/>
    <w:rsid w:val="00C96F8C"/>
    <w:rsid w:val="00CA6A84"/>
    <w:rsid w:val="00CB1242"/>
    <w:rsid w:val="00CB21B6"/>
    <w:rsid w:val="00CC5ED6"/>
    <w:rsid w:val="00CC6EBE"/>
    <w:rsid w:val="00CD3897"/>
    <w:rsid w:val="00CD7395"/>
    <w:rsid w:val="00CE3B98"/>
    <w:rsid w:val="00CE4707"/>
    <w:rsid w:val="00CE5065"/>
    <w:rsid w:val="00CF0FE4"/>
    <w:rsid w:val="00CF157E"/>
    <w:rsid w:val="00D0200F"/>
    <w:rsid w:val="00D1512E"/>
    <w:rsid w:val="00D22595"/>
    <w:rsid w:val="00D25267"/>
    <w:rsid w:val="00D37171"/>
    <w:rsid w:val="00D37EEC"/>
    <w:rsid w:val="00D42DD4"/>
    <w:rsid w:val="00D4440B"/>
    <w:rsid w:val="00D45191"/>
    <w:rsid w:val="00D46217"/>
    <w:rsid w:val="00D46393"/>
    <w:rsid w:val="00D546D8"/>
    <w:rsid w:val="00D71DEA"/>
    <w:rsid w:val="00D81D36"/>
    <w:rsid w:val="00D87375"/>
    <w:rsid w:val="00DA3461"/>
    <w:rsid w:val="00DB0523"/>
    <w:rsid w:val="00DC5B83"/>
    <w:rsid w:val="00DC6908"/>
    <w:rsid w:val="00DE4D9B"/>
    <w:rsid w:val="00DE7C45"/>
    <w:rsid w:val="00DE7F47"/>
    <w:rsid w:val="00DF1E7D"/>
    <w:rsid w:val="00DF5E9E"/>
    <w:rsid w:val="00DF6F41"/>
    <w:rsid w:val="00DF7DB9"/>
    <w:rsid w:val="00E05DA0"/>
    <w:rsid w:val="00E105F0"/>
    <w:rsid w:val="00E15BFA"/>
    <w:rsid w:val="00E25910"/>
    <w:rsid w:val="00E33039"/>
    <w:rsid w:val="00E436D6"/>
    <w:rsid w:val="00E44C4F"/>
    <w:rsid w:val="00E45BFA"/>
    <w:rsid w:val="00E47BA9"/>
    <w:rsid w:val="00E51E52"/>
    <w:rsid w:val="00E53017"/>
    <w:rsid w:val="00E55171"/>
    <w:rsid w:val="00E55B65"/>
    <w:rsid w:val="00E6377A"/>
    <w:rsid w:val="00E64FF8"/>
    <w:rsid w:val="00E66B44"/>
    <w:rsid w:val="00E70AC2"/>
    <w:rsid w:val="00E74858"/>
    <w:rsid w:val="00E7505A"/>
    <w:rsid w:val="00E87C6B"/>
    <w:rsid w:val="00EA01F8"/>
    <w:rsid w:val="00EA2BE4"/>
    <w:rsid w:val="00EA3BA2"/>
    <w:rsid w:val="00EA5D0D"/>
    <w:rsid w:val="00EB2EAE"/>
    <w:rsid w:val="00EB4C1B"/>
    <w:rsid w:val="00EC2BDD"/>
    <w:rsid w:val="00EC2C30"/>
    <w:rsid w:val="00EC3978"/>
    <w:rsid w:val="00ED4DD6"/>
    <w:rsid w:val="00ED77AE"/>
    <w:rsid w:val="00EE0CFE"/>
    <w:rsid w:val="00EF1184"/>
    <w:rsid w:val="00EF2B85"/>
    <w:rsid w:val="00EF2BFC"/>
    <w:rsid w:val="00F062C7"/>
    <w:rsid w:val="00F06C76"/>
    <w:rsid w:val="00F10A11"/>
    <w:rsid w:val="00F12CF2"/>
    <w:rsid w:val="00F15B00"/>
    <w:rsid w:val="00F23819"/>
    <w:rsid w:val="00F242EB"/>
    <w:rsid w:val="00F27BB7"/>
    <w:rsid w:val="00F45226"/>
    <w:rsid w:val="00F45D2D"/>
    <w:rsid w:val="00F470A2"/>
    <w:rsid w:val="00F606EE"/>
    <w:rsid w:val="00F6187A"/>
    <w:rsid w:val="00F678B3"/>
    <w:rsid w:val="00F732EC"/>
    <w:rsid w:val="00F9326B"/>
    <w:rsid w:val="00F97585"/>
    <w:rsid w:val="00FA05FB"/>
    <w:rsid w:val="00FA0990"/>
    <w:rsid w:val="00FA3D31"/>
    <w:rsid w:val="00FB27AF"/>
    <w:rsid w:val="00FC5D9F"/>
    <w:rsid w:val="00FD131D"/>
    <w:rsid w:val="00FE0016"/>
    <w:rsid w:val="00FF14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F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105F0"/>
    <w:pPr>
      <w:spacing w:after="0" w:line="240" w:lineRule="auto"/>
    </w:pPr>
    <w:rPr>
      <w:sz w:val="20"/>
      <w:szCs w:val="20"/>
    </w:rPr>
  </w:style>
  <w:style w:type="character" w:customStyle="1" w:styleId="NotedebasdepageCar">
    <w:name w:val="Note de bas de page Car"/>
    <w:basedOn w:val="Policepardfaut"/>
    <w:link w:val="Notedebasdepage"/>
    <w:uiPriority w:val="99"/>
    <w:rsid w:val="00E105F0"/>
    <w:rPr>
      <w:rFonts w:ascii="Calibri" w:eastAsia="Calibri" w:hAnsi="Calibri" w:cs="Arial"/>
      <w:sz w:val="20"/>
      <w:szCs w:val="20"/>
    </w:rPr>
  </w:style>
  <w:style w:type="character" w:styleId="Appelnotedebasdep">
    <w:name w:val="footnote reference"/>
    <w:basedOn w:val="Policepardfaut"/>
    <w:uiPriority w:val="99"/>
    <w:unhideWhenUsed/>
    <w:rsid w:val="00E105F0"/>
    <w:rPr>
      <w:vertAlign w:val="superscript"/>
    </w:rPr>
  </w:style>
  <w:style w:type="paragraph" w:customStyle="1" w:styleId="Style13ptJustifiPremireligne095cmAvant18ptApr">
    <w:name w:val="Style 13 pt Justifié Première ligne : 095 cm Avant : 18 pt Apr..."/>
    <w:basedOn w:val="Normal"/>
    <w:rsid w:val="00E105F0"/>
    <w:pPr>
      <w:spacing w:before="360" w:after="360" w:line="360" w:lineRule="auto"/>
      <w:ind w:firstLine="540"/>
      <w:jc w:val="both"/>
    </w:pPr>
    <w:rPr>
      <w:rFonts w:ascii="Times New Roman" w:eastAsia="Times New Roman" w:hAnsi="Times New Roman" w:cs="Times New Roman"/>
      <w:sz w:val="24"/>
      <w:szCs w:val="26"/>
      <w:lang w:eastAsia="fr-FR"/>
    </w:rPr>
  </w:style>
  <w:style w:type="paragraph" w:styleId="Paragraphedeliste">
    <w:name w:val="List Paragraph"/>
    <w:basedOn w:val="Normal"/>
    <w:uiPriority w:val="34"/>
    <w:qFormat/>
    <w:rsid w:val="00E105F0"/>
    <w:pPr>
      <w:ind w:left="720"/>
      <w:contextualSpacing/>
    </w:pPr>
  </w:style>
  <w:style w:type="character" w:customStyle="1" w:styleId="Style13pt">
    <w:name w:val="Style 13 pt"/>
    <w:basedOn w:val="Policepardfaut"/>
    <w:rsid w:val="00E105F0"/>
    <w:rPr>
      <w:sz w:val="24"/>
      <w:szCs w:val="26"/>
    </w:rPr>
  </w:style>
  <w:style w:type="character" w:customStyle="1" w:styleId="hps">
    <w:name w:val="hps"/>
    <w:basedOn w:val="Policepardfaut"/>
    <w:rsid w:val="00E105F0"/>
  </w:style>
  <w:style w:type="paragraph" w:styleId="En-tte">
    <w:name w:val="header"/>
    <w:basedOn w:val="Normal"/>
    <w:link w:val="En-tteCar"/>
    <w:uiPriority w:val="99"/>
    <w:semiHidden/>
    <w:unhideWhenUsed/>
    <w:rsid w:val="00E105F0"/>
    <w:pPr>
      <w:tabs>
        <w:tab w:val="center" w:pos="4536"/>
        <w:tab w:val="right" w:pos="9072"/>
      </w:tabs>
    </w:pPr>
  </w:style>
  <w:style w:type="character" w:customStyle="1" w:styleId="En-tteCar">
    <w:name w:val="En-tête Car"/>
    <w:basedOn w:val="Policepardfaut"/>
    <w:link w:val="En-tte"/>
    <w:uiPriority w:val="99"/>
    <w:semiHidden/>
    <w:rsid w:val="00E105F0"/>
    <w:rPr>
      <w:rFonts w:ascii="Calibri" w:eastAsia="Calibri" w:hAnsi="Calibri" w:cs="Arial"/>
    </w:rPr>
  </w:style>
  <w:style w:type="paragraph" w:styleId="Pieddepage">
    <w:name w:val="footer"/>
    <w:basedOn w:val="Normal"/>
    <w:link w:val="PieddepageCar"/>
    <w:uiPriority w:val="99"/>
    <w:semiHidden/>
    <w:unhideWhenUsed/>
    <w:rsid w:val="004077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07793"/>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2932</Words>
  <Characters>16132</Characters>
  <Application>Microsoft Office Word</Application>
  <DocSecurity>0</DocSecurity>
  <Lines>134</Lines>
  <Paragraphs>38</Paragraphs>
  <ScaleCrop>false</ScaleCrop>
  <Company>Hewlett-Packard</Company>
  <LinksUpToDate>false</LinksUpToDate>
  <CharactersWithSpaces>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oussol</dc:creator>
  <cp:keywords/>
  <dc:description/>
  <cp:lastModifiedBy>user</cp:lastModifiedBy>
  <cp:revision>7</cp:revision>
  <cp:lastPrinted>2012-05-20T13:29:00Z</cp:lastPrinted>
  <dcterms:created xsi:type="dcterms:W3CDTF">2012-05-19T08:40:00Z</dcterms:created>
  <dcterms:modified xsi:type="dcterms:W3CDTF">2012-05-20T13:30:00Z</dcterms:modified>
</cp:coreProperties>
</file>