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76A" w:rsidRPr="00D3776A" w:rsidRDefault="00D3776A" w:rsidP="00D3776A">
      <w:pPr>
        <w:spacing w:line="276" w:lineRule="auto"/>
        <w:rPr>
          <w:rFonts w:ascii="Times New Roman" w:hAnsi="Times New Roman" w:cs="Times New Roman"/>
          <w:sz w:val="24"/>
          <w:szCs w:val="28"/>
        </w:rPr>
      </w:pPr>
      <w:r w:rsidRPr="00D3776A">
        <w:rPr>
          <w:rFonts w:ascii="Times New Roman" w:hAnsi="Times New Roman" w:cs="Times New Roman"/>
          <w:b/>
          <w:bCs/>
          <w:i/>
          <w:iCs/>
          <w:sz w:val="24"/>
          <w:szCs w:val="28"/>
        </w:rPr>
        <w:t>République Algérienne Démocratique et Populaire</w:t>
      </w:r>
      <w:r w:rsidRPr="00D3776A">
        <w:rPr>
          <w:rFonts w:ascii="Times New Roman" w:hAnsi="Times New Roman" w:cs="Times New Roman"/>
          <w:sz w:val="24"/>
          <w:szCs w:val="28"/>
        </w:rPr>
        <w:t xml:space="preserve"> </w:t>
      </w:r>
    </w:p>
    <w:p w:rsidR="00D3776A" w:rsidRPr="00D3776A" w:rsidRDefault="00D3776A" w:rsidP="00D3776A">
      <w:pPr>
        <w:spacing w:line="276" w:lineRule="auto"/>
        <w:rPr>
          <w:rFonts w:ascii="Times New Roman" w:hAnsi="Times New Roman" w:cs="Times New Roman"/>
          <w:sz w:val="24"/>
          <w:szCs w:val="28"/>
        </w:rPr>
      </w:pPr>
      <w:r w:rsidRPr="00D3776A">
        <w:rPr>
          <w:rFonts w:ascii="Times New Roman" w:hAnsi="Times New Roman" w:cs="Times New Roman"/>
          <w:b/>
          <w:bCs/>
          <w:i/>
          <w:iCs/>
          <w:sz w:val="24"/>
          <w:szCs w:val="28"/>
        </w:rPr>
        <w:t>Ministère de l’enseignement supérieur et de la recherche scientifique</w:t>
      </w:r>
      <w:r w:rsidRPr="00D3776A">
        <w:rPr>
          <w:rFonts w:ascii="Times New Roman" w:hAnsi="Times New Roman" w:cs="Times New Roman"/>
          <w:sz w:val="24"/>
          <w:szCs w:val="28"/>
        </w:rPr>
        <w:t xml:space="preserve"> </w:t>
      </w:r>
    </w:p>
    <w:p w:rsidR="00D3776A" w:rsidRPr="00D3776A" w:rsidRDefault="005D36A5" w:rsidP="00D3776A">
      <w:pPr>
        <w:spacing w:line="276" w:lineRule="auto"/>
        <w:rPr>
          <w:rFonts w:ascii="Times New Roman" w:hAnsi="Times New Roman" w:cs="Times New Roman"/>
          <w:sz w:val="28"/>
          <w:szCs w:val="28"/>
        </w:rPr>
      </w:pPr>
      <w:r>
        <w:rPr>
          <w:rFonts w:ascii="Times New Roman" w:hAnsi="Times New Roman" w:cs="Times New Roman"/>
          <w:b/>
          <w:bCs/>
          <w:i/>
          <w:iCs/>
          <w:sz w:val="28"/>
          <w:szCs w:val="28"/>
        </w:rPr>
        <w:t xml:space="preserve">École Supérieure de </w:t>
      </w:r>
      <w:r w:rsidR="00D3776A" w:rsidRPr="00D3776A">
        <w:rPr>
          <w:rFonts w:ascii="Times New Roman" w:hAnsi="Times New Roman" w:cs="Times New Roman"/>
          <w:b/>
          <w:bCs/>
          <w:i/>
          <w:iCs/>
          <w:sz w:val="28"/>
          <w:szCs w:val="28"/>
          <w:rtl/>
        </w:rPr>
        <w:t xml:space="preserve"> </w:t>
      </w:r>
      <w:r w:rsidR="00D3776A" w:rsidRPr="00D3776A">
        <w:rPr>
          <w:rFonts w:ascii="Times New Roman" w:hAnsi="Times New Roman" w:cs="Times New Roman"/>
          <w:b/>
          <w:bCs/>
          <w:i/>
          <w:iCs/>
          <w:sz w:val="28"/>
          <w:szCs w:val="28"/>
        </w:rPr>
        <w:t>Commerce d’Alger</w:t>
      </w:r>
      <w:r w:rsidR="00D3776A" w:rsidRPr="00D3776A">
        <w:rPr>
          <w:rFonts w:ascii="Times New Roman" w:hAnsi="Times New Roman" w:cs="Times New Roman"/>
          <w:sz w:val="28"/>
          <w:szCs w:val="28"/>
        </w:rPr>
        <w:t xml:space="preserve"> </w:t>
      </w:r>
    </w:p>
    <w:p w:rsidR="00DB22DD" w:rsidRDefault="00DB22DD" w:rsidP="00D3776A">
      <w:pPr>
        <w:spacing w:line="276" w:lineRule="auto"/>
      </w:pPr>
    </w:p>
    <w:p w:rsidR="00D3776A" w:rsidRDefault="00D3776A" w:rsidP="00D3776A">
      <w:pPr>
        <w:spacing w:line="276" w:lineRule="auto"/>
      </w:pPr>
    </w:p>
    <w:p w:rsidR="00D3776A" w:rsidRDefault="00D3776A" w:rsidP="00D3776A">
      <w:pPr>
        <w:spacing w:line="276" w:lineRule="auto"/>
      </w:pPr>
    </w:p>
    <w:p w:rsidR="00D3776A" w:rsidRPr="00D3776A" w:rsidRDefault="00D3776A" w:rsidP="00D3776A">
      <w:pPr>
        <w:spacing w:line="276" w:lineRule="auto"/>
        <w:rPr>
          <w:rFonts w:ascii="Times New Roman" w:hAnsi="Times New Roman" w:cs="Times New Roman"/>
          <w:sz w:val="24"/>
        </w:rPr>
      </w:pPr>
      <w:r w:rsidRPr="00D3776A">
        <w:rPr>
          <w:rFonts w:ascii="Times New Roman" w:hAnsi="Times New Roman" w:cs="Times New Roman"/>
          <w:i/>
          <w:iCs/>
          <w:sz w:val="24"/>
        </w:rPr>
        <w:t>MEMOIRE  DE MAGISTERE EN SCIENCES COMERCIALES ET FINANCIÈRES</w:t>
      </w:r>
      <w:r w:rsidRPr="00D3776A">
        <w:rPr>
          <w:rFonts w:ascii="Times New Roman" w:hAnsi="Times New Roman" w:cs="Times New Roman"/>
          <w:sz w:val="24"/>
        </w:rPr>
        <w:t xml:space="preserve"> </w:t>
      </w:r>
    </w:p>
    <w:p w:rsidR="00D3776A" w:rsidRPr="00D3776A" w:rsidRDefault="00D3776A" w:rsidP="00D3776A">
      <w:pPr>
        <w:spacing w:line="276" w:lineRule="auto"/>
        <w:rPr>
          <w:rFonts w:ascii="Times New Roman" w:hAnsi="Times New Roman" w:cs="Times New Roman"/>
          <w:sz w:val="24"/>
        </w:rPr>
      </w:pPr>
      <w:r w:rsidRPr="00D3776A">
        <w:rPr>
          <w:rFonts w:ascii="Times New Roman" w:hAnsi="Times New Roman" w:cs="Times New Roman"/>
          <w:i/>
          <w:iCs/>
          <w:sz w:val="24"/>
        </w:rPr>
        <w:t>Option Finance</w:t>
      </w:r>
      <w:r w:rsidRPr="00D3776A">
        <w:rPr>
          <w:rFonts w:ascii="Times New Roman" w:hAnsi="Times New Roman" w:cs="Times New Roman"/>
          <w:sz w:val="24"/>
        </w:rPr>
        <w:t xml:space="preserve"> </w:t>
      </w:r>
    </w:p>
    <w:p w:rsidR="00D3776A" w:rsidRPr="00D3776A" w:rsidRDefault="00D3776A" w:rsidP="00D3776A">
      <w:pPr>
        <w:spacing w:line="276" w:lineRule="auto"/>
        <w:rPr>
          <w:rFonts w:ascii="Times New Roman" w:hAnsi="Times New Roman" w:cs="Times New Roman"/>
          <w:b/>
        </w:rPr>
      </w:pPr>
    </w:p>
    <w:p w:rsidR="00D3776A" w:rsidRPr="00F11053" w:rsidRDefault="00D3776A" w:rsidP="00D3776A">
      <w:pPr>
        <w:spacing w:line="276" w:lineRule="auto"/>
        <w:rPr>
          <w:rFonts w:ascii="Times New Roman" w:hAnsi="Times New Roman" w:cs="Times New Roman"/>
          <w:b/>
          <w:sz w:val="28"/>
        </w:rPr>
      </w:pPr>
      <w:r w:rsidRPr="00F11053">
        <w:rPr>
          <w:rFonts w:ascii="Times New Roman" w:hAnsi="Times New Roman" w:cs="Times New Roman"/>
          <w:b/>
          <w:sz w:val="28"/>
        </w:rPr>
        <w:t>Thème</w:t>
      </w:r>
    </w:p>
    <w:p w:rsidR="00D3776A" w:rsidRPr="00F11053" w:rsidRDefault="00D3776A" w:rsidP="00F11053">
      <w:pPr>
        <w:spacing w:line="360" w:lineRule="auto"/>
        <w:rPr>
          <w:rFonts w:ascii="Times New Roman" w:hAnsi="Times New Roman" w:cs="Times New Roman"/>
          <w:b/>
          <w:sz w:val="24"/>
        </w:rPr>
      </w:pPr>
      <w:r w:rsidRPr="00F11053">
        <w:rPr>
          <w:rFonts w:ascii="Times New Roman" w:hAnsi="Times New Roman" w:cs="Times New Roman"/>
          <w:b/>
          <w:sz w:val="24"/>
        </w:rPr>
        <w:t>Impact du passage du Plan Comptable National au nouveau Système Comptable Financier sur les capitaux propres et résultats des entreprises</w:t>
      </w:r>
      <w:r w:rsidRPr="00F11053">
        <w:rPr>
          <w:rFonts w:ascii="Times New Roman" w:hAnsi="Times New Roman" w:cs="Times New Roman"/>
          <w:b/>
          <w:sz w:val="24"/>
        </w:rPr>
        <w:br/>
        <w:t xml:space="preserve">« Cas des sociétés du Groupe SONELGAZ » </w:t>
      </w:r>
    </w:p>
    <w:p w:rsidR="00D3776A" w:rsidRDefault="00D3776A" w:rsidP="00D3776A">
      <w:pPr>
        <w:spacing w:line="276" w:lineRule="auto"/>
      </w:pPr>
    </w:p>
    <w:p w:rsidR="00F11053" w:rsidRDefault="00F11053" w:rsidP="00D3776A">
      <w:pPr>
        <w:spacing w:line="276" w:lineRule="auto"/>
      </w:pPr>
    </w:p>
    <w:p w:rsidR="00F11053" w:rsidRDefault="00F11053" w:rsidP="00D3776A">
      <w:pPr>
        <w:spacing w:line="276" w:lineRule="auto"/>
      </w:pPr>
    </w:p>
    <w:p w:rsidR="00F11053" w:rsidRPr="00F11053" w:rsidRDefault="00F11053" w:rsidP="00F11053">
      <w:pPr>
        <w:spacing w:before="0" w:beforeAutospacing="0" w:after="120" w:afterAutospacing="0" w:line="276" w:lineRule="auto"/>
        <w:jc w:val="both"/>
        <w:rPr>
          <w:rFonts w:ascii="Times New Roman" w:hAnsi="Times New Roman" w:cs="Times New Roman"/>
          <w:sz w:val="24"/>
        </w:rPr>
      </w:pPr>
      <w:r w:rsidRPr="00F11053">
        <w:rPr>
          <w:rFonts w:ascii="Times New Roman" w:hAnsi="Times New Roman" w:cs="Times New Roman"/>
          <w:b/>
          <w:i/>
          <w:sz w:val="24"/>
          <w:u w:val="single"/>
        </w:rPr>
        <w:t>Présenté par l’étudiante :</w:t>
      </w:r>
      <w:r w:rsidRPr="00F11053">
        <w:rPr>
          <w:rFonts w:ascii="Times New Roman" w:hAnsi="Times New Roman" w:cs="Times New Roman"/>
          <w:sz w:val="24"/>
        </w:rPr>
        <w:tab/>
      </w:r>
      <w:r w:rsidRPr="00F11053">
        <w:rPr>
          <w:rFonts w:ascii="Times New Roman" w:hAnsi="Times New Roman" w:cs="Times New Roman"/>
          <w:sz w:val="24"/>
        </w:rPr>
        <w:tab/>
      </w:r>
      <w:r w:rsidRPr="00F11053">
        <w:rPr>
          <w:rFonts w:ascii="Times New Roman" w:hAnsi="Times New Roman" w:cs="Times New Roman"/>
          <w:sz w:val="24"/>
        </w:rPr>
        <w:tab/>
      </w:r>
      <w:r w:rsidRPr="00F11053">
        <w:rPr>
          <w:rFonts w:ascii="Times New Roman" w:hAnsi="Times New Roman" w:cs="Times New Roman"/>
          <w:sz w:val="24"/>
        </w:rPr>
        <w:tab/>
      </w:r>
      <w:r>
        <w:rPr>
          <w:rFonts w:ascii="Times New Roman" w:hAnsi="Times New Roman" w:cs="Times New Roman"/>
          <w:sz w:val="24"/>
        </w:rPr>
        <w:tab/>
        <w:t xml:space="preserve">       </w:t>
      </w:r>
      <w:r w:rsidRPr="00F11053">
        <w:rPr>
          <w:rFonts w:ascii="Times New Roman" w:hAnsi="Times New Roman" w:cs="Times New Roman"/>
          <w:b/>
          <w:i/>
          <w:sz w:val="24"/>
          <w:u w:val="single"/>
        </w:rPr>
        <w:t>Encadré par :</w:t>
      </w:r>
    </w:p>
    <w:p w:rsidR="00F11053" w:rsidRPr="00F11053" w:rsidRDefault="00F11053" w:rsidP="00F11053">
      <w:pPr>
        <w:spacing w:before="0" w:beforeAutospacing="0" w:after="0" w:afterAutospacing="0" w:line="276" w:lineRule="auto"/>
        <w:jc w:val="both"/>
        <w:rPr>
          <w:rFonts w:ascii="Times New Roman" w:hAnsi="Times New Roman" w:cs="Times New Roman"/>
          <w:sz w:val="24"/>
        </w:rPr>
      </w:pPr>
      <w:proofErr w:type="spellStart"/>
      <w:r w:rsidRPr="00F11053">
        <w:rPr>
          <w:rFonts w:ascii="Times New Roman" w:hAnsi="Times New Roman" w:cs="Times New Roman"/>
          <w:sz w:val="24"/>
        </w:rPr>
        <w:t>Loudjani</w:t>
      </w:r>
      <w:proofErr w:type="spellEnd"/>
      <w:r w:rsidRPr="00F11053">
        <w:rPr>
          <w:rFonts w:ascii="Times New Roman" w:hAnsi="Times New Roman" w:cs="Times New Roman"/>
          <w:sz w:val="24"/>
        </w:rPr>
        <w:t xml:space="preserve"> Zina</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F11053">
        <w:rPr>
          <w:rFonts w:ascii="Times New Roman" w:hAnsi="Times New Roman" w:cs="Times New Roman"/>
          <w:sz w:val="24"/>
        </w:rPr>
        <w:t xml:space="preserve">Mr. </w:t>
      </w:r>
      <w:proofErr w:type="spellStart"/>
      <w:r w:rsidRPr="00F11053">
        <w:rPr>
          <w:rFonts w:ascii="Times New Roman" w:hAnsi="Times New Roman" w:cs="Times New Roman"/>
          <w:sz w:val="24"/>
        </w:rPr>
        <w:t>Ihadadden</w:t>
      </w:r>
      <w:proofErr w:type="spellEnd"/>
      <w:r w:rsidRPr="00F11053">
        <w:rPr>
          <w:rFonts w:ascii="Times New Roman" w:hAnsi="Times New Roman" w:cs="Times New Roman"/>
          <w:sz w:val="24"/>
        </w:rPr>
        <w:t xml:space="preserve"> </w:t>
      </w:r>
      <w:proofErr w:type="spellStart"/>
      <w:r w:rsidRPr="00F11053">
        <w:rPr>
          <w:rFonts w:ascii="Times New Roman" w:hAnsi="Times New Roman" w:cs="Times New Roman"/>
          <w:sz w:val="24"/>
        </w:rPr>
        <w:t>Athmène</w:t>
      </w:r>
      <w:proofErr w:type="spellEnd"/>
    </w:p>
    <w:p w:rsidR="00F11053" w:rsidRPr="00F11053" w:rsidRDefault="00F11053" w:rsidP="00F11053">
      <w:pPr>
        <w:spacing w:before="0" w:beforeAutospacing="0" w:after="0" w:afterAutospacing="0" w:line="276" w:lineRule="auto"/>
        <w:jc w:val="both"/>
        <w:rPr>
          <w:rFonts w:ascii="Times New Roman" w:hAnsi="Times New Roman" w:cs="Times New Roman"/>
          <w:b/>
          <w:i/>
          <w:sz w:val="24"/>
        </w:rPr>
      </w:pPr>
      <w:r w:rsidRPr="00F11053">
        <w:rPr>
          <w:rFonts w:ascii="Times New Roman" w:hAnsi="Times New Roman" w:cs="Times New Roman"/>
          <w:sz w:val="24"/>
        </w:rPr>
        <w:tab/>
      </w:r>
      <w:r w:rsidRPr="00F11053">
        <w:rPr>
          <w:rFonts w:ascii="Times New Roman" w:hAnsi="Times New Roman" w:cs="Times New Roman"/>
          <w:sz w:val="24"/>
        </w:rPr>
        <w:tab/>
      </w:r>
      <w:r w:rsidRPr="00F11053">
        <w:rPr>
          <w:rFonts w:ascii="Times New Roman" w:hAnsi="Times New Roman" w:cs="Times New Roman"/>
          <w:sz w:val="24"/>
        </w:rPr>
        <w:tab/>
      </w:r>
      <w:r w:rsidRPr="00F11053">
        <w:rPr>
          <w:rFonts w:ascii="Times New Roman" w:hAnsi="Times New Roman" w:cs="Times New Roman"/>
          <w:sz w:val="24"/>
        </w:rPr>
        <w:tab/>
      </w:r>
      <w:r w:rsidRPr="00F11053">
        <w:rPr>
          <w:rFonts w:ascii="Times New Roman" w:hAnsi="Times New Roman" w:cs="Times New Roman"/>
          <w:sz w:val="24"/>
        </w:rPr>
        <w:tab/>
      </w:r>
      <w:r w:rsidRPr="00F11053">
        <w:rPr>
          <w:rFonts w:ascii="Times New Roman" w:hAnsi="Times New Roman" w:cs="Times New Roman"/>
          <w:sz w:val="24"/>
        </w:rPr>
        <w:tab/>
      </w:r>
      <w:r w:rsidRPr="00F11053">
        <w:rPr>
          <w:rFonts w:ascii="Times New Roman" w:hAnsi="Times New Roman" w:cs="Times New Roman"/>
          <w:sz w:val="24"/>
        </w:rPr>
        <w:tab/>
      </w:r>
      <w:r w:rsidRPr="00F11053">
        <w:rPr>
          <w:rFonts w:ascii="Times New Roman" w:hAnsi="Times New Roman" w:cs="Times New Roman"/>
          <w:sz w:val="24"/>
        </w:rPr>
        <w:tab/>
      </w:r>
      <w:r>
        <w:rPr>
          <w:rFonts w:ascii="Times New Roman" w:hAnsi="Times New Roman" w:cs="Times New Roman"/>
          <w:sz w:val="24"/>
        </w:rPr>
        <w:t xml:space="preserve">  </w:t>
      </w:r>
      <w:r w:rsidRPr="00F11053">
        <w:rPr>
          <w:rFonts w:ascii="Times New Roman" w:hAnsi="Times New Roman" w:cs="Times New Roman"/>
          <w:b/>
          <w:i/>
          <w:sz w:val="24"/>
        </w:rPr>
        <w:t>Maître  de conférences</w:t>
      </w:r>
    </w:p>
    <w:p w:rsidR="00F11053" w:rsidRDefault="00F11053" w:rsidP="00F11053">
      <w:pPr>
        <w:spacing w:before="0" w:beforeAutospacing="0" w:after="0" w:afterAutospacing="0" w:line="276" w:lineRule="auto"/>
        <w:jc w:val="both"/>
        <w:rPr>
          <w:rFonts w:ascii="Times New Roman" w:hAnsi="Times New Roman" w:cs="Times New Roman"/>
          <w:b/>
          <w:i/>
          <w:sz w:val="24"/>
        </w:rPr>
      </w:pPr>
      <w:r w:rsidRPr="00F11053">
        <w:rPr>
          <w:rFonts w:ascii="Times New Roman" w:hAnsi="Times New Roman" w:cs="Times New Roman"/>
          <w:b/>
          <w:i/>
          <w:sz w:val="24"/>
        </w:rPr>
        <w:tab/>
      </w:r>
      <w:r w:rsidRPr="00F11053">
        <w:rPr>
          <w:rFonts w:ascii="Times New Roman" w:hAnsi="Times New Roman" w:cs="Times New Roman"/>
          <w:b/>
          <w:i/>
          <w:sz w:val="24"/>
        </w:rPr>
        <w:tab/>
      </w:r>
      <w:r w:rsidRPr="00F11053">
        <w:rPr>
          <w:rFonts w:ascii="Times New Roman" w:hAnsi="Times New Roman" w:cs="Times New Roman"/>
          <w:b/>
          <w:i/>
          <w:sz w:val="24"/>
        </w:rPr>
        <w:tab/>
      </w:r>
      <w:r w:rsidRPr="00F11053">
        <w:rPr>
          <w:rFonts w:ascii="Times New Roman" w:hAnsi="Times New Roman" w:cs="Times New Roman"/>
          <w:b/>
          <w:i/>
          <w:sz w:val="24"/>
        </w:rPr>
        <w:tab/>
      </w:r>
      <w:r w:rsidRPr="00F11053">
        <w:rPr>
          <w:rFonts w:ascii="Times New Roman" w:hAnsi="Times New Roman" w:cs="Times New Roman"/>
          <w:b/>
          <w:i/>
          <w:sz w:val="24"/>
        </w:rPr>
        <w:tab/>
      </w:r>
      <w:r w:rsidRPr="00F11053">
        <w:rPr>
          <w:rFonts w:ascii="Times New Roman" w:hAnsi="Times New Roman" w:cs="Times New Roman"/>
          <w:b/>
          <w:i/>
          <w:sz w:val="24"/>
        </w:rPr>
        <w:tab/>
      </w:r>
      <w:r w:rsidRPr="00F11053">
        <w:rPr>
          <w:rFonts w:ascii="Times New Roman" w:hAnsi="Times New Roman" w:cs="Times New Roman"/>
          <w:b/>
          <w:i/>
          <w:sz w:val="24"/>
        </w:rPr>
        <w:tab/>
      </w:r>
      <w:r>
        <w:rPr>
          <w:rFonts w:ascii="Times New Roman" w:hAnsi="Times New Roman" w:cs="Times New Roman"/>
          <w:b/>
          <w:i/>
          <w:sz w:val="24"/>
        </w:rPr>
        <w:t xml:space="preserve"> </w:t>
      </w:r>
      <w:proofErr w:type="gramStart"/>
      <w:r w:rsidRPr="00F11053">
        <w:rPr>
          <w:rFonts w:ascii="Times New Roman" w:hAnsi="Times New Roman" w:cs="Times New Roman"/>
          <w:b/>
          <w:i/>
          <w:sz w:val="24"/>
        </w:rPr>
        <w:t>à</w:t>
      </w:r>
      <w:proofErr w:type="gramEnd"/>
      <w:r w:rsidRPr="00F11053">
        <w:rPr>
          <w:rFonts w:ascii="Times New Roman" w:hAnsi="Times New Roman" w:cs="Times New Roman"/>
          <w:b/>
          <w:i/>
          <w:sz w:val="24"/>
        </w:rPr>
        <w:t xml:space="preserve"> l’Ecole Supérieure de Commerce</w:t>
      </w:r>
    </w:p>
    <w:p w:rsidR="00ED6B49" w:rsidRDefault="00ED6B49" w:rsidP="00F11053">
      <w:pPr>
        <w:spacing w:before="0" w:beforeAutospacing="0" w:after="0" w:afterAutospacing="0" w:line="276" w:lineRule="auto"/>
        <w:jc w:val="both"/>
        <w:rPr>
          <w:rFonts w:ascii="Times New Roman" w:hAnsi="Times New Roman" w:cs="Times New Roman"/>
          <w:b/>
          <w:i/>
          <w:sz w:val="24"/>
        </w:rPr>
      </w:pPr>
    </w:p>
    <w:p w:rsidR="00ED6B49" w:rsidRDefault="00ED6B49" w:rsidP="00F11053">
      <w:pPr>
        <w:spacing w:before="0" w:beforeAutospacing="0" w:after="0" w:afterAutospacing="0" w:line="276" w:lineRule="auto"/>
        <w:jc w:val="both"/>
        <w:rPr>
          <w:rFonts w:ascii="Times New Roman" w:hAnsi="Times New Roman" w:cs="Times New Roman"/>
          <w:b/>
          <w:i/>
          <w:sz w:val="24"/>
        </w:rPr>
      </w:pPr>
    </w:p>
    <w:p w:rsidR="00ED6B49" w:rsidRDefault="00ED6B49" w:rsidP="00F11053">
      <w:pPr>
        <w:spacing w:before="0" w:beforeAutospacing="0" w:after="0" w:afterAutospacing="0" w:line="276" w:lineRule="auto"/>
        <w:jc w:val="both"/>
        <w:rPr>
          <w:rFonts w:ascii="Times New Roman" w:hAnsi="Times New Roman" w:cs="Times New Roman"/>
          <w:b/>
          <w:i/>
          <w:sz w:val="24"/>
        </w:rPr>
      </w:pPr>
    </w:p>
    <w:p w:rsidR="00ED6B49" w:rsidRDefault="00ED6B49" w:rsidP="00F11053">
      <w:pPr>
        <w:spacing w:before="0" w:beforeAutospacing="0" w:after="0" w:afterAutospacing="0" w:line="276" w:lineRule="auto"/>
        <w:jc w:val="both"/>
        <w:rPr>
          <w:rFonts w:ascii="Times New Roman" w:hAnsi="Times New Roman" w:cs="Times New Roman"/>
          <w:b/>
          <w:i/>
          <w:sz w:val="24"/>
        </w:rPr>
      </w:pPr>
    </w:p>
    <w:p w:rsidR="00ED6B49" w:rsidRDefault="00ED6B49" w:rsidP="00F11053">
      <w:pPr>
        <w:spacing w:before="0" w:beforeAutospacing="0" w:after="0" w:afterAutospacing="0" w:line="276" w:lineRule="auto"/>
        <w:jc w:val="both"/>
        <w:rPr>
          <w:rFonts w:ascii="Times New Roman" w:hAnsi="Times New Roman" w:cs="Times New Roman"/>
          <w:b/>
          <w:i/>
          <w:sz w:val="24"/>
        </w:rPr>
      </w:pPr>
    </w:p>
    <w:p w:rsidR="00ED6B49" w:rsidRDefault="00ED6B49" w:rsidP="00F11053">
      <w:pPr>
        <w:spacing w:before="0" w:beforeAutospacing="0" w:after="0" w:afterAutospacing="0" w:line="276" w:lineRule="auto"/>
        <w:jc w:val="both"/>
        <w:rPr>
          <w:rFonts w:ascii="Times New Roman" w:hAnsi="Times New Roman" w:cs="Times New Roman"/>
          <w:b/>
          <w:i/>
          <w:sz w:val="24"/>
        </w:rPr>
      </w:pPr>
    </w:p>
    <w:p w:rsidR="00ED6B49" w:rsidRDefault="00ED6B49" w:rsidP="00F11053">
      <w:pPr>
        <w:spacing w:before="0" w:beforeAutospacing="0" w:after="0" w:afterAutospacing="0" w:line="276" w:lineRule="auto"/>
        <w:jc w:val="both"/>
        <w:rPr>
          <w:rFonts w:ascii="Times New Roman" w:hAnsi="Times New Roman" w:cs="Times New Roman"/>
          <w:b/>
          <w:i/>
          <w:sz w:val="24"/>
        </w:rPr>
      </w:pPr>
    </w:p>
    <w:p w:rsidR="00ED6B49" w:rsidRDefault="00ED6B49" w:rsidP="00F11053">
      <w:pPr>
        <w:spacing w:before="0" w:beforeAutospacing="0" w:after="0" w:afterAutospacing="0" w:line="276" w:lineRule="auto"/>
        <w:jc w:val="both"/>
        <w:rPr>
          <w:rFonts w:ascii="Times New Roman" w:hAnsi="Times New Roman" w:cs="Times New Roman"/>
          <w:b/>
          <w:i/>
          <w:sz w:val="24"/>
        </w:rPr>
      </w:pPr>
    </w:p>
    <w:p w:rsidR="00ED6B49" w:rsidRDefault="00ED6B49" w:rsidP="00F11053">
      <w:pPr>
        <w:spacing w:before="0" w:beforeAutospacing="0" w:after="0" w:afterAutospacing="0" w:line="276" w:lineRule="auto"/>
        <w:jc w:val="both"/>
        <w:rPr>
          <w:rFonts w:ascii="Times New Roman" w:hAnsi="Times New Roman" w:cs="Times New Roman"/>
          <w:b/>
          <w:i/>
          <w:sz w:val="24"/>
        </w:rPr>
      </w:pPr>
    </w:p>
    <w:p w:rsidR="00A91916" w:rsidRDefault="00ED6B49" w:rsidP="00ED6B49">
      <w:pPr>
        <w:spacing w:before="0" w:beforeAutospacing="0" w:after="0" w:afterAutospacing="0" w:line="276" w:lineRule="auto"/>
        <w:rPr>
          <w:rFonts w:ascii="Times New Roman" w:hAnsi="Times New Roman" w:cs="Times New Roman"/>
          <w:b/>
          <w:i/>
          <w:sz w:val="24"/>
        </w:rPr>
      </w:pPr>
      <w:r>
        <w:rPr>
          <w:rFonts w:ascii="Times New Roman" w:hAnsi="Times New Roman" w:cs="Times New Roman"/>
          <w:b/>
          <w:i/>
          <w:sz w:val="24"/>
        </w:rPr>
        <w:t>Promotion 2010</w:t>
      </w:r>
    </w:p>
    <w:p w:rsidR="00A91916" w:rsidRDefault="00A91916">
      <w:pPr>
        <w:rPr>
          <w:rFonts w:ascii="Times New Roman" w:hAnsi="Times New Roman" w:cs="Times New Roman"/>
          <w:b/>
          <w:i/>
          <w:sz w:val="24"/>
        </w:rPr>
      </w:pPr>
      <w:r>
        <w:rPr>
          <w:rFonts w:ascii="Times New Roman" w:hAnsi="Times New Roman" w:cs="Times New Roman"/>
          <w:b/>
          <w:i/>
          <w:sz w:val="24"/>
        </w:rPr>
        <w:lastRenderedPageBreak/>
        <w:br w:type="page"/>
      </w:r>
    </w:p>
    <w:p w:rsidR="00A91916" w:rsidRPr="00D3776A" w:rsidRDefault="00A91916" w:rsidP="00A91916">
      <w:pPr>
        <w:spacing w:line="276" w:lineRule="auto"/>
        <w:rPr>
          <w:rFonts w:ascii="Times New Roman" w:hAnsi="Times New Roman" w:cs="Times New Roman"/>
          <w:sz w:val="24"/>
          <w:szCs w:val="28"/>
        </w:rPr>
      </w:pPr>
      <w:r w:rsidRPr="00D3776A">
        <w:rPr>
          <w:rFonts w:ascii="Times New Roman" w:hAnsi="Times New Roman" w:cs="Times New Roman"/>
          <w:b/>
          <w:bCs/>
          <w:i/>
          <w:iCs/>
          <w:sz w:val="24"/>
          <w:szCs w:val="28"/>
        </w:rPr>
        <w:lastRenderedPageBreak/>
        <w:t>République Algérienne Démocratique et Populaire</w:t>
      </w:r>
      <w:r w:rsidRPr="00D3776A">
        <w:rPr>
          <w:rFonts w:ascii="Times New Roman" w:hAnsi="Times New Roman" w:cs="Times New Roman"/>
          <w:sz w:val="24"/>
          <w:szCs w:val="28"/>
        </w:rPr>
        <w:t xml:space="preserve"> </w:t>
      </w:r>
    </w:p>
    <w:p w:rsidR="00A91916" w:rsidRPr="00D3776A" w:rsidRDefault="00A91916" w:rsidP="00A91916">
      <w:pPr>
        <w:spacing w:line="276" w:lineRule="auto"/>
        <w:rPr>
          <w:rFonts w:ascii="Times New Roman" w:hAnsi="Times New Roman" w:cs="Times New Roman"/>
          <w:sz w:val="24"/>
          <w:szCs w:val="28"/>
        </w:rPr>
      </w:pPr>
      <w:r w:rsidRPr="00D3776A">
        <w:rPr>
          <w:rFonts w:ascii="Times New Roman" w:hAnsi="Times New Roman" w:cs="Times New Roman"/>
          <w:b/>
          <w:bCs/>
          <w:i/>
          <w:iCs/>
          <w:sz w:val="24"/>
          <w:szCs w:val="28"/>
        </w:rPr>
        <w:t>Ministère de l’enseignement supérieur et de la recherche scientifique</w:t>
      </w:r>
      <w:r w:rsidRPr="00D3776A">
        <w:rPr>
          <w:rFonts w:ascii="Times New Roman" w:hAnsi="Times New Roman" w:cs="Times New Roman"/>
          <w:sz w:val="24"/>
          <w:szCs w:val="28"/>
        </w:rPr>
        <w:t xml:space="preserve"> </w:t>
      </w:r>
    </w:p>
    <w:p w:rsidR="00A91916" w:rsidRPr="00D3776A" w:rsidRDefault="00A91916" w:rsidP="00A91916">
      <w:pPr>
        <w:spacing w:line="276" w:lineRule="auto"/>
        <w:rPr>
          <w:rFonts w:ascii="Times New Roman" w:hAnsi="Times New Roman" w:cs="Times New Roman"/>
          <w:sz w:val="28"/>
          <w:szCs w:val="28"/>
        </w:rPr>
      </w:pPr>
      <w:r>
        <w:rPr>
          <w:rFonts w:ascii="Times New Roman" w:hAnsi="Times New Roman" w:cs="Times New Roman"/>
          <w:b/>
          <w:bCs/>
          <w:i/>
          <w:iCs/>
          <w:sz w:val="28"/>
          <w:szCs w:val="28"/>
        </w:rPr>
        <w:t xml:space="preserve">École Supérieure de </w:t>
      </w:r>
      <w:r w:rsidRPr="00D3776A">
        <w:rPr>
          <w:rFonts w:ascii="Times New Roman" w:hAnsi="Times New Roman" w:cs="Times New Roman"/>
          <w:b/>
          <w:bCs/>
          <w:i/>
          <w:iCs/>
          <w:sz w:val="28"/>
          <w:szCs w:val="28"/>
          <w:rtl/>
        </w:rPr>
        <w:t xml:space="preserve"> </w:t>
      </w:r>
      <w:r w:rsidRPr="00D3776A">
        <w:rPr>
          <w:rFonts w:ascii="Times New Roman" w:hAnsi="Times New Roman" w:cs="Times New Roman"/>
          <w:b/>
          <w:bCs/>
          <w:i/>
          <w:iCs/>
          <w:sz w:val="28"/>
          <w:szCs w:val="28"/>
        </w:rPr>
        <w:t>Commerce d’Alger</w:t>
      </w:r>
      <w:r w:rsidRPr="00D3776A">
        <w:rPr>
          <w:rFonts w:ascii="Times New Roman" w:hAnsi="Times New Roman" w:cs="Times New Roman"/>
          <w:sz w:val="28"/>
          <w:szCs w:val="28"/>
        </w:rPr>
        <w:t xml:space="preserve"> </w:t>
      </w:r>
    </w:p>
    <w:p w:rsidR="00A91916" w:rsidRDefault="00A91916" w:rsidP="00A91916">
      <w:pPr>
        <w:spacing w:line="276" w:lineRule="auto"/>
      </w:pPr>
    </w:p>
    <w:p w:rsidR="00A91916" w:rsidRDefault="00A91916" w:rsidP="00A91916">
      <w:pPr>
        <w:spacing w:line="276" w:lineRule="auto"/>
      </w:pPr>
    </w:p>
    <w:p w:rsidR="00A91916" w:rsidRDefault="00A91916" w:rsidP="00A91916">
      <w:pPr>
        <w:spacing w:line="276" w:lineRule="auto"/>
      </w:pPr>
    </w:p>
    <w:p w:rsidR="00A91916" w:rsidRPr="00D3776A" w:rsidRDefault="00A91916" w:rsidP="00A91916">
      <w:pPr>
        <w:spacing w:line="276" w:lineRule="auto"/>
        <w:rPr>
          <w:rFonts w:ascii="Times New Roman" w:hAnsi="Times New Roman" w:cs="Times New Roman"/>
          <w:sz w:val="24"/>
        </w:rPr>
      </w:pPr>
      <w:r w:rsidRPr="00D3776A">
        <w:rPr>
          <w:rFonts w:ascii="Times New Roman" w:hAnsi="Times New Roman" w:cs="Times New Roman"/>
          <w:i/>
          <w:iCs/>
          <w:sz w:val="24"/>
        </w:rPr>
        <w:t>MEMOIRE  DE MAGISTERE EN SCIENCES COMERCIALES ET FINANCIÈRES</w:t>
      </w:r>
      <w:r w:rsidRPr="00D3776A">
        <w:rPr>
          <w:rFonts w:ascii="Times New Roman" w:hAnsi="Times New Roman" w:cs="Times New Roman"/>
          <w:sz w:val="24"/>
        </w:rPr>
        <w:t xml:space="preserve"> </w:t>
      </w:r>
    </w:p>
    <w:p w:rsidR="00A91916" w:rsidRPr="00D3776A" w:rsidRDefault="00A91916" w:rsidP="00A91916">
      <w:pPr>
        <w:spacing w:line="276" w:lineRule="auto"/>
        <w:rPr>
          <w:rFonts w:ascii="Times New Roman" w:hAnsi="Times New Roman" w:cs="Times New Roman"/>
          <w:sz w:val="24"/>
        </w:rPr>
      </w:pPr>
      <w:r w:rsidRPr="00D3776A">
        <w:rPr>
          <w:rFonts w:ascii="Times New Roman" w:hAnsi="Times New Roman" w:cs="Times New Roman"/>
          <w:i/>
          <w:iCs/>
          <w:sz w:val="24"/>
        </w:rPr>
        <w:t>Option Finance</w:t>
      </w:r>
      <w:r w:rsidRPr="00D3776A">
        <w:rPr>
          <w:rFonts w:ascii="Times New Roman" w:hAnsi="Times New Roman" w:cs="Times New Roman"/>
          <w:sz w:val="24"/>
        </w:rPr>
        <w:t xml:space="preserve"> </w:t>
      </w:r>
    </w:p>
    <w:p w:rsidR="00A91916" w:rsidRPr="00D3776A" w:rsidRDefault="00A91916" w:rsidP="00A91916">
      <w:pPr>
        <w:spacing w:line="276" w:lineRule="auto"/>
        <w:rPr>
          <w:rFonts w:ascii="Times New Roman" w:hAnsi="Times New Roman" w:cs="Times New Roman"/>
          <w:b/>
        </w:rPr>
      </w:pPr>
    </w:p>
    <w:p w:rsidR="00A91916" w:rsidRPr="00F11053" w:rsidRDefault="00A91916" w:rsidP="00A91916">
      <w:pPr>
        <w:spacing w:line="276" w:lineRule="auto"/>
        <w:rPr>
          <w:rFonts w:ascii="Times New Roman" w:hAnsi="Times New Roman" w:cs="Times New Roman"/>
          <w:b/>
          <w:sz w:val="28"/>
        </w:rPr>
      </w:pPr>
      <w:r w:rsidRPr="00F11053">
        <w:rPr>
          <w:rFonts w:ascii="Times New Roman" w:hAnsi="Times New Roman" w:cs="Times New Roman"/>
          <w:b/>
          <w:sz w:val="28"/>
        </w:rPr>
        <w:t>Thème</w:t>
      </w:r>
    </w:p>
    <w:p w:rsidR="00A91916" w:rsidRPr="00F11053" w:rsidRDefault="00A91916" w:rsidP="00A91916">
      <w:pPr>
        <w:spacing w:line="360" w:lineRule="auto"/>
        <w:rPr>
          <w:rFonts w:ascii="Times New Roman" w:hAnsi="Times New Roman" w:cs="Times New Roman"/>
          <w:b/>
          <w:sz w:val="24"/>
        </w:rPr>
      </w:pPr>
      <w:r w:rsidRPr="00F11053">
        <w:rPr>
          <w:rFonts w:ascii="Times New Roman" w:hAnsi="Times New Roman" w:cs="Times New Roman"/>
          <w:b/>
          <w:sz w:val="24"/>
        </w:rPr>
        <w:t>Impact du passage du Plan Comptable National au nouveau Système Comptable Financier sur les capitaux propres et résultats des entreprises</w:t>
      </w:r>
      <w:r w:rsidRPr="00F11053">
        <w:rPr>
          <w:rFonts w:ascii="Times New Roman" w:hAnsi="Times New Roman" w:cs="Times New Roman"/>
          <w:b/>
          <w:sz w:val="24"/>
        </w:rPr>
        <w:br/>
        <w:t xml:space="preserve">« Cas des sociétés du Groupe SONELGAZ » </w:t>
      </w:r>
    </w:p>
    <w:p w:rsidR="00A91916" w:rsidRDefault="00A91916" w:rsidP="00A91916">
      <w:pPr>
        <w:spacing w:line="276" w:lineRule="auto"/>
      </w:pPr>
    </w:p>
    <w:p w:rsidR="00A91916" w:rsidRDefault="00A91916" w:rsidP="00A91916">
      <w:pPr>
        <w:spacing w:line="276" w:lineRule="auto"/>
      </w:pPr>
    </w:p>
    <w:p w:rsidR="00A91916" w:rsidRDefault="00A91916" w:rsidP="00A91916">
      <w:pPr>
        <w:spacing w:line="276" w:lineRule="auto"/>
      </w:pPr>
    </w:p>
    <w:p w:rsidR="00A91916" w:rsidRPr="00F11053" w:rsidRDefault="00A91916" w:rsidP="00A91916">
      <w:pPr>
        <w:spacing w:before="0" w:beforeAutospacing="0" w:after="120" w:afterAutospacing="0" w:line="276" w:lineRule="auto"/>
        <w:jc w:val="both"/>
        <w:rPr>
          <w:rFonts w:ascii="Times New Roman" w:hAnsi="Times New Roman" w:cs="Times New Roman"/>
          <w:sz w:val="24"/>
        </w:rPr>
      </w:pPr>
      <w:r w:rsidRPr="00F11053">
        <w:rPr>
          <w:rFonts w:ascii="Times New Roman" w:hAnsi="Times New Roman" w:cs="Times New Roman"/>
          <w:b/>
          <w:i/>
          <w:sz w:val="24"/>
          <w:u w:val="single"/>
        </w:rPr>
        <w:t>Présenté par l’étudiante :</w:t>
      </w:r>
      <w:r w:rsidRPr="00F11053">
        <w:rPr>
          <w:rFonts w:ascii="Times New Roman" w:hAnsi="Times New Roman" w:cs="Times New Roman"/>
          <w:sz w:val="24"/>
        </w:rPr>
        <w:tab/>
      </w:r>
      <w:r w:rsidRPr="00F11053">
        <w:rPr>
          <w:rFonts w:ascii="Times New Roman" w:hAnsi="Times New Roman" w:cs="Times New Roman"/>
          <w:sz w:val="24"/>
        </w:rPr>
        <w:tab/>
      </w:r>
      <w:r w:rsidRPr="00F11053">
        <w:rPr>
          <w:rFonts w:ascii="Times New Roman" w:hAnsi="Times New Roman" w:cs="Times New Roman"/>
          <w:sz w:val="24"/>
        </w:rPr>
        <w:tab/>
      </w:r>
      <w:r w:rsidRPr="00F11053">
        <w:rPr>
          <w:rFonts w:ascii="Times New Roman" w:hAnsi="Times New Roman" w:cs="Times New Roman"/>
          <w:sz w:val="24"/>
        </w:rPr>
        <w:tab/>
      </w:r>
      <w:r>
        <w:rPr>
          <w:rFonts w:ascii="Times New Roman" w:hAnsi="Times New Roman" w:cs="Times New Roman"/>
          <w:sz w:val="24"/>
        </w:rPr>
        <w:tab/>
        <w:t xml:space="preserve">       </w:t>
      </w:r>
      <w:r w:rsidRPr="00F11053">
        <w:rPr>
          <w:rFonts w:ascii="Times New Roman" w:hAnsi="Times New Roman" w:cs="Times New Roman"/>
          <w:b/>
          <w:i/>
          <w:sz w:val="24"/>
          <w:u w:val="single"/>
        </w:rPr>
        <w:t>Encadré par :</w:t>
      </w:r>
    </w:p>
    <w:p w:rsidR="00A91916" w:rsidRPr="00F11053" w:rsidRDefault="00A91916" w:rsidP="00A91916">
      <w:pPr>
        <w:spacing w:before="0" w:beforeAutospacing="0" w:after="0" w:afterAutospacing="0" w:line="276" w:lineRule="auto"/>
        <w:jc w:val="both"/>
        <w:rPr>
          <w:rFonts w:ascii="Times New Roman" w:hAnsi="Times New Roman" w:cs="Times New Roman"/>
          <w:sz w:val="24"/>
        </w:rPr>
      </w:pPr>
      <w:proofErr w:type="spellStart"/>
      <w:r w:rsidRPr="00F11053">
        <w:rPr>
          <w:rFonts w:ascii="Times New Roman" w:hAnsi="Times New Roman" w:cs="Times New Roman"/>
          <w:sz w:val="24"/>
        </w:rPr>
        <w:t>Loudjani</w:t>
      </w:r>
      <w:proofErr w:type="spellEnd"/>
      <w:r w:rsidRPr="00F11053">
        <w:rPr>
          <w:rFonts w:ascii="Times New Roman" w:hAnsi="Times New Roman" w:cs="Times New Roman"/>
          <w:sz w:val="24"/>
        </w:rPr>
        <w:t xml:space="preserve"> Zina</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F11053">
        <w:rPr>
          <w:rFonts w:ascii="Times New Roman" w:hAnsi="Times New Roman" w:cs="Times New Roman"/>
          <w:sz w:val="24"/>
        </w:rPr>
        <w:t xml:space="preserve">Mr. </w:t>
      </w:r>
      <w:proofErr w:type="spellStart"/>
      <w:r w:rsidRPr="00F11053">
        <w:rPr>
          <w:rFonts w:ascii="Times New Roman" w:hAnsi="Times New Roman" w:cs="Times New Roman"/>
          <w:sz w:val="24"/>
        </w:rPr>
        <w:t>Ihadadden</w:t>
      </w:r>
      <w:proofErr w:type="spellEnd"/>
      <w:r w:rsidRPr="00F11053">
        <w:rPr>
          <w:rFonts w:ascii="Times New Roman" w:hAnsi="Times New Roman" w:cs="Times New Roman"/>
          <w:sz w:val="24"/>
        </w:rPr>
        <w:t xml:space="preserve"> </w:t>
      </w:r>
      <w:proofErr w:type="spellStart"/>
      <w:r w:rsidRPr="00F11053">
        <w:rPr>
          <w:rFonts w:ascii="Times New Roman" w:hAnsi="Times New Roman" w:cs="Times New Roman"/>
          <w:sz w:val="24"/>
        </w:rPr>
        <w:t>Athmène</w:t>
      </w:r>
      <w:proofErr w:type="spellEnd"/>
    </w:p>
    <w:p w:rsidR="00A91916" w:rsidRPr="00F11053" w:rsidRDefault="00A91916" w:rsidP="00A91916">
      <w:pPr>
        <w:spacing w:before="0" w:beforeAutospacing="0" w:after="0" w:afterAutospacing="0" w:line="276" w:lineRule="auto"/>
        <w:jc w:val="both"/>
        <w:rPr>
          <w:rFonts w:ascii="Times New Roman" w:hAnsi="Times New Roman" w:cs="Times New Roman"/>
          <w:b/>
          <w:i/>
          <w:sz w:val="24"/>
        </w:rPr>
      </w:pPr>
      <w:r w:rsidRPr="00F11053">
        <w:rPr>
          <w:rFonts w:ascii="Times New Roman" w:hAnsi="Times New Roman" w:cs="Times New Roman"/>
          <w:sz w:val="24"/>
        </w:rPr>
        <w:tab/>
      </w:r>
      <w:r w:rsidRPr="00F11053">
        <w:rPr>
          <w:rFonts w:ascii="Times New Roman" w:hAnsi="Times New Roman" w:cs="Times New Roman"/>
          <w:sz w:val="24"/>
        </w:rPr>
        <w:tab/>
      </w:r>
      <w:r w:rsidRPr="00F11053">
        <w:rPr>
          <w:rFonts w:ascii="Times New Roman" w:hAnsi="Times New Roman" w:cs="Times New Roman"/>
          <w:sz w:val="24"/>
        </w:rPr>
        <w:tab/>
      </w:r>
      <w:r w:rsidRPr="00F11053">
        <w:rPr>
          <w:rFonts w:ascii="Times New Roman" w:hAnsi="Times New Roman" w:cs="Times New Roman"/>
          <w:sz w:val="24"/>
        </w:rPr>
        <w:tab/>
      </w:r>
      <w:r w:rsidRPr="00F11053">
        <w:rPr>
          <w:rFonts w:ascii="Times New Roman" w:hAnsi="Times New Roman" w:cs="Times New Roman"/>
          <w:sz w:val="24"/>
        </w:rPr>
        <w:tab/>
      </w:r>
      <w:r w:rsidRPr="00F11053">
        <w:rPr>
          <w:rFonts w:ascii="Times New Roman" w:hAnsi="Times New Roman" w:cs="Times New Roman"/>
          <w:sz w:val="24"/>
        </w:rPr>
        <w:tab/>
      </w:r>
      <w:r w:rsidRPr="00F11053">
        <w:rPr>
          <w:rFonts w:ascii="Times New Roman" w:hAnsi="Times New Roman" w:cs="Times New Roman"/>
          <w:sz w:val="24"/>
        </w:rPr>
        <w:tab/>
      </w:r>
      <w:r w:rsidRPr="00F11053">
        <w:rPr>
          <w:rFonts w:ascii="Times New Roman" w:hAnsi="Times New Roman" w:cs="Times New Roman"/>
          <w:sz w:val="24"/>
        </w:rPr>
        <w:tab/>
      </w:r>
      <w:r>
        <w:rPr>
          <w:rFonts w:ascii="Times New Roman" w:hAnsi="Times New Roman" w:cs="Times New Roman"/>
          <w:sz w:val="24"/>
        </w:rPr>
        <w:t xml:space="preserve">  </w:t>
      </w:r>
      <w:r w:rsidRPr="00F11053">
        <w:rPr>
          <w:rFonts w:ascii="Times New Roman" w:hAnsi="Times New Roman" w:cs="Times New Roman"/>
          <w:b/>
          <w:i/>
          <w:sz w:val="24"/>
        </w:rPr>
        <w:t>Maître  de conférences</w:t>
      </w:r>
    </w:p>
    <w:p w:rsidR="00A91916" w:rsidRDefault="00A91916" w:rsidP="00A91916">
      <w:pPr>
        <w:spacing w:before="0" w:beforeAutospacing="0" w:after="0" w:afterAutospacing="0" w:line="276" w:lineRule="auto"/>
        <w:jc w:val="both"/>
        <w:rPr>
          <w:rFonts w:ascii="Times New Roman" w:hAnsi="Times New Roman" w:cs="Times New Roman"/>
          <w:b/>
          <w:i/>
          <w:sz w:val="24"/>
        </w:rPr>
      </w:pPr>
      <w:r w:rsidRPr="00F11053">
        <w:rPr>
          <w:rFonts w:ascii="Times New Roman" w:hAnsi="Times New Roman" w:cs="Times New Roman"/>
          <w:b/>
          <w:i/>
          <w:sz w:val="24"/>
        </w:rPr>
        <w:tab/>
      </w:r>
      <w:r w:rsidRPr="00F11053">
        <w:rPr>
          <w:rFonts w:ascii="Times New Roman" w:hAnsi="Times New Roman" w:cs="Times New Roman"/>
          <w:b/>
          <w:i/>
          <w:sz w:val="24"/>
        </w:rPr>
        <w:tab/>
      </w:r>
      <w:r w:rsidRPr="00F11053">
        <w:rPr>
          <w:rFonts w:ascii="Times New Roman" w:hAnsi="Times New Roman" w:cs="Times New Roman"/>
          <w:b/>
          <w:i/>
          <w:sz w:val="24"/>
        </w:rPr>
        <w:tab/>
      </w:r>
      <w:r w:rsidRPr="00F11053">
        <w:rPr>
          <w:rFonts w:ascii="Times New Roman" w:hAnsi="Times New Roman" w:cs="Times New Roman"/>
          <w:b/>
          <w:i/>
          <w:sz w:val="24"/>
        </w:rPr>
        <w:tab/>
      </w:r>
      <w:r w:rsidRPr="00F11053">
        <w:rPr>
          <w:rFonts w:ascii="Times New Roman" w:hAnsi="Times New Roman" w:cs="Times New Roman"/>
          <w:b/>
          <w:i/>
          <w:sz w:val="24"/>
        </w:rPr>
        <w:tab/>
      </w:r>
      <w:r w:rsidRPr="00F11053">
        <w:rPr>
          <w:rFonts w:ascii="Times New Roman" w:hAnsi="Times New Roman" w:cs="Times New Roman"/>
          <w:b/>
          <w:i/>
          <w:sz w:val="24"/>
        </w:rPr>
        <w:tab/>
      </w:r>
      <w:r w:rsidRPr="00F11053">
        <w:rPr>
          <w:rFonts w:ascii="Times New Roman" w:hAnsi="Times New Roman" w:cs="Times New Roman"/>
          <w:b/>
          <w:i/>
          <w:sz w:val="24"/>
        </w:rPr>
        <w:tab/>
      </w:r>
      <w:r>
        <w:rPr>
          <w:rFonts w:ascii="Times New Roman" w:hAnsi="Times New Roman" w:cs="Times New Roman"/>
          <w:b/>
          <w:i/>
          <w:sz w:val="24"/>
        </w:rPr>
        <w:t xml:space="preserve"> </w:t>
      </w:r>
      <w:proofErr w:type="gramStart"/>
      <w:r w:rsidRPr="00F11053">
        <w:rPr>
          <w:rFonts w:ascii="Times New Roman" w:hAnsi="Times New Roman" w:cs="Times New Roman"/>
          <w:b/>
          <w:i/>
          <w:sz w:val="24"/>
        </w:rPr>
        <w:t>à</w:t>
      </w:r>
      <w:proofErr w:type="gramEnd"/>
      <w:r w:rsidRPr="00F11053">
        <w:rPr>
          <w:rFonts w:ascii="Times New Roman" w:hAnsi="Times New Roman" w:cs="Times New Roman"/>
          <w:b/>
          <w:i/>
          <w:sz w:val="24"/>
        </w:rPr>
        <w:t xml:space="preserve"> l’Ecole Supérieure de Commerce</w:t>
      </w:r>
    </w:p>
    <w:p w:rsidR="00A91916" w:rsidRDefault="00A91916" w:rsidP="00A91916">
      <w:pPr>
        <w:spacing w:before="0" w:beforeAutospacing="0" w:after="0" w:afterAutospacing="0" w:line="276" w:lineRule="auto"/>
        <w:jc w:val="both"/>
        <w:rPr>
          <w:rFonts w:ascii="Times New Roman" w:hAnsi="Times New Roman" w:cs="Times New Roman"/>
          <w:b/>
          <w:i/>
          <w:sz w:val="24"/>
        </w:rPr>
      </w:pPr>
    </w:p>
    <w:p w:rsidR="00A91916" w:rsidRDefault="00A91916" w:rsidP="00A91916">
      <w:pPr>
        <w:spacing w:before="0" w:beforeAutospacing="0" w:after="0" w:afterAutospacing="0" w:line="276" w:lineRule="auto"/>
        <w:jc w:val="both"/>
        <w:rPr>
          <w:rFonts w:ascii="Times New Roman" w:hAnsi="Times New Roman" w:cs="Times New Roman"/>
          <w:b/>
          <w:i/>
          <w:sz w:val="24"/>
        </w:rPr>
      </w:pPr>
    </w:p>
    <w:p w:rsidR="00A91916" w:rsidRDefault="00A91916" w:rsidP="00A91916">
      <w:pPr>
        <w:spacing w:before="0" w:beforeAutospacing="0" w:after="0" w:afterAutospacing="0" w:line="276" w:lineRule="auto"/>
        <w:jc w:val="both"/>
        <w:rPr>
          <w:rFonts w:ascii="Times New Roman" w:hAnsi="Times New Roman" w:cs="Times New Roman"/>
          <w:b/>
          <w:i/>
          <w:sz w:val="24"/>
        </w:rPr>
      </w:pPr>
    </w:p>
    <w:p w:rsidR="00A91916" w:rsidRDefault="00A91916" w:rsidP="00A91916">
      <w:pPr>
        <w:spacing w:before="0" w:beforeAutospacing="0" w:after="0" w:afterAutospacing="0" w:line="276" w:lineRule="auto"/>
        <w:jc w:val="both"/>
        <w:rPr>
          <w:rFonts w:ascii="Times New Roman" w:hAnsi="Times New Roman" w:cs="Times New Roman"/>
          <w:b/>
          <w:i/>
          <w:sz w:val="24"/>
        </w:rPr>
      </w:pPr>
    </w:p>
    <w:p w:rsidR="00A91916" w:rsidRDefault="00A91916" w:rsidP="00A91916">
      <w:pPr>
        <w:spacing w:before="0" w:beforeAutospacing="0" w:after="0" w:afterAutospacing="0" w:line="276" w:lineRule="auto"/>
        <w:jc w:val="both"/>
        <w:rPr>
          <w:rFonts w:ascii="Times New Roman" w:hAnsi="Times New Roman" w:cs="Times New Roman"/>
          <w:b/>
          <w:i/>
          <w:sz w:val="24"/>
        </w:rPr>
      </w:pPr>
    </w:p>
    <w:p w:rsidR="00A91916" w:rsidRDefault="00A91916" w:rsidP="00A91916">
      <w:pPr>
        <w:spacing w:before="0" w:beforeAutospacing="0" w:after="0" w:afterAutospacing="0" w:line="276" w:lineRule="auto"/>
        <w:jc w:val="both"/>
        <w:rPr>
          <w:rFonts w:ascii="Times New Roman" w:hAnsi="Times New Roman" w:cs="Times New Roman"/>
          <w:b/>
          <w:i/>
          <w:sz w:val="24"/>
        </w:rPr>
      </w:pPr>
    </w:p>
    <w:p w:rsidR="00A91916" w:rsidRDefault="00A91916" w:rsidP="00A91916">
      <w:pPr>
        <w:spacing w:before="0" w:beforeAutospacing="0" w:after="0" w:afterAutospacing="0" w:line="276" w:lineRule="auto"/>
        <w:jc w:val="both"/>
        <w:rPr>
          <w:rFonts w:ascii="Times New Roman" w:hAnsi="Times New Roman" w:cs="Times New Roman"/>
          <w:b/>
          <w:i/>
          <w:sz w:val="24"/>
        </w:rPr>
      </w:pPr>
    </w:p>
    <w:p w:rsidR="00A91916" w:rsidRDefault="00A91916" w:rsidP="00A91916">
      <w:pPr>
        <w:spacing w:before="0" w:beforeAutospacing="0" w:after="0" w:afterAutospacing="0" w:line="276" w:lineRule="auto"/>
        <w:jc w:val="both"/>
        <w:rPr>
          <w:rFonts w:ascii="Times New Roman" w:hAnsi="Times New Roman" w:cs="Times New Roman"/>
          <w:b/>
          <w:i/>
          <w:sz w:val="24"/>
        </w:rPr>
      </w:pPr>
    </w:p>
    <w:p w:rsidR="00A91916" w:rsidRDefault="00A91916" w:rsidP="00A91916">
      <w:pPr>
        <w:spacing w:before="0" w:beforeAutospacing="0" w:after="0" w:afterAutospacing="0" w:line="276" w:lineRule="auto"/>
        <w:jc w:val="both"/>
        <w:rPr>
          <w:rFonts w:ascii="Times New Roman" w:hAnsi="Times New Roman" w:cs="Times New Roman"/>
          <w:b/>
          <w:i/>
          <w:sz w:val="24"/>
        </w:rPr>
      </w:pPr>
    </w:p>
    <w:p w:rsidR="00A91916" w:rsidRDefault="00A91916" w:rsidP="00A91916">
      <w:pPr>
        <w:spacing w:before="0" w:beforeAutospacing="0" w:after="0" w:afterAutospacing="0" w:line="276" w:lineRule="auto"/>
        <w:rPr>
          <w:rFonts w:ascii="Times New Roman" w:hAnsi="Times New Roman" w:cs="Times New Roman"/>
          <w:b/>
          <w:i/>
          <w:sz w:val="24"/>
        </w:rPr>
      </w:pPr>
      <w:r>
        <w:rPr>
          <w:rFonts w:ascii="Times New Roman" w:hAnsi="Times New Roman" w:cs="Times New Roman"/>
          <w:b/>
          <w:i/>
          <w:sz w:val="24"/>
        </w:rPr>
        <w:t>Promotion 2010</w:t>
      </w:r>
    </w:p>
    <w:p w:rsidR="00A91916" w:rsidRDefault="00A91916" w:rsidP="00A91916">
      <w:pPr>
        <w:spacing w:before="0" w:beforeAutospacing="0" w:after="0" w:afterAutospacing="0" w:line="276" w:lineRule="auto"/>
        <w:rPr>
          <w:rFonts w:ascii="Times New Roman" w:hAnsi="Times New Roman" w:cs="Times New Roman"/>
          <w:b/>
          <w:i/>
          <w:sz w:val="24"/>
        </w:rPr>
      </w:pPr>
    </w:p>
    <w:p w:rsidR="00A91916" w:rsidRDefault="00A91916" w:rsidP="00A91916">
      <w:pPr>
        <w:spacing w:before="0" w:beforeAutospacing="0" w:after="0" w:afterAutospacing="0" w:line="276" w:lineRule="auto"/>
        <w:rPr>
          <w:rFonts w:ascii="Times New Roman" w:hAnsi="Times New Roman" w:cs="Times New Roman"/>
          <w:b/>
          <w:i/>
          <w:sz w:val="24"/>
        </w:rPr>
      </w:pPr>
    </w:p>
    <w:p w:rsidR="00A91916" w:rsidRDefault="00A91916" w:rsidP="00A91916">
      <w:pPr>
        <w:spacing w:before="0" w:beforeAutospacing="0" w:after="0" w:afterAutospacing="0" w:line="276" w:lineRule="auto"/>
        <w:rPr>
          <w:rFonts w:ascii="Times New Roman" w:hAnsi="Times New Roman" w:cs="Times New Roman"/>
          <w:b/>
          <w:i/>
          <w:sz w:val="24"/>
        </w:rPr>
      </w:pPr>
    </w:p>
    <w:p w:rsidR="00A91916" w:rsidRDefault="00A91916" w:rsidP="00A91916">
      <w:pPr>
        <w:spacing w:before="0" w:beforeAutospacing="0" w:after="0" w:afterAutospacing="0" w:line="276" w:lineRule="auto"/>
        <w:rPr>
          <w:rFonts w:ascii="Times New Roman" w:hAnsi="Times New Roman" w:cs="Times New Roman"/>
          <w:b/>
          <w:i/>
          <w:sz w:val="24"/>
        </w:rPr>
      </w:pPr>
    </w:p>
    <w:p w:rsidR="00A91916" w:rsidRDefault="00A91916" w:rsidP="00A91916">
      <w:pPr>
        <w:spacing w:before="0" w:beforeAutospacing="0" w:after="0" w:afterAutospacing="0" w:line="276" w:lineRule="auto"/>
        <w:rPr>
          <w:rFonts w:ascii="Times New Roman" w:hAnsi="Times New Roman" w:cs="Times New Roman"/>
          <w:b/>
          <w:i/>
          <w:sz w:val="24"/>
        </w:rPr>
      </w:pPr>
    </w:p>
    <w:p w:rsidR="00A91916" w:rsidRDefault="00A91916" w:rsidP="00A91916">
      <w:pPr>
        <w:spacing w:before="0" w:beforeAutospacing="0" w:after="0" w:afterAutospacing="0" w:line="276" w:lineRule="auto"/>
        <w:rPr>
          <w:rFonts w:ascii="Times New Roman" w:hAnsi="Times New Roman" w:cs="Times New Roman"/>
          <w:b/>
          <w:i/>
          <w:sz w:val="24"/>
        </w:rPr>
      </w:pPr>
    </w:p>
    <w:p w:rsidR="00A91916" w:rsidRDefault="00A91916" w:rsidP="00A91916">
      <w:pPr>
        <w:spacing w:before="0" w:beforeAutospacing="0" w:after="0" w:afterAutospacing="0" w:line="276" w:lineRule="auto"/>
        <w:rPr>
          <w:rFonts w:ascii="Times New Roman" w:hAnsi="Times New Roman" w:cs="Times New Roman"/>
          <w:b/>
          <w:i/>
          <w:sz w:val="24"/>
        </w:rPr>
      </w:pPr>
    </w:p>
    <w:p w:rsidR="00A91916" w:rsidRDefault="00A91916" w:rsidP="00A91916">
      <w:pPr>
        <w:spacing w:before="0" w:beforeAutospacing="0" w:after="0" w:afterAutospacing="0" w:line="276" w:lineRule="auto"/>
        <w:rPr>
          <w:rFonts w:ascii="Times New Roman" w:hAnsi="Times New Roman" w:cs="Times New Roman"/>
          <w:b/>
          <w:i/>
          <w:sz w:val="24"/>
        </w:rPr>
      </w:pPr>
    </w:p>
    <w:p w:rsidR="00A91916" w:rsidRDefault="00A91916" w:rsidP="00A91916">
      <w:pPr>
        <w:spacing w:before="0" w:beforeAutospacing="0" w:after="0" w:afterAutospacing="0" w:line="276" w:lineRule="auto"/>
        <w:rPr>
          <w:rFonts w:ascii="Times New Roman" w:hAnsi="Times New Roman" w:cs="Times New Roman"/>
          <w:b/>
          <w:i/>
          <w:sz w:val="24"/>
        </w:rPr>
      </w:pPr>
    </w:p>
    <w:p w:rsidR="00A91916" w:rsidRDefault="00A91916" w:rsidP="00A91916">
      <w:pPr>
        <w:spacing w:before="0" w:beforeAutospacing="0" w:after="0" w:afterAutospacing="0" w:line="276" w:lineRule="auto"/>
        <w:rPr>
          <w:rFonts w:ascii="Times New Roman" w:hAnsi="Times New Roman" w:cs="Times New Roman"/>
          <w:b/>
          <w:i/>
          <w:sz w:val="24"/>
        </w:rPr>
      </w:pPr>
    </w:p>
    <w:p w:rsidR="00A91916" w:rsidRDefault="00A91916" w:rsidP="00A91916">
      <w:pPr>
        <w:spacing w:before="0" w:beforeAutospacing="0" w:after="0" w:afterAutospacing="0" w:line="276" w:lineRule="auto"/>
        <w:rPr>
          <w:rFonts w:ascii="Times New Roman" w:hAnsi="Times New Roman" w:cs="Times New Roman"/>
          <w:b/>
          <w:i/>
          <w:sz w:val="24"/>
        </w:rPr>
      </w:pPr>
    </w:p>
    <w:p w:rsidR="00A91916" w:rsidRDefault="00A91916" w:rsidP="00A91916">
      <w:pPr>
        <w:spacing w:before="0" w:beforeAutospacing="0" w:after="0" w:afterAutospacing="0" w:line="276" w:lineRule="auto"/>
        <w:rPr>
          <w:rFonts w:ascii="Times New Roman" w:hAnsi="Times New Roman" w:cs="Times New Roman"/>
          <w:b/>
          <w:i/>
          <w:sz w:val="24"/>
        </w:rPr>
      </w:pPr>
    </w:p>
    <w:p w:rsidR="00A91916" w:rsidRDefault="00A91916" w:rsidP="00A91916">
      <w:pPr>
        <w:spacing w:before="0" w:beforeAutospacing="0" w:after="0" w:afterAutospacing="0" w:line="276" w:lineRule="auto"/>
        <w:rPr>
          <w:rFonts w:ascii="Times New Roman" w:hAnsi="Times New Roman" w:cs="Times New Roman"/>
          <w:b/>
          <w:i/>
          <w:sz w:val="24"/>
        </w:rPr>
      </w:pPr>
    </w:p>
    <w:p w:rsidR="00A91916" w:rsidRDefault="00A91916" w:rsidP="00A91916">
      <w:pPr>
        <w:spacing w:before="0" w:beforeAutospacing="0" w:after="0" w:afterAutospacing="0" w:line="276" w:lineRule="auto"/>
        <w:rPr>
          <w:rFonts w:ascii="Times New Roman" w:hAnsi="Times New Roman" w:cs="Times New Roman"/>
          <w:b/>
          <w:i/>
          <w:sz w:val="24"/>
        </w:rPr>
      </w:pPr>
    </w:p>
    <w:p w:rsidR="00A91916" w:rsidRDefault="00A91916" w:rsidP="00A91916">
      <w:pPr>
        <w:spacing w:before="0" w:beforeAutospacing="0" w:after="0" w:afterAutospacing="0" w:line="276" w:lineRule="auto"/>
        <w:rPr>
          <w:rFonts w:ascii="Times New Roman" w:hAnsi="Times New Roman" w:cs="Times New Roman"/>
          <w:b/>
          <w:i/>
          <w:sz w:val="24"/>
        </w:rPr>
      </w:pPr>
    </w:p>
    <w:p w:rsidR="00A91916" w:rsidRDefault="00A91916" w:rsidP="00A91916">
      <w:pPr>
        <w:spacing w:before="0" w:beforeAutospacing="0" w:after="0" w:afterAutospacing="0" w:line="276" w:lineRule="auto"/>
        <w:rPr>
          <w:rFonts w:ascii="Times New Roman" w:hAnsi="Times New Roman" w:cs="Times New Roman"/>
          <w:b/>
          <w:i/>
          <w:sz w:val="24"/>
        </w:rPr>
      </w:pPr>
    </w:p>
    <w:p w:rsidR="00A91916" w:rsidRDefault="00A91916" w:rsidP="00A91916">
      <w:pPr>
        <w:spacing w:before="0" w:beforeAutospacing="0" w:after="0" w:afterAutospacing="0" w:line="276" w:lineRule="auto"/>
        <w:rPr>
          <w:rFonts w:ascii="Times New Roman" w:hAnsi="Times New Roman" w:cs="Times New Roman"/>
          <w:b/>
          <w:i/>
          <w:sz w:val="24"/>
        </w:rPr>
      </w:pPr>
    </w:p>
    <w:p w:rsidR="00A91916" w:rsidRDefault="00A91916" w:rsidP="00A91916">
      <w:pPr>
        <w:spacing w:before="0" w:beforeAutospacing="0" w:after="0" w:afterAutospacing="0" w:line="276" w:lineRule="auto"/>
        <w:rPr>
          <w:rFonts w:ascii="Times New Roman" w:hAnsi="Times New Roman" w:cs="Times New Roman"/>
          <w:b/>
          <w:i/>
          <w:sz w:val="24"/>
        </w:rPr>
      </w:pPr>
    </w:p>
    <w:p w:rsidR="00A91916" w:rsidRDefault="00A91916" w:rsidP="00A91916">
      <w:pPr>
        <w:spacing w:before="0" w:beforeAutospacing="0" w:after="0" w:afterAutospacing="0" w:line="276" w:lineRule="auto"/>
        <w:rPr>
          <w:rFonts w:ascii="Times New Roman" w:hAnsi="Times New Roman" w:cs="Times New Roman"/>
          <w:b/>
          <w:i/>
          <w:sz w:val="24"/>
        </w:rPr>
      </w:pPr>
    </w:p>
    <w:p w:rsidR="00A91916" w:rsidRDefault="00A91916" w:rsidP="00A91916">
      <w:pPr>
        <w:spacing w:before="0" w:beforeAutospacing="0" w:after="0" w:afterAutospacing="0" w:line="276" w:lineRule="auto"/>
        <w:rPr>
          <w:rFonts w:ascii="Times New Roman" w:hAnsi="Times New Roman" w:cs="Times New Roman"/>
          <w:b/>
          <w:i/>
          <w:sz w:val="24"/>
        </w:rPr>
      </w:pPr>
    </w:p>
    <w:p w:rsidR="00A91916" w:rsidRDefault="00A91916" w:rsidP="00A91916">
      <w:pPr>
        <w:spacing w:before="0" w:beforeAutospacing="0" w:after="0" w:afterAutospacing="0" w:line="276" w:lineRule="auto"/>
        <w:rPr>
          <w:rFonts w:ascii="Times New Roman" w:hAnsi="Times New Roman" w:cs="Times New Roman"/>
          <w:b/>
          <w:i/>
          <w:sz w:val="24"/>
        </w:rPr>
      </w:pPr>
    </w:p>
    <w:p w:rsidR="00A91916" w:rsidRDefault="00A91916" w:rsidP="00A91916">
      <w:pPr>
        <w:spacing w:before="0" w:beforeAutospacing="0" w:after="0" w:afterAutospacing="0" w:line="276" w:lineRule="auto"/>
        <w:rPr>
          <w:rFonts w:ascii="Times New Roman" w:hAnsi="Times New Roman" w:cs="Times New Roman"/>
          <w:b/>
          <w:i/>
          <w:sz w:val="24"/>
        </w:rPr>
      </w:pPr>
    </w:p>
    <w:p w:rsidR="00A91916" w:rsidRDefault="00A91916" w:rsidP="00A91916">
      <w:pPr>
        <w:spacing w:before="0" w:beforeAutospacing="0" w:after="0" w:afterAutospacing="0" w:line="276" w:lineRule="auto"/>
        <w:rPr>
          <w:rFonts w:ascii="Times New Roman" w:hAnsi="Times New Roman" w:cs="Times New Roman"/>
          <w:b/>
          <w:i/>
          <w:sz w:val="24"/>
        </w:rPr>
      </w:pPr>
    </w:p>
    <w:p w:rsidR="00A91916" w:rsidRDefault="00A91916" w:rsidP="00A91916">
      <w:pPr>
        <w:spacing w:before="0" w:beforeAutospacing="0" w:after="0" w:afterAutospacing="0" w:line="276" w:lineRule="auto"/>
        <w:rPr>
          <w:rFonts w:ascii="Times New Roman" w:hAnsi="Times New Roman" w:cs="Times New Roman"/>
          <w:b/>
          <w:i/>
          <w:sz w:val="24"/>
        </w:rPr>
      </w:pPr>
    </w:p>
    <w:p w:rsidR="00A91916" w:rsidRDefault="00A91916" w:rsidP="00A91916">
      <w:pPr>
        <w:spacing w:before="0" w:beforeAutospacing="0" w:after="0" w:afterAutospacing="0" w:line="276" w:lineRule="auto"/>
        <w:rPr>
          <w:rFonts w:ascii="Times New Roman" w:hAnsi="Times New Roman" w:cs="Times New Roman"/>
          <w:b/>
          <w:i/>
          <w:sz w:val="24"/>
        </w:rPr>
      </w:pPr>
    </w:p>
    <w:p w:rsidR="00A91916" w:rsidRDefault="00A91916" w:rsidP="00A91916">
      <w:pPr>
        <w:spacing w:before="0" w:beforeAutospacing="0" w:after="0" w:afterAutospacing="0" w:line="276" w:lineRule="auto"/>
        <w:rPr>
          <w:rFonts w:ascii="Times New Roman" w:hAnsi="Times New Roman" w:cs="Times New Roman"/>
          <w:b/>
          <w:i/>
          <w:sz w:val="24"/>
        </w:rPr>
      </w:pPr>
    </w:p>
    <w:p w:rsidR="00A91916" w:rsidRDefault="00A91916" w:rsidP="00A91916">
      <w:pPr>
        <w:spacing w:before="0" w:beforeAutospacing="0" w:after="0" w:afterAutospacing="0" w:line="276" w:lineRule="auto"/>
        <w:rPr>
          <w:rFonts w:ascii="Times New Roman" w:hAnsi="Times New Roman" w:cs="Times New Roman"/>
          <w:b/>
          <w:i/>
          <w:sz w:val="24"/>
        </w:rPr>
      </w:pPr>
    </w:p>
    <w:p w:rsidR="00A91916" w:rsidRDefault="00A91916" w:rsidP="00A91916">
      <w:pPr>
        <w:spacing w:before="0" w:beforeAutospacing="0" w:after="0" w:afterAutospacing="0" w:line="276" w:lineRule="auto"/>
        <w:rPr>
          <w:rFonts w:ascii="Times New Roman" w:hAnsi="Times New Roman" w:cs="Times New Roman"/>
          <w:b/>
          <w:i/>
          <w:sz w:val="24"/>
        </w:rPr>
      </w:pPr>
    </w:p>
    <w:p w:rsidR="00A91916" w:rsidRDefault="00A91916" w:rsidP="00A91916">
      <w:pPr>
        <w:spacing w:before="0" w:beforeAutospacing="0" w:after="0" w:afterAutospacing="0" w:line="276" w:lineRule="auto"/>
        <w:rPr>
          <w:rFonts w:ascii="Times New Roman" w:hAnsi="Times New Roman" w:cs="Times New Roman"/>
          <w:b/>
          <w:i/>
          <w:sz w:val="24"/>
        </w:rPr>
      </w:pPr>
    </w:p>
    <w:p w:rsidR="00A91916" w:rsidRDefault="00A91916" w:rsidP="00A91916">
      <w:pPr>
        <w:spacing w:before="0" w:beforeAutospacing="0" w:after="0" w:afterAutospacing="0" w:line="276" w:lineRule="auto"/>
        <w:rPr>
          <w:rFonts w:ascii="Times New Roman" w:hAnsi="Times New Roman" w:cs="Times New Roman"/>
          <w:b/>
          <w:i/>
          <w:sz w:val="24"/>
        </w:rPr>
      </w:pPr>
    </w:p>
    <w:p w:rsidR="00A91916" w:rsidRDefault="00A91916" w:rsidP="00A91916">
      <w:pPr>
        <w:spacing w:before="0" w:beforeAutospacing="0" w:after="0" w:afterAutospacing="0" w:line="276" w:lineRule="auto"/>
        <w:rPr>
          <w:rFonts w:ascii="Times New Roman" w:hAnsi="Times New Roman" w:cs="Times New Roman"/>
          <w:b/>
          <w:i/>
          <w:sz w:val="24"/>
        </w:rPr>
      </w:pPr>
    </w:p>
    <w:p w:rsidR="00A91916" w:rsidRDefault="00A91916" w:rsidP="00A91916">
      <w:pPr>
        <w:spacing w:before="0" w:beforeAutospacing="0" w:after="0" w:afterAutospacing="0" w:line="276" w:lineRule="auto"/>
        <w:rPr>
          <w:rFonts w:ascii="Times New Roman" w:hAnsi="Times New Roman" w:cs="Times New Roman"/>
          <w:b/>
          <w:i/>
          <w:sz w:val="24"/>
        </w:rPr>
      </w:pPr>
    </w:p>
    <w:p w:rsidR="00A91916" w:rsidRDefault="00A91916" w:rsidP="00A91916">
      <w:pPr>
        <w:spacing w:before="0" w:beforeAutospacing="0" w:after="0" w:afterAutospacing="0" w:line="276" w:lineRule="auto"/>
        <w:rPr>
          <w:rFonts w:ascii="Times New Roman" w:hAnsi="Times New Roman" w:cs="Times New Roman"/>
          <w:b/>
          <w:i/>
          <w:sz w:val="24"/>
        </w:rPr>
      </w:pPr>
    </w:p>
    <w:p w:rsidR="00A91916" w:rsidRDefault="00A91916" w:rsidP="00A91916">
      <w:pPr>
        <w:spacing w:before="0" w:beforeAutospacing="0" w:after="0" w:afterAutospacing="0" w:line="276" w:lineRule="auto"/>
        <w:rPr>
          <w:rFonts w:ascii="Times New Roman" w:hAnsi="Times New Roman" w:cs="Times New Roman"/>
          <w:b/>
          <w:i/>
          <w:sz w:val="24"/>
        </w:rPr>
      </w:pPr>
    </w:p>
    <w:p w:rsidR="00A91916" w:rsidRDefault="00A91916" w:rsidP="00A91916">
      <w:pPr>
        <w:spacing w:before="0" w:beforeAutospacing="0" w:after="0" w:afterAutospacing="0" w:line="276" w:lineRule="auto"/>
        <w:rPr>
          <w:rFonts w:ascii="Times New Roman" w:hAnsi="Times New Roman" w:cs="Times New Roman"/>
          <w:b/>
          <w:i/>
          <w:sz w:val="24"/>
        </w:rPr>
      </w:pPr>
    </w:p>
    <w:p w:rsidR="00A91916" w:rsidRDefault="00A91916" w:rsidP="00A91916">
      <w:pPr>
        <w:spacing w:before="0" w:beforeAutospacing="0" w:after="0" w:afterAutospacing="0" w:line="276" w:lineRule="auto"/>
        <w:rPr>
          <w:rFonts w:ascii="Times New Roman" w:hAnsi="Times New Roman" w:cs="Times New Roman"/>
          <w:b/>
          <w:i/>
          <w:sz w:val="24"/>
        </w:rPr>
      </w:pPr>
    </w:p>
    <w:p w:rsidR="00A91916" w:rsidRDefault="00A91916" w:rsidP="00A91916">
      <w:pPr>
        <w:spacing w:before="0" w:beforeAutospacing="0" w:after="0" w:afterAutospacing="0" w:line="276" w:lineRule="auto"/>
        <w:rPr>
          <w:rFonts w:ascii="Times New Roman" w:hAnsi="Times New Roman" w:cs="Times New Roman"/>
          <w:b/>
          <w:i/>
          <w:sz w:val="24"/>
        </w:rPr>
      </w:pPr>
    </w:p>
    <w:p w:rsidR="00A91916" w:rsidRDefault="00A91916" w:rsidP="00A91916">
      <w:pPr>
        <w:spacing w:before="0" w:beforeAutospacing="0" w:after="0" w:afterAutospacing="0" w:line="276" w:lineRule="auto"/>
        <w:rPr>
          <w:rFonts w:ascii="Times New Roman" w:hAnsi="Times New Roman" w:cs="Times New Roman"/>
          <w:b/>
          <w:i/>
          <w:sz w:val="24"/>
        </w:rPr>
      </w:pPr>
    </w:p>
    <w:p w:rsidR="00A91916" w:rsidRDefault="00A91916" w:rsidP="00A91916">
      <w:pPr>
        <w:spacing w:before="0" w:beforeAutospacing="0" w:after="0" w:afterAutospacing="0" w:line="276" w:lineRule="auto"/>
        <w:rPr>
          <w:rFonts w:ascii="Times New Roman" w:hAnsi="Times New Roman" w:cs="Times New Roman"/>
          <w:b/>
          <w:i/>
          <w:sz w:val="24"/>
        </w:rPr>
      </w:pPr>
    </w:p>
    <w:p w:rsidR="00A91916" w:rsidRDefault="00A91916" w:rsidP="00A91916">
      <w:pPr>
        <w:spacing w:before="0" w:beforeAutospacing="0" w:after="0" w:afterAutospacing="0" w:line="276" w:lineRule="auto"/>
        <w:rPr>
          <w:rFonts w:ascii="Times New Roman" w:hAnsi="Times New Roman" w:cs="Times New Roman"/>
          <w:b/>
          <w:i/>
          <w:sz w:val="24"/>
        </w:rPr>
      </w:pPr>
    </w:p>
    <w:p w:rsidR="00A91916" w:rsidRDefault="00A91916" w:rsidP="00A91916">
      <w:pPr>
        <w:spacing w:before="0" w:beforeAutospacing="0" w:after="0" w:afterAutospacing="0" w:line="276" w:lineRule="auto"/>
        <w:rPr>
          <w:rFonts w:ascii="Times New Roman" w:hAnsi="Times New Roman" w:cs="Times New Roman"/>
          <w:b/>
          <w:i/>
          <w:sz w:val="24"/>
        </w:rPr>
      </w:pPr>
    </w:p>
    <w:p w:rsidR="00A91916" w:rsidRDefault="00A91916" w:rsidP="00A91916">
      <w:pPr>
        <w:spacing w:before="0" w:beforeAutospacing="0" w:after="0" w:afterAutospacing="0" w:line="276" w:lineRule="auto"/>
        <w:rPr>
          <w:rFonts w:ascii="Times New Roman" w:hAnsi="Times New Roman" w:cs="Times New Roman"/>
          <w:b/>
          <w:i/>
          <w:sz w:val="24"/>
        </w:rPr>
      </w:pPr>
    </w:p>
    <w:p w:rsidR="00A91916" w:rsidRDefault="00A91916" w:rsidP="00A91916">
      <w:pPr>
        <w:spacing w:before="0" w:beforeAutospacing="0" w:after="0" w:afterAutospacing="0" w:line="276" w:lineRule="auto"/>
        <w:rPr>
          <w:rFonts w:ascii="Times New Roman" w:hAnsi="Times New Roman" w:cs="Times New Roman"/>
          <w:b/>
          <w:i/>
          <w:sz w:val="24"/>
        </w:rPr>
      </w:pPr>
    </w:p>
    <w:p w:rsidR="00A91916" w:rsidRDefault="00A91916" w:rsidP="00A91916">
      <w:pPr>
        <w:spacing w:before="0" w:beforeAutospacing="0" w:after="0" w:afterAutospacing="0" w:line="276" w:lineRule="auto"/>
        <w:rPr>
          <w:rFonts w:ascii="Times New Roman" w:hAnsi="Times New Roman" w:cs="Times New Roman"/>
          <w:b/>
          <w:i/>
          <w:sz w:val="24"/>
        </w:rPr>
      </w:pPr>
    </w:p>
    <w:p w:rsidR="0018245E" w:rsidRDefault="0018245E" w:rsidP="00F61BE2">
      <w:pPr>
        <w:pStyle w:val="Sous-titre"/>
        <w:rPr>
          <w:rFonts w:ascii="Times New Roman" w:hAnsi="Times New Roman" w:cs="Times New Roman"/>
        </w:rPr>
        <w:sectPr w:rsidR="0018245E" w:rsidSect="00A91916">
          <w:headerReference w:type="default" r:id="rId8"/>
          <w:pgSz w:w="11906" w:h="16838"/>
          <w:pgMar w:top="1418" w:right="1418" w:bottom="1418" w:left="1418" w:header="709" w:footer="709" w:gutter="567"/>
          <w:cols w:space="708"/>
          <w:docGrid w:linePitch="360"/>
        </w:sectPr>
      </w:pPr>
    </w:p>
    <w:tbl>
      <w:tblPr>
        <w:tblStyle w:val="Grilledutableau"/>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56"/>
        <w:gridCol w:w="950"/>
      </w:tblGrid>
      <w:tr w:rsidR="00A91916" w:rsidRPr="008E759F" w:rsidTr="00F61BE2">
        <w:trPr>
          <w:trHeight w:val="325"/>
        </w:trPr>
        <w:tc>
          <w:tcPr>
            <w:tcW w:w="8656" w:type="dxa"/>
          </w:tcPr>
          <w:p w:rsidR="00A91916" w:rsidRPr="008E759F" w:rsidRDefault="00A91916" w:rsidP="00F61BE2">
            <w:pPr>
              <w:pStyle w:val="Sous-titre"/>
              <w:rPr>
                <w:rFonts w:ascii="Times New Roman" w:hAnsi="Times New Roman" w:cs="Times New Roman"/>
              </w:rPr>
            </w:pPr>
            <w:r>
              <w:rPr>
                <w:rFonts w:ascii="Times New Roman" w:hAnsi="Times New Roman" w:cs="Times New Roman"/>
              </w:rPr>
              <w:lastRenderedPageBreak/>
              <w:t>Liste des Tableaux</w:t>
            </w:r>
            <w:r w:rsidRPr="005B38A9">
              <w:rPr>
                <w:rFonts w:ascii="Times New Roman" w:hAnsi="Times New Roman" w:cs="Times New Roman"/>
                <w:i w:val="0"/>
              </w:rPr>
              <w:t>………………………………………………………………</w:t>
            </w:r>
            <w:r>
              <w:rPr>
                <w:rFonts w:ascii="Times New Roman" w:hAnsi="Times New Roman" w:cs="Times New Roman"/>
                <w:i w:val="0"/>
              </w:rPr>
              <w:t>.</w:t>
            </w:r>
          </w:p>
        </w:tc>
        <w:tc>
          <w:tcPr>
            <w:tcW w:w="950" w:type="dxa"/>
            <w:vAlign w:val="center"/>
          </w:tcPr>
          <w:p w:rsidR="00A91916" w:rsidRPr="008E759F" w:rsidRDefault="00A91916" w:rsidP="00F61BE2">
            <w:pPr>
              <w:pStyle w:val="Sous-titre"/>
              <w:jc w:val="center"/>
              <w:rPr>
                <w:rFonts w:ascii="Times New Roman" w:hAnsi="Times New Roman" w:cs="Times New Roman"/>
                <w:i w:val="0"/>
                <w:color w:val="262626" w:themeColor="text1" w:themeTint="D9"/>
                <w:sz w:val="22"/>
              </w:rPr>
            </w:pPr>
            <w:r>
              <w:rPr>
                <w:rFonts w:ascii="Times New Roman" w:hAnsi="Times New Roman" w:cs="Times New Roman"/>
                <w:i w:val="0"/>
                <w:color w:val="262626" w:themeColor="text1" w:themeTint="D9"/>
                <w:sz w:val="22"/>
              </w:rPr>
              <w:t>I</w:t>
            </w:r>
          </w:p>
        </w:tc>
      </w:tr>
      <w:tr w:rsidR="00A91916" w:rsidRPr="008E759F" w:rsidTr="00F61BE2">
        <w:trPr>
          <w:trHeight w:val="325"/>
        </w:trPr>
        <w:tc>
          <w:tcPr>
            <w:tcW w:w="8656" w:type="dxa"/>
          </w:tcPr>
          <w:p w:rsidR="00A91916" w:rsidRPr="008E759F" w:rsidRDefault="00A91916" w:rsidP="00F61BE2">
            <w:pPr>
              <w:pStyle w:val="Sous-titre"/>
              <w:rPr>
                <w:rFonts w:ascii="Times New Roman" w:hAnsi="Times New Roman" w:cs="Times New Roman"/>
              </w:rPr>
            </w:pPr>
            <w:r>
              <w:rPr>
                <w:rFonts w:ascii="Times New Roman" w:hAnsi="Times New Roman" w:cs="Times New Roman"/>
              </w:rPr>
              <w:t>Liste des schémas et figures</w:t>
            </w:r>
            <w:r w:rsidRPr="005B38A9">
              <w:rPr>
                <w:rFonts w:ascii="Times New Roman" w:hAnsi="Times New Roman" w:cs="Times New Roman"/>
                <w:i w:val="0"/>
              </w:rPr>
              <w:t>…………………………………………………</w:t>
            </w:r>
            <w:r>
              <w:rPr>
                <w:rFonts w:ascii="Times New Roman" w:hAnsi="Times New Roman" w:cs="Times New Roman"/>
                <w:i w:val="0"/>
              </w:rPr>
              <w:t>....</w:t>
            </w:r>
          </w:p>
        </w:tc>
        <w:tc>
          <w:tcPr>
            <w:tcW w:w="950" w:type="dxa"/>
            <w:vAlign w:val="center"/>
          </w:tcPr>
          <w:p w:rsidR="00A91916" w:rsidRPr="008E759F" w:rsidRDefault="00A91916" w:rsidP="00F61BE2">
            <w:pPr>
              <w:pStyle w:val="Sous-titre"/>
              <w:jc w:val="center"/>
              <w:rPr>
                <w:rFonts w:ascii="Times New Roman" w:hAnsi="Times New Roman" w:cs="Times New Roman"/>
                <w:i w:val="0"/>
                <w:color w:val="262626" w:themeColor="text1" w:themeTint="D9"/>
                <w:sz w:val="22"/>
              </w:rPr>
            </w:pPr>
            <w:r>
              <w:rPr>
                <w:rFonts w:ascii="Times New Roman" w:hAnsi="Times New Roman" w:cs="Times New Roman"/>
                <w:i w:val="0"/>
                <w:color w:val="262626" w:themeColor="text1" w:themeTint="D9"/>
                <w:sz w:val="22"/>
              </w:rPr>
              <w:t>II</w:t>
            </w:r>
          </w:p>
        </w:tc>
      </w:tr>
      <w:tr w:rsidR="00A91916" w:rsidRPr="008E759F" w:rsidTr="00F61BE2">
        <w:trPr>
          <w:trHeight w:val="325"/>
        </w:trPr>
        <w:tc>
          <w:tcPr>
            <w:tcW w:w="8656" w:type="dxa"/>
          </w:tcPr>
          <w:p w:rsidR="00A91916" w:rsidRPr="008E759F" w:rsidRDefault="00A91916" w:rsidP="00F61BE2">
            <w:pPr>
              <w:pStyle w:val="Sous-titre"/>
              <w:rPr>
                <w:rFonts w:ascii="Times New Roman" w:hAnsi="Times New Roman" w:cs="Times New Roman"/>
              </w:rPr>
            </w:pPr>
            <w:r>
              <w:rPr>
                <w:rFonts w:ascii="Times New Roman" w:hAnsi="Times New Roman" w:cs="Times New Roman"/>
              </w:rPr>
              <w:t>Introduction générale</w:t>
            </w:r>
            <w:r w:rsidRPr="005B38A9">
              <w:rPr>
                <w:rFonts w:ascii="Times New Roman" w:hAnsi="Times New Roman" w:cs="Times New Roman"/>
                <w:i w:val="0"/>
              </w:rPr>
              <w:t>……………………………………………………………</w:t>
            </w:r>
          </w:p>
        </w:tc>
        <w:tc>
          <w:tcPr>
            <w:tcW w:w="950" w:type="dxa"/>
            <w:vAlign w:val="center"/>
          </w:tcPr>
          <w:p w:rsidR="00A91916" w:rsidRPr="008E759F" w:rsidRDefault="00A91916" w:rsidP="00F61BE2">
            <w:pPr>
              <w:pStyle w:val="Sous-titre"/>
              <w:jc w:val="center"/>
              <w:rPr>
                <w:rFonts w:ascii="Times New Roman" w:hAnsi="Times New Roman" w:cs="Times New Roman"/>
                <w:i w:val="0"/>
                <w:color w:val="262626" w:themeColor="text1" w:themeTint="D9"/>
                <w:sz w:val="22"/>
              </w:rPr>
            </w:pPr>
            <w:r>
              <w:rPr>
                <w:rFonts w:ascii="Times New Roman" w:hAnsi="Times New Roman" w:cs="Times New Roman"/>
                <w:i w:val="0"/>
                <w:color w:val="262626" w:themeColor="text1" w:themeTint="D9"/>
                <w:sz w:val="22"/>
              </w:rPr>
              <w:t>III-IX</w:t>
            </w:r>
          </w:p>
        </w:tc>
      </w:tr>
      <w:tr w:rsidR="00A91916" w:rsidRPr="008E759F" w:rsidTr="00F61BE2">
        <w:trPr>
          <w:trHeight w:val="325"/>
        </w:trPr>
        <w:tc>
          <w:tcPr>
            <w:tcW w:w="8656" w:type="dxa"/>
          </w:tcPr>
          <w:p w:rsidR="00A91916" w:rsidRPr="008E759F" w:rsidRDefault="00A91916" w:rsidP="00F61BE2">
            <w:pPr>
              <w:pStyle w:val="Sous-titre"/>
              <w:rPr>
                <w:rFonts w:ascii="Times New Roman" w:hAnsi="Times New Roman" w:cs="Times New Roman"/>
              </w:rPr>
            </w:pPr>
            <w:r w:rsidRPr="008E759F">
              <w:rPr>
                <w:rFonts w:ascii="Times New Roman" w:hAnsi="Times New Roman" w:cs="Times New Roman"/>
              </w:rPr>
              <w:t>Chapitre 1 : Régulation et harmonisation comptable internationale</w:t>
            </w:r>
            <w:r w:rsidRPr="005B38A9">
              <w:rPr>
                <w:rFonts w:ascii="Times New Roman" w:hAnsi="Times New Roman" w:cs="Times New Roman"/>
                <w:i w:val="0"/>
              </w:rPr>
              <w:t>………</w:t>
            </w:r>
            <w:r>
              <w:rPr>
                <w:rFonts w:ascii="Times New Roman" w:hAnsi="Times New Roman" w:cs="Times New Roman"/>
                <w:i w:val="0"/>
              </w:rPr>
              <w:t>.</w:t>
            </w:r>
          </w:p>
        </w:tc>
        <w:tc>
          <w:tcPr>
            <w:tcW w:w="950" w:type="dxa"/>
            <w:vAlign w:val="center"/>
          </w:tcPr>
          <w:p w:rsidR="00A91916" w:rsidRPr="008E759F" w:rsidRDefault="00A91916" w:rsidP="00F61BE2">
            <w:pPr>
              <w:pStyle w:val="Sous-titre"/>
              <w:jc w:val="center"/>
              <w:rPr>
                <w:rFonts w:ascii="Times New Roman" w:hAnsi="Times New Roman" w:cs="Times New Roman"/>
                <w:i w:val="0"/>
                <w:color w:val="262626" w:themeColor="text1" w:themeTint="D9"/>
              </w:rPr>
            </w:pPr>
          </w:p>
        </w:tc>
      </w:tr>
      <w:tr w:rsidR="00A91916" w:rsidRPr="008E759F" w:rsidTr="00F61BE2">
        <w:trPr>
          <w:trHeight w:val="325"/>
        </w:trPr>
        <w:tc>
          <w:tcPr>
            <w:tcW w:w="8656" w:type="dxa"/>
          </w:tcPr>
          <w:p w:rsidR="00A91916" w:rsidRPr="008E759F" w:rsidRDefault="00A91916" w:rsidP="00F61BE2">
            <w:pPr>
              <w:jc w:val="both"/>
              <w:rPr>
                <w:rFonts w:ascii="Times New Roman" w:hAnsi="Times New Roman" w:cs="Times New Roman"/>
                <w:sz w:val="24"/>
                <w:szCs w:val="24"/>
              </w:rPr>
            </w:pPr>
            <w:r w:rsidRPr="008E759F">
              <w:rPr>
                <w:rFonts w:ascii="Times New Roman" w:hAnsi="Times New Roman" w:cs="Times New Roman"/>
                <w:sz w:val="24"/>
                <w:szCs w:val="24"/>
              </w:rPr>
              <w:t>Section 1 : l’environnement économique et son influence sur les pratiques et la régulation comptable internationale</w:t>
            </w:r>
            <w:r>
              <w:rPr>
                <w:rFonts w:ascii="Times New Roman" w:hAnsi="Times New Roman" w:cs="Times New Roman"/>
                <w:sz w:val="24"/>
                <w:szCs w:val="24"/>
              </w:rPr>
              <w:t>……………………………………………………...</w:t>
            </w:r>
          </w:p>
        </w:tc>
        <w:tc>
          <w:tcPr>
            <w:tcW w:w="950" w:type="dxa"/>
            <w:vAlign w:val="bottom"/>
          </w:tcPr>
          <w:p w:rsidR="00A91916" w:rsidRPr="008E759F" w:rsidRDefault="00A91916" w:rsidP="00F61BE2">
            <w:pPr>
              <w:pStyle w:val="Sous-titre"/>
              <w:jc w:val="center"/>
              <w:rPr>
                <w:rFonts w:ascii="Times New Roman" w:hAnsi="Times New Roman" w:cs="Times New Roman"/>
                <w:i w:val="0"/>
                <w:color w:val="262626" w:themeColor="text1" w:themeTint="D9"/>
              </w:rPr>
            </w:pPr>
            <w:r w:rsidRPr="008E759F">
              <w:rPr>
                <w:rFonts w:ascii="Times New Roman" w:hAnsi="Times New Roman" w:cs="Times New Roman"/>
                <w:i w:val="0"/>
                <w:color w:val="262626" w:themeColor="text1" w:themeTint="D9"/>
                <w:sz w:val="22"/>
              </w:rPr>
              <w:t>02</w:t>
            </w:r>
          </w:p>
        </w:tc>
      </w:tr>
      <w:tr w:rsidR="00A91916" w:rsidRPr="008E759F" w:rsidTr="00F61BE2">
        <w:trPr>
          <w:trHeight w:val="325"/>
        </w:trPr>
        <w:tc>
          <w:tcPr>
            <w:tcW w:w="8656" w:type="dxa"/>
          </w:tcPr>
          <w:p w:rsidR="00A91916" w:rsidRPr="008E759F" w:rsidRDefault="00A91916" w:rsidP="00F61BE2">
            <w:pPr>
              <w:ind w:left="708"/>
              <w:jc w:val="both"/>
              <w:rPr>
                <w:rFonts w:ascii="Times New Roman" w:hAnsi="Times New Roman" w:cs="Times New Roman"/>
                <w:bCs/>
                <w:sz w:val="24"/>
                <w:szCs w:val="24"/>
              </w:rPr>
            </w:pPr>
            <w:r w:rsidRPr="008E759F">
              <w:rPr>
                <w:rFonts w:ascii="Times New Roman" w:hAnsi="Times New Roman" w:cs="Times New Roman"/>
                <w:bCs/>
                <w:sz w:val="24"/>
                <w:szCs w:val="24"/>
              </w:rPr>
              <w:t>1.1. Le rôle de la comptabilité dans une économie</w:t>
            </w:r>
            <w:r>
              <w:rPr>
                <w:rFonts w:ascii="Times New Roman" w:hAnsi="Times New Roman" w:cs="Times New Roman"/>
                <w:bCs/>
                <w:sz w:val="24"/>
                <w:szCs w:val="24"/>
              </w:rPr>
              <w:t>………………………………</w:t>
            </w:r>
          </w:p>
        </w:tc>
        <w:tc>
          <w:tcPr>
            <w:tcW w:w="950" w:type="dxa"/>
            <w:vAlign w:val="center"/>
          </w:tcPr>
          <w:p w:rsidR="00A91916" w:rsidRPr="008E759F" w:rsidRDefault="00A91916" w:rsidP="00F61BE2">
            <w:pPr>
              <w:pStyle w:val="Sous-titre"/>
              <w:jc w:val="center"/>
              <w:rPr>
                <w:rFonts w:ascii="Times New Roman" w:hAnsi="Times New Roman" w:cs="Times New Roman"/>
                <w:i w:val="0"/>
                <w:color w:val="262626" w:themeColor="text1" w:themeTint="D9"/>
                <w:sz w:val="22"/>
              </w:rPr>
            </w:pPr>
            <w:r>
              <w:rPr>
                <w:rFonts w:ascii="Times New Roman" w:hAnsi="Times New Roman" w:cs="Times New Roman"/>
                <w:i w:val="0"/>
                <w:color w:val="262626" w:themeColor="text1" w:themeTint="D9"/>
                <w:sz w:val="22"/>
              </w:rPr>
              <w:t>02</w:t>
            </w:r>
          </w:p>
        </w:tc>
      </w:tr>
      <w:tr w:rsidR="00A91916" w:rsidRPr="008E759F" w:rsidTr="00F61BE2">
        <w:trPr>
          <w:trHeight w:val="325"/>
        </w:trPr>
        <w:tc>
          <w:tcPr>
            <w:tcW w:w="8656" w:type="dxa"/>
          </w:tcPr>
          <w:p w:rsidR="00A91916" w:rsidRPr="008E759F" w:rsidRDefault="00A91916" w:rsidP="00F61BE2">
            <w:pPr>
              <w:ind w:left="708"/>
              <w:jc w:val="both"/>
              <w:rPr>
                <w:rFonts w:ascii="Times New Roman" w:hAnsi="Times New Roman" w:cs="Times New Roman"/>
                <w:bCs/>
                <w:sz w:val="24"/>
                <w:szCs w:val="24"/>
              </w:rPr>
            </w:pPr>
            <w:r w:rsidRPr="008E759F">
              <w:rPr>
                <w:rFonts w:ascii="Times New Roman" w:hAnsi="Times New Roman" w:cs="Times New Roman"/>
                <w:bCs/>
                <w:sz w:val="24"/>
                <w:szCs w:val="24"/>
              </w:rPr>
              <w:t xml:space="preserve">1.2. L’environnement économique et social et son influence sur la comptabilité  </w:t>
            </w:r>
          </w:p>
        </w:tc>
        <w:tc>
          <w:tcPr>
            <w:tcW w:w="950" w:type="dxa"/>
            <w:vAlign w:val="center"/>
          </w:tcPr>
          <w:p w:rsidR="00A91916" w:rsidRPr="008E759F" w:rsidRDefault="00A91916" w:rsidP="00F61BE2">
            <w:pPr>
              <w:pStyle w:val="Sous-titre"/>
              <w:jc w:val="center"/>
              <w:rPr>
                <w:rFonts w:ascii="Times New Roman" w:hAnsi="Times New Roman" w:cs="Times New Roman"/>
                <w:i w:val="0"/>
                <w:color w:val="262626" w:themeColor="text1" w:themeTint="D9"/>
                <w:sz w:val="22"/>
              </w:rPr>
            </w:pPr>
            <w:r>
              <w:rPr>
                <w:rFonts w:ascii="Times New Roman" w:hAnsi="Times New Roman" w:cs="Times New Roman"/>
                <w:i w:val="0"/>
                <w:color w:val="262626" w:themeColor="text1" w:themeTint="D9"/>
                <w:sz w:val="22"/>
              </w:rPr>
              <w:t>05</w:t>
            </w:r>
          </w:p>
        </w:tc>
      </w:tr>
      <w:tr w:rsidR="00A91916" w:rsidRPr="008E759F" w:rsidTr="00F61BE2">
        <w:trPr>
          <w:trHeight w:val="325"/>
        </w:trPr>
        <w:tc>
          <w:tcPr>
            <w:tcW w:w="8656" w:type="dxa"/>
          </w:tcPr>
          <w:p w:rsidR="00A91916" w:rsidRPr="00E01670" w:rsidRDefault="00A91916" w:rsidP="00F61BE2">
            <w:pPr>
              <w:jc w:val="both"/>
              <w:rPr>
                <w:rFonts w:ascii="Times New Roman" w:hAnsi="Times New Roman" w:cs="Times New Roman"/>
                <w:sz w:val="24"/>
                <w:szCs w:val="24"/>
              </w:rPr>
            </w:pPr>
            <w:r w:rsidRPr="00E01670">
              <w:rPr>
                <w:rFonts w:ascii="Times New Roman" w:hAnsi="Times New Roman" w:cs="Times New Roman"/>
                <w:sz w:val="24"/>
                <w:szCs w:val="24"/>
              </w:rPr>
              <w:t>Section 2 : La régulation comptable : cadre théorique et classification des systèmes comptables dans le monde</w:t>
            </w:r>
            <w:r>
              <w:rPr>
                <w:rFonts w:ascii="Times New Roman" w:hAnsi="Times New Roman" w:cs="Times New Roman"/>
                <w:sz w:val="24"/>
                <w:szCs w:val="24"/>
              </w:rPr>
              <w:t>……………………………………………………………….</w:t>
            </w:r>
          </w:p>
        </w:tc>
        <w:tc>
          <w:tcPr>
            <w:tcW w:w="950" w:type="dxa"/>
            <w:vAlign w:val="bottom"/>
          </w:tcPr>
          <w:p w:rsidR="00A91916" w:rsidRPr="008E759F" w:rsidRDefault="00A91916" w:rsidP="00F61BE2">
            <w:pPr>
              <w:pStyle w:val="Sous-titre"/>
              <w:jc w:val="center"/>
              <w:rPr>
                <w:rFonts w:ascii="Times New Roman" w:hAnsi="Times New Roman" w:cs="Times New Roman"/>
                <w:i w:val="0"/>
                <w:color w:val="262626" w:themeColor="text1" w:themeTint="D9"/>
                <w:sz w:val="22"/>
              </w:rPr>
            </w:pPr>
            <w:r>
              <w:rPr>
                <w:rFonts w:ascii="Times New Roman" w:hAnsi="Times New Roman" w:cs="Times New Roman"/>
                <w:i w:val="0"/>
                <w:color w:val="262626" w:themeColor="text1" w:themeTint="D9"/>
                <w:sz w:val="22"/>
              </w:rPr>
              <w:t>08</w:t>
            </w:r>
          </w:p>
        </w:tc>
      </w:tr>
      <w:tr w:rsidR="00A91916" w:rsidRPr="008E759F" w:rsidTr="00F61BE2">
        <w:trPr>
          <w:trHeight w:val="325"/>
        </w:trPr>
        <w:tc>
          <w:tcPr>
            <w:tcW w:w="8656" w:type="dxa"/>
          </w:tcPr>
          <w:p w:rsidR="00A91916" w:rsidRPr="008E759F" w:rsidRDefault="00A91916" w:rsidP="00F61BE2">
            <w:pPr>
              <w:ind w:left="708"/>
              <w:jc w:val="both"/>
              <w:rPr>
                <w:rFonts w:ascii="Times New Roman" w:hAnsi="Times New Roman" w:cs="Times New Roman"/>
                <w:iCs/>
                <w:sz w:val="24"/>
                <w:szCs w:val="24"/>
              </w:rPr>
            </w:pPr>
            <w:r w:rsidRPr="00E01670">
              <w:rPr>
                <w:rFonts w:ascii="Times New Roman" w:hAnsi="Times New Roman" w:cs="Times New Roman"/>
                <w:iCs/>
                <w:sz w:val="24"/>
                <w:szCs w:val="24"/>
              </w:rPr>
              <w:t>2.1. Définition de la régulation comptable</w:t>
            </w:r>
            <w:r>
              <w:rPr>
                <w:rFonts w:ascii="Times New Roman" w:hAnsi="Times New Roman" w:cs="Times New Roman"/>
                <w:iCs/>
                <w:sz w:val="24"/>
                <w:szCs w:val="24"/>
              </w:rPr>
              <w:t>……………………………………….</w:t>
            </w:r>
            <w:r w:rsidRPr="00E01670">
              <w:rPr>
                <w:rFonts w:ascii="Times New Roman" w:hAnsi="Times New Roman" w:cs="Times New Roman"/>
                <w:iCs/>
                <w:sz w:val="24"/>
                <w:szCs w:val="24"/>
              </w:rPr>
              <w:t xml:space="preserve"> </w:t>
            </w:r>
          </w:p>
        </w:tc>
        <w:tc>
          <w:tcPr>
            <w:tcW w:w="950" w:type="dxa"/>
            <w:vAlign w:val="center"/>
          </w:tcPr>
          <w:p w:rsidR="00A91916" w:rsidRPr="008E759F" w:rsidRDefault="00A91916" w:rsidP="00F61BE2">
            <w:pPr>
              <w:pStyle w:val="Sous-titre"/>
              <w:jc w:val="center"/>
              <w:rPr>
                <w:rFonts w:ascii="Times New Roman" w:hAnsi="Times New Roman" w:cs="Times New Roman"/>
                <w:i w:val="0"/>
                <w:color w:val="262626" w:themeColor="text1" w:themeTint="D9"/>
                <w:sz w:val="22"/>
              </w:rPr>
            </w:pPr>
            <w:r>
              <w:rPr>
                <w:rFonts w:ascii="Times New Roman" w:hAnsi="Times New Roman" w:cs="Times New Roman"/>
                <w:i w:val="0"/>
                <w:color w:val="262626" w:themeColor="text1" w:themeTint="D9"/>
                <w:sz w:val="22"/>
              </w:rPr>
              <w:t>08</w:t>
            </w:r>
          </w:p>
        </w:tc>
      </w:tr>
      <w:tr w:rsidR="00A91916" w:rsidRPr="008E759F" w:rsidTr="00F61BE2">
        <w:trPr>
          <w:trHeight w:val="325"/>
        </w:trPr>
        <w:tc>
          <w:tcPr>
            <w:tcW w:w="8656" w:type="dxa"/>
          </w:tcPr>
          <w:p w:rsidR="00A91916" w:rsidRPr="008E759F" w:rsidRDefault="00A91916" w:rsidP="00F61BE2">
            <w:pPr>
              <w:ind w:left="708"/>
              <w:jc w:val="both"/>
              <w:rPr>
                <w:rFonts w:ascii="Times New Roman" w:hAnsi="Times New Roman" w:cs="Times New Roman"/>
                <w:iCs/>
                <w:sz w:val="24"/>
                <w:szCs w:val="24"/>
              </w:rPr>
            </w:pPr>
            <w:r w:rsidRPr="00E01670">
              <w:rPr>
                <w:rFonts w:ascii="Times New Roman" w:hAnsi="Times New Roman" w:cs="Times New Roman"/>
                <w:iCs/>
                <w:sz w:val="24"/>
                <w:szCs w:val="24"/>
              </w:rPr>
              <w:t>2.2. Les théories explicatives de la régulation comptable</w:t>
            </w:r>
            <w:r>
              <w:rPr>
                <w:rFonts w:ascii="Times New Roman" w:hAnsi="Times New Roman" w:cs="Times New Roman"/>
                <w:iCs/>
                <w:sz w:val="24"/>
                <w:szCs w:val="24"/>
              </w:rPr>
              <w:t>………………………..</w:t>
            </w:r>
          </w:p>
        </w:tc>
        <w:tc>
          <w:tcPr>
            <w:tcW w:w="950" w:type="dxa"/>
            <w:vAlign w:val="center"/>
          </w:tcPr>
          <w:p w:rsidR="00A91916" w:rsidRPr="008E759F" w:rsidRDefault="00A91916" w:rsidP="00F61BE2">
            <w:pPr>
              <w:pStyle w:val="Sous-titre"/>
              <w:jc w:val="center"/>
              <w:rPr>
                <w:rFonts w:ascii="Times New Roman" w:hAnsi="Times New Roman" w:cs="Times New Roman"/>
                <w:i w:val="0"/>
                <w:color w:val="262626" w:themeColor="text1" w:themeTint="D9"/>
                <w:sz w:val="22"/>
              </w:rPr>
            </w:pPr>
            <w:r>
              <w:rPr>
                <w:rFonts w:ascii="Times New Roman" w:hAnsi="Times New Roman" w:cs="Times New Roman"/>
                <w:i w:val="0"/>
                <w:color w:val="262626" w:themeColor="text1" w:themeTint="D9"/>
                <w:sz w:val="22"/>
              </w:rPr>
              <w:t>08</w:t>
            </w:r>
          </w:p>
        </w:tc>
      </w:tr>
      <w:tr w:rsidR="00A91916" w:rsidRPr="008E759F" w:rsidTr="00F61BE2">
        <w:trPr>
          <w:trHeight w:val="325"/>
        </w:trPr>
        <w:tc>
          <w:tcPr>
            <w:tcW w:w="8656" w:type="dxa"/>
          </w:tcPr>
          <w:p w:rsidR="00A91916" w:rsidRPr="008E759F" w:rsidRDefault="00A91916" w:rsidP="00F61BE2">
            <w:pPr>
              <w:ind w:left="708"/>
              <w:jc w:val="both"/>
              <w:rPr>
                <w:rFonts w:ascii="Times New Roman" w:hAnsi="Times New Roman" w:cs="Times New Roman"/>
                <w:iCs/>
                <w:sz w:val="24"/>
                <w:szCs w:val="24"/>
              </w:rPr>
            </w:pPr>
            <w:r w:rsidRPr="00E01670">
              <w:rPr>
                <w:rFonts w:ascii="Times New Roman" w:hAnsi="Times New Roman" w:cs="Times New Roman"/>
                <w:iCs/>
                <w:sz w:val="24"/>
                <w:szCs w:val="24"/>
              </w:rPr>
              <w:t>2.3. La classification des systèmes comptables mondiaux</w:t>
            </w:r>
            <w:r>
              <w:rPr>
                <w:rFonts w:ascii="Times New Roman" w:hAnsi="Times New Roman" w:cs="Times New Roman"/>
                <w:iCs/>
                <w:sz w:val="24"/>
                <w:szCs w:val="24"/>
              </w:rPr>
              <w:t>………………………</w:t>
            </w:r>
          </w:p>
        </w:tc>
        <w:tc>
          <w:tcPr>
            <w:tcW w:w="950" w:type="dxa"/>
            <w:vAlign w:val="center"/>
          </w:tcPr>
          <w:p w:rsidR="00A91916" w:rsidRPr="008E759F" w:rsidRDefault="00A91916" w:rsidP="00F61BE2">
            <w:pPr>
              <w:pStyle w:val="Sous-titre"/>
              <w:jc w:val="center"/>
              <w:rPr>
                <w:rFonts w:ascii="Times New Roman" w:hAnsi="Times New Roman" w:cs="Times New Roman"/>
                <w:i w:val="0"/>
                <w:color w:val="262626" w:themeColor="text1" w:themeTint="D9"/>
                <w:sz w:val="22"/>
              </w:rPr>
            </w:pPr>
            <w:r>
              <w:rPr>
                <w:rFonts w:ascii="Times New Roman" w:hAnsi="Times New Roman" w:cs="Times New Roman"/>
                <w:i w:val="0"/>
                <w:color w:val="262626" w:themeColor="text1" w:themeTint="D9"/>
                <w:sz w:val="22"/>
              </w:rPr>
              <w:t>10</w:t>
            </w:r>
          </w:p>
        </w:tc>
      </w:tr>
      <w:tr w:rsidR="00A91916" w:rsidRPr="008E759F" w:rsidTr="00F61BE2">
        <w:trPr>
          <w:trHeight w:val="325"/>
        </w:trPr>
        <w:tc>
          <w:tcPr>
            <w:tcW w:w="8656" w:type="dxa"/>
          </w:tcPr>
          <w:p w:rsidR="00A91916" w:rsidRPr="008E759F" w:rsidRDefault="00A91916" w:rsidP="00F61BE2">
            <w:pPr>
              <w:jc w:val="both"/>
              <w:rPr>
                <w:rFonts w:ascii="Times New Roman" w:hAnsi="Times New Roman" w:cs="Times New Roman"/>
                <w:sz w:val="24"/>
                <w:szCs w:val="24"/>
              </w:rPr>
            </w:pPr>
            <w:r w:rsidRPr="00E01670">
              <w:rPr>
                <w:rFonts w:ascii="Times New Roman" w:hAnsi="Times New Roman" w:cs="Times New Roman"/>
                <w:sz w:val="24"/>
                <w:szCs w:val="24"/>
              </w:rPr>
              <w:t>Section 3 : Harmonisation comptable internationale : Histoire,  finalités et limites</w:t>
            </w:r>
            <w:r>
              <w:rPr>
                <w:rFonts w:ascii="Times New Roman" w:hAnsi="Times New Roman" w:cs="Times New Roman"/>
                <w:sz w:val="24"/>
                <w:szCs w:val="24"/>
              </w:rPr>
              <w:t>…….</w:t>
            </w:r>
          </w:p>
        </w:tc>
        <w:tc>
          <w:tcPr>
            <w:tcW w:w="950" w:type="dxa"/>
            <w:vAlign w:val="center"/>
          </w:tcPr>
          <w:p w:rsidR="00A91916" w:rsidRPr="008E759F" w:rsidRDefault="00A91916" w:rsidP="00F61BE2">
            <w:pPr>
              <w:pStyle w:val="Sous-titre"/>
              <w:jc w:val="center"/>
              <w:rPr>
                <w:rFonts w:ascii="Times New Roman" w:hAnsi="Times New Roman" w:cs="Times New Roman"/>
                <w:i w:val="0"/>
                <w:color w:val="262626" w:themeColor="text1" w:themeTint="D9"/>
                <w:sz w:val="22"/>
              </w:rPr>
            </w:pPr>
            <w:r>
              <w:rPr>
                <w:rFonts w:ascii="Times New Roman" w:hAnsi="Times New Roman" w:cs="Times New Roman"/>
                <w:i w:val="0"/>
                <w:color w:val="262626" w:themeColor="text1" w:themeTint="D9"/>
                <w:sz w:val="22"/>
              </w:rPr>
              <w:t>13</w:t>
            </w:r>
          </w:p>
        </w:tc>
      </w:tr>
      <w:tr w:rsidR="00A91916" w:rsidRPr="008E759F" w:rsidTr="00F61BE2">
        <w:trPr>
          <w:trHeight w:val="325"/>
        </w:trPr>
        <w:tc>
          <w:tcPr>
            <w:tcW w:w="8656" w:type="dxa"/>
          </w:tcPr>
          <w:p w:rsidR="00A91916" w:rsidRPr="00B85206" w:rsidRDefault="00A91916" w:rsidP="00F61BE2">
            <w:pPr>
              <w:ind w:left="708"/>
              <w:jc w:val="both"/>
              <w:rPr>
                <w:rFonts w:ascii="Times New Roman" w:hAnsi="Times New Roman" w:cs="Times New Roman"/>
                <w:iCs/>
                <w:sz w:val="24"/>
                <w:szCs w:val="24"/>
              </w:rPr>
            </w:pPr>
            <w:r w:rsidRPr="00B85206">
              <w:rPr>
                <w:rFonts w:ascii="Times New Roman" w:hAnsi="Times New Roman" w:cs="Times New Roman"/>
                <w:iCs/>
                <w:sz w:val="24"/>
                <w:szCs w:val="24"/>
              </w:rPr>
              <w:t>3.1. Harmonisation, normalisation et standardisation,  quelles différences ?</w:t>
            </w:r>
            <w:r>
              <w:rPr>
                <w:rFonts w:ascii="Times New Roman" w:hAnsi="Times New Roman" w:cs="Times New Roman"/>
                <w:iCs/>
                <w:sz w:val="24"/>
                <w:szCs w:val="24"/>
              </w:rPr>
              <w:t>.....</w:t>
            </w:r>
          </w:p>
        </w:tc>
        <w:tc>
          <w:tcPr>
            <w:tcW w:w="950" w:type="dxa"/>
            <w:vAlign w:val="center"/>
          </w:tcPr>
          <w:p w:rsidR="00A91916" w:rsidRPr="008E759F" w:rsidRDefault="00A91916" w:rsidP="00F61BE2">
            <w:pPr>
              <w:pStyle w:val="Sous-titre"/>
              <w:jc w:val="center"/>
              <w:rPr>
                <w:rFonts w:ascii="Times New Roman" w:hAnsi="Times New Roman" w:cs="Times New Roman"/>
                <w:i w:val="0"/>
                <w:color w:val="262626" w:themeColor="text1" w:themeTint="D9"/>
                <w:sz w:val="22"/>
              </w:rPr>
            </w:pPr>
            <w:r>
              <w:rPr>
                <w:rFonts w:ascii="Times New Roman" w:hAnsi="Times New Roman" w:cs="Times New Roman"/>
                <w:i w:val="0"/>
                <w:color w:val="262626" w:themeColor="text1" w:themeTint="D9"/>
                <w:sz w:val="22"/>
              </w:rPr>
              <w:t>13</w:t>
            </w:r>
          </w:p>
        </w:tc>
      </w:tr>
      <w:tr w:rsidR="00A91916" w:rsidRPr="008E759F" w:rsidTr="00F61BE2">
        <w:trPr>
          <w:trHeight w:val="325"/>
        </w:trPr>
        <w:tc>
          <w:tcPr>
            <w:tcW w:w="8656" w:type="dxa"/>
          </w:tcPr>
          <w:p w:rsidR="00A91916" w:rsidRPr="008E759F" w:rsidRDefault="00A91916" w:rsidP="00F61BE2">
            <w:pPr>
              <w:ind w:left="708"/>
              <w:jc w:val="both"/>
              <w:rPr>
                <w:rFonts w:ascii="Times New Roman" w:hAnsi="Times New Roman" w:cs="Times New Roman"/>
                <w:sz w:val="24"/>
                <w:szCs w:val="24"/>
              </w:rPr>
            </w:pPr>
            <w:r w:rsidRPr="008E759F">
              <w:rPr>
                <w:rFonts w:ascii="Times New Roman" w:hAnsi="Times New Roman" w:cs="Times New Roman"/>
                <w:iCs/>
                <w:sz w:val="24"/>
                <w:szCs w:val="24"/>
              </w:rPr>
              <w:t>3.2. Importance et limites de L’harmonisation comptable internationale</w:t>
            </w:r>
            <w:r>
              <w:rPr>
                <w:rFonts w:ascii="Times New Roman" w:hAnsi="Times New Roman" w:cs="Times New Roman"/>
                <w:iCs/>
                <w:sz w:val="24"/>
                <w:szCs w:val="24"/>
              </w:rPr>
              <w:t>………..</w:t>
            </w:r>
          </w:p>
        </w:tc>
        <w:tc>
          <w:tcPr>
            <w:tcW w:w="950" w:type="dxa"/>
            <w:vAlign w:val="center"/>
          </w:tcPr>
          <w:p w:rsidR="00A91916" w:rsidRPr="008E759F" w:rsidRDefault="00A91916" w:rsidP="00F61BE2">
            <w:pPr>
              <w:pStyle w:val="Sous-titre"/>
              <w:jc w:val="center"/>
              <w:rPr>
                <w:rFonts w:ascii="Times New Roman" w:hAnsi="Times New Roman" w:cs="Times New Roman"/>
                <w:i w:val="0"/>
                <w:color w:val="262626" w:themeColor="text1" w:themeTint="D9"/>
                <w:sz w:val="22"/>
              </w:rPr>
            </w:pPr>
            <w:r>
              <w:rPr>
                <w:rFonts w:ascii="Times New Roman" w:hAnsi="Times New Roman" w:cs="Times New Roman"/>
                <w:i w:val="0"/>
                <w:color w:val="262626" w:themeColor="text1" w:themeTint="D9"/>
                <w:sz w:val="22"/>
              </w:rPr>
              <w:t>20</w:t>
            </w:r>
          </w:p>
        </w:tc>
      </w:tr>
      <w:tr w:rsidR="00A91916" w:rsidRPr="008E759F" w:rsidTr="00F61BE2">
        <w:trPr>
          <w:trHeight w:val="325"/>
        </w:trPr>
        <w:tc>
          <w:tcPr>
            <w:tcW w:w="8656" w:type="dxa"/>
          </w:tcPr>
          <w:p w:rsidR="00A91916" w:rsidRPr="00B85206" w:rsidRDefault="00A91916" w:rsidP="00F61BE2">
            <w:pPr>
              <w:ind w:left="708"/>
              <w:jc w:val="both"/>
              <w:rPr>
                <w:rFonts w:ascii="Times New Roman" w:hAnsi="Times New Roman" w:cs="Times New Roman"/>
                <w:iCs/>
                <w:sz w:val="24"/>
                <w:szCs w:val="24"/>
              </w:rPr>
            </w:pPr>
            <w:r w:rsidRPr="00B85206">
              <w:rPr>
                <w:rFonts w:ascii="Times New Roman" w:hAnsi="Times New Roman" w:cs="Times New Roman"/>
                <w:iCs/>
                <w:sz w:val="24"/>
                <w:szCs w:val="24"/>
              </w:rPr>
              <w:t>3.3. Principaux acteurs de la normalisation comptable au niveau international</w:t>
            </w:r>
            <w:r>
              <w:rPr>
                <w:rFonts w:ascii="Times New Roman" w:hAnsi="Times New Roman" w:cs="Times New Roman"/>
                <w:iCs/>
                <w:sz w:val="24"/>
                <w:szCs w:val="24"/>
              </w:rPr>
              <w:t>…</w:t>
            </w:r>
          </w:p>
        </w:tc>
        <w:tc>
          <w:tcPr>
            <w:tcW w:w="950" w:type="dxa"/>
            <w:vAlign w:val="center"/>
          </w:tcPr>
          <w:p w:rsidR="00A91916" w:rsidRPr="008E759F" w:rsidRDefault="00A91916" w:rsidP="00F61BE2">
            <w:pPr>
              <w:pStyle w:val="Sous-titre"/>
              <w:jc w:val="center"/>
              <w:rPr>
                <w:rFonts w:ascii="Times New Roman" w:hAnsi="Times New Roman" w:cs="Times New Roman"/>
                <w:i w:val="0"/>
                <w:color w:val="262626" w:themeColor="text1" w:themeTint="D9"/>
                <w:sz w:val="22"/>
              </w:rPr>
            </w:pPr>
            <w:r>
              <w:rPr>
                <w:rFonts w:ascii="Times New Roman" w:hAnsi="Times New Roman" w:cs="Times New Roman"/>
                <w:i w:val="0"/>
                <w:color w:val="262626" w:themeColor="text1" w:themeTint="D9"/>
                <w:sz w:val="22"/>
              </w:rPr>
              <w:t>22</w:t>
            </w:r>
          </w:p>
        </w:tc>
      </w:tr>
      <w:tr w:rsidR="00A91916" w:rsidRPr="008E759F" w:rsidTr="00F61BE2">
        <w:trPr>
          <w:trHeight w:val="325"/>
        </w:trPr>
        <w:tc>
          <w:tcPr>
            <w:tcW w:w="8656" w:type="dxa"/>
          </w:tcPr>
          <w:p w:rsidR="00A91916" w:rsidRPr="005B38A9" w:rsidRDefault="00A91916" w:rsidP="00F61BE2">
            <w:pPr>
              <w:pStyle w:val="Sous-titre"/>
              <w:rPr>
                <w:rFonts w:ascii="Times New Roman" w:hAnsi="Times New Roman" w:cs="Times New Roman"/>
                <w:i w:val="0"/>
              </w:rPr>
            </w:pPr>
            <w:r w:rsidRPr="00B86F06">
              <w:rPr>
                <w:rFonts w:ascii="Times New Roman" w:hAnsi="Times New Roman" w:cs="Times New Roman"/>
              </w:rPr>
              <w:t>Chapitre 2 : La recherche scientifique en comptabilité et l’impact de la transition aux normes internationales</w:t>
            </w:r>
            <w:r>
              <w:rPr>
                <w:rFonts w:ascii="Times New Roman" w:hAnsi="Times New Roman" w:cs="Times New Roman"/>
                <w:i w:val="0"/>
              </w:rPr>
              <w:t>………………………………………….</w:t>
            </w:r>
          </w:p>
        </w:tc>
        <w:tc>
          <w:tcPr>
            <w:tcW w:w="950" w:type="dxa"/>
            <w:vAlign w:val="bottom"/>
          </w:tcPr>
          <w:p w:rsidR="00A91916" w:rsidRPr="008E759F" w:rsidRDefault="00A91916" w:rsidP="00F61BE2">
            <w:pPr>
              <w:pStyle w:val="Sous-titre"/>
              <w:jc w:val="center"/>
              <w:rPr>
                <w:rFonts w:ascii="Times New Roman" w:hAnsi="Times New Roman" w:cs="Times New Roman"/>
                <w:i w:val="0"/>
                <w:color w:val="262626" w:themeColor="text1" w:themeTint="D9"/>
                <w:sz w:val="22"/>
              </w:rPr>
            </w:pPr>
          </w:p>
        </w:tc>
      </w:tr>
      <w:tr w:rsidR="00A91916" w:rsidRPr="008E759F" w:rsidTr="00F61BE2">
        <w:trPr>
          <w:trHeight w:val="325"/>
        </w:trPr>
        <w:tc>
          <w:tcPr>
            <w:tcW w:w="8656" w:type="dxa"/>
          </w:tcPr>
          <w:p w:rsidR="00A91916" w:rsidRPr="00B86F06" w:rsidRDefault="00A91916" w:rsidP="00F61BE2">
            <w:pPr>
              <w:jc w:val="both"/>
              <w:rPr>
                <w:rFonts w:ascii="Times New Roman" w:hAnsi="Times New Roman" w:cs="Times New Roman"/>
                <w:sz w:val="24"/>
                <w:szCs w:val="24"/>
              </w:rPr>
            </w:pPr>
            <w:r w:rsidRPr="00B86F06">
              <w:rPr>
                <w:rFonts w:ascii="Times New Roman" w:hAnsi="Times New Roman" w:cs="Times New Roman"/>
                <w:sz w:val="24"/>
                <w:szCs w:val="24"/>
              </w:rPr>
              <w:t>Section 1 : Les normes comptables internationales : contenu et changements apportés</w:t>
            </w:r>
            <w:r>
              <w:rPr>
                <w:rFonts w:ascii="Times New Roman" w:hAnsi="Times New Roman" w:cs="Times New Roman"/>
                <w:sz w:val="24"/>
                <w:szCs w:val="24"/>
              </w:rPr>
              <w:t>...</w:t>
            </w:r>
          </w:p>
        </w:tc>
        <w:tc>
          <w:tcPr>
            <w:tcW w:w="950" w:type="dxa"/>
            <w:vAlign w:val="center"/>
          </w:tcPr>
          <w:p w:rsidR="00A91916" w:rsidRPr="008E759F" w:rsidRDefault="00A91916" w:rsidP="00F61BE2">
            <w:pPr>
              <w:pStyle w:val="Sous-titre"/>
              <w:jc w:val="center"/>
              <w:rPr>
                <w:rFonts w:ascii="Times New Roman" w:hAnsi="Times New Roman" w:cs="Times New Roman"/>
                <w:i w:val="0"/>
                <w:color w:val="262626" w:themeColor="text1" w:themeTint="D9"/>
                <w:sz w:val="22"/>
              </w:rPr>
            </w:pPr>
            <w:r>
              <w:rPr>
                <w:rFonts w:ascii="Times New Roman" w:hAnsi="Times New Roman" w:cs="Times New Roman"/>
                <w:i w:val="0"/>
                <w:color w:val="262626" w:themeColor="text1" w:themeTint="D9"/>
                <w:sz w:val="22"/>
              </w:rPr>
              <w:t>31</w:t>
            </w:r>
          </w:p>
        </w:tc>
      </w:tr>
      <w:tr w:rsidR="00A91916" w:rsidRPr="008E759F" w:rsidTr="00F61BE2">
        <w:trPr>
          <w:trHeight w:val="325"/>
        </w:trPr>
        <w:tc>
          <w:tcPr>
            <w:tcW w:w="8656" w:type="dxa"/>
          </w:tcPr>
          <w:p w:rsidR="00A91916" w:rsidRPr="008E759F" w:rsidRDefault="00A91916" w:rsidP="00F61BE2">
            <w:pPr>
              <w:ind w:left="708"/>
              <w:jc w:val="both"/>
              <w:rPr>
                <w:rFonts w:ascii="Times New Roman" w:hAnsi="Times New Roman" w:cs="Times New Roman"/>
                <w:sz w:val="24"/>
                <w:szCs w:val="24"/>
              </w:rPr>
            </w:pPr>
            <w:r>
              <w:rPr>
                <w:rFonts w:ascii="Times New Roman" w:hAnsi="Times New Roman" w:cs="Times New Roman"/>
                <w:sz w:val="24"/>
                <w:szCs w:val="24"/>
              </w:rPr>
              <w:t xml:space="preserve">1.1. Objet et contenu du référentiel </w:t>
            </w:r>
            <w:r w:rsidRPr="008E759F">
              <w:rPr>
                <w:rFonts w:ascii="Times New Roman" w:hAnsi="Times New Roman" w:cs="Times New Roman"/>
                <w:sz w:val="24"/>
                <w:szCs w:val="24"/>
              </w:rPr>
              <w:t xml:space="preserve"> </w:t>
            </w:r>
            <w:r>
              <w:rPr>
                <w:rFonts w:ascii="Times New Roman" w:hAnsi="Times New Roman" w:cs="Times New Roman"/>
                <w:sz w:val="24"/>
                <w:szCs w:val="24"/>
              </w:rPr>
              <w:t>comptable international……………………</w:t>
            </w:r>
            <w:r w:rsidRPr="008E759F">
              <w:rPr>
                <w:rFonts w:ascii="Times New Roman" w:hAnsi="Times New Roman" w:cs="Times New Roman"/>
                <w:sz w:val="24"/>
                <w:szCs w:val="24"/>
              </w:rPr>
              <w:t xml:space="preserve">  </w:t>
            </w:r>
          </w:p>
        </w:tc>
        <w:tc>
          <w:tcPr>
            <w:tcW w:w="950" w:type="dxa"/>
            <w:vAlign w:val="center"/>
          </w:tcPr>
          <w:p w:rsidR="00A91916" w:rsidRPr="008E759F" w:rsidRDefault="00A91916" w:rsidP="00F61BE2">
            <w:pPr>
              <w:pStyle w:val="Sous-titre"/>
              <w:jc w:val="center"/>
              <w:rPr>
                <w:rFonts w:ascii="Times New Roman" w:hAnsi="Times New Roman" w:cs="Times New Roman"/>
                <w:i w:val="0"/>
                <w:color w:val="262626" w:themeColor="text1" w:themeTint="D9"/>
                <w:sz w:val="22"/>
              </w:rPr>
            </w:pPr>
            <w:r>
              <w:rPr>
                <w:rFonts w:ascii="Times New Roman" w:hAnsi="Times New Roman" w:cs="Times New Roman"/>
                <w:i w:val="0"/>
                <w:color w:val="262626" w:themeColor="text1" w:themeTint="D9"/>
                <w:sz w:val="22"/>
              </w:rPr>
              <w:t>31</w:t>
            </w:r>
          </w:p>
        </w:tc>
      </w:tr>
      <w:tr w:rsidR="00A91916" w:rsidRPr="008E759F" w:rsidTr="00F61BE2">
        <w:trPr>
          <w:trHeight w:val="325"/>
        </w:trPr>
        <w:tc>
          <w:tcPr>
            <w:tcW w:w="8656" w:type="dxa"/>
          </w:tcPr>
          <w:p w:rsidR="00A91916" w:rsidRPr="008E759F" w:rsidRDefault="00A91916" w:rsidP="00F61BE2">
            <w:pPr>
              <w:ind w:left="708"/>
              <w:jc w:val="both"/>
              <w:rPr>
                <w:rFonts w:ascii="Times New Roman" w:hAnsi="Times New Roman" w:cs="Times New Roman"/>
                <w:sz w:val="24"/>
                <w:szCs w:val="24"/>
              </w:rPr>
            </w:pPr>
            <w:r w:rsidRPr="008E759F">
              <w:rPr>
                <w:rFonts w:ascii="Times New Roman" w:hAnsi="Times New Roman" w:cs="Times New Roman"/>
                <w:sz w:val="24"/>
                <w:szCs w:val="24"/>
              </w:rPr>
              <w:t xml:space="preserve">1.2. Les changements apportés par les normes internationales et </w:t>
            </w:r>
            <w:r w:rsidRPr="00571C40">
              <w:rPr>
                <w:rFonts w:ascii="Times New Roman" w:hAnsi="Times New Roman" w:cs="Times New Roman"/>
                <w:sz w:val="24"/>
                <w:szCs w:val="24"/>
              </w:rPr>
              <w:t>leur impact sur les comptes des entreprises</w:t>
            </w:r>
            <w:r>
              <w:rPr>
                <w:rFonts w:ascii="Times New Roman" w:hAnsi="Times New Roman" w:cs="Times New Roman"/>
                <w:sz w:val="24"/>
                <w:szCs w:val="24"/>
              </w:rPr>
              <w:t>………………………………………………………</w:t>
            </w:r>
          </w:p>
        </w:tc>
        <w:tc>
          <w:tcPr>
            <w:tcW w:w="950" w:type="dxa"/>
            <w:vAlign w:val="bottom"/>
          </w:tcPr>
          <w:p w:rsidR="00A91916" w:rsidRPr="008E759F" w:rsidRDefault="00A91916" w:rsidP="00F61BE2">
            <w:pPr>
              <w:pStyle w:val="Sous-titre"/>
              <w:jc w:val="center"/>
              <w:rPr>
                <w:rFonts w:ascii="Times New Roman" w:hAnsi="Times New Roman" w:cs="Times New Roman"/>
                <w:i w:val="0"/>
                <w:color w:val="262626" w:themeColor="text1" w:themeTint="D9"/>
                <w:sz w:val="22"/>
              </w:rPr>
            </w:pPr>
            <w:r>
              <w:rPr>
                <w:rFonts w:ascii="Times New Roman" w:hAnsi="Times New Roman" w:cs="Times New Roman"/>
                <w:i w:val="0"/>
                <w:color w:val="262626" w:themeColor="text1" w:themeTint="D9"/>
                <w:sz w:val="22"/>
              </w:rPr>
              <w:t>33</w:t>
            </w:r>
          </w:p>
        </w:tc>
      </w:tr>
      <w:tr w:rsidR="00A91916" w:rsidRPr="008E759F" w:rsidTr="00F61BE2">
        <w:trPr>
          <w:trHeight w:val="325"/>
        </w:trPr>
        <w:tc>
          <w:tcPr>
            <w:tcW w:w="8656" w:type="dxa"/>
          </w:tcPr>
          <w:p w:rsidR="00A91916" w:rsidRPr="00176D4A" w:rsidRDefault="00A91916" w:rsidP="00F61BE2">
            <w:pPr>
              <w:jc w:val="both"/>
              <w:rPr>
                <w:rFonts w:ascii="Times New Roman" w:hAnsi="Times New Roman" w:cs="Times New Roman"/>
                <w:b/>
                <w:i/>
                <w:sz w:val="24"/>
                <w:szCs w:val="24"/>
              </w:rPr>
            </w:pPr>
            <w:r w:rsidRPr="00176D4A">
              <w:rPr>
                <w:rFonts w:ascii="Times New Roman" w:hAnsi="Times New Roman" w:cs="Times New Roman"/>
                <w:sz w:val="24"/>
                <w:szCs w:val="24"/>
              </w:rPr>
              <w:t>Section 2 : L’arbitrage comptable et son impact sur les comptes des entreprises</w:t>
            </w:r>
            <w:r>
              <w:rPr>
                <w:rFonts w:ascii="Times New Roman" w:hAnsi="Times New Roman" w:cs="Times New Roman"/>
                <w:sz w:val="24"/>
                <w:szCs w:val="24"/>
              </w:rPr>
              <w:t>……..</w:t>
            </w:r>
          </w:p>
        </w:tc>
        <w:tc>
          <w:tcPr>
            <w:tcW w:w="950" w:type="dxa"/>
            <w:vAlign w:val="center"/>
          </w:tcPr>
          <w:p w:rsidR="00A91916" w:rsidRPr="008E759F" w:rsidRDefault="00A91916" w:rsidP="00F61BE2">
            <w:pPr>
              <w:pStyle w:val="Sous-titre"/>
              <w:jc w:val="center"/>
              <w:rPr>
                <w:rFonts w:ascii="Times New Roman" w:hAnsi="Times New Roman" w:cs="Times New Roman"/>
                <w:i w:val="0"/>
                <w:color w:val="262626" w:themeColor="text1" w:themeTint="D9"/>
                <w:sz w:val="22"/>
              </w:rPr>
            </w:pPr>
            <w:r>
              <w:rPr>
                <w:rFonts w:ascii="Times New Roman" w:hAnsi="Times New Roman" w:cs="Times New Roman"/>
                <w:i w:val="0"/>
                <w:color w:val="262626" w:themeColor="text1" w:themeTint="D9"/>
                <w:sz w:val="22"/>
              </w:rPr>
              <w:t>37</w:t>
            </w:r>
          </w:p>
        </w:tc>
      </w:tr>
      <w:tr w:rsidR="00A91916" w:rsidRPr="008E759F" w:rsidTr="00F61BE2">
        <w:trPr>
          <w:trHeight w:val="325"/>
        </w:trPr>
        <w:tc>
          <w:tcPr>
            <w:tcW w:w="8656" w:type="dxa"/>
          </w:tcPr>
          <w:p w:rsidR="00A91916" w:rsidRPr="00176D4A" w:rsidRDefault="00A91916" w:rsidP="00F61BE2">
            <w:pPr>
              <w:ind w:left="708"/>
              <w:jc w:val="both"/>
              <w:rPr>
                <w:rFonts w:ascii="Times New Roman" w:hAnsi="Times New Roman" w:cs="Times New Roman"/>
                <w:sz w:val="24"/>
                <w:szCs w:val="24"/>
              </w:rPr>
            </w:pPr>
            <w:r w:rsidRPr="00176D4A">
              <w:rPr>
                <w:rFonts w:ascii="Times New Roman" w:hAnsi="Times New Roman" w:cs="Times New Roman"/>
                <w:sz w:val="24"/>
                <w:szCs w:val="24"/>
              </w:rPr>
              <w:t>2.1. Les sources d’incertitudes en comptabilité</w:t>
            </w:r>
            <w:r>
              <w:rPr>
                <w:rFonts w:ascii="Times New Roman" w:hAnsi="Times New Roman" w:cs="Times New Roman"/>
                <w:sz w:val="24"/>
                <w:szCs w:val="24"/>
              </w:rPr>
              <w:t>………………………………….</w:t>
            </w:r>
            <w:r w:rsidRPr="00176D4A">
              <w:rPr>
                <w:rFonts w:ascii="Times New Roman" w:hAnsi="Times New Roman" w:cs="Times New Roman"/>
                <w:sz w:val="24"/>
                <w:szCs w:val="24"/>
              </w:rPr>
              <w:t xml:space="preserve"> </w:t>
            </w:r>
          </w:p>
        </w:tc>
        <w:tc>
          <w:tcPr>
            <w:tcW w:w="950" w:type="dxa"/>
            <w:vAlign w:val="center"/>
          </w:tcPr>
          <w:p w:rsidR="00A91916" w:rsidRPr="008E759F" w:rsidRDefault="00A91916" w:rsidP="00F61BE2">
            <w:pPr>
              <w:pStyle w:val="Sous-titre"/>
              <w:jc w:val="center"/>
              <w:rPr>
                <w:rFonts w:ascii="Times New Roman" w:hAnsi="Times New Roman" w:cs="Times New Roman"/>
                <w:i w:val="0"/>
                <w:color w:val="262626" w:themeColor="text1" w:themeTint="D9"/>
                <w:sz w:val="22"/>
              </w:rPr>
            </w:pPr>
            <w:r>
              <w:rPr>
                <w:rFonts w:ascii="Times New Roman" w:hAnsi="Times New Roman" w:cs="Times New Roman"/>
                <w:i w:val="0"/>
                <w:color w:val="262626" w:themeColor="text1" w:themeTint="D9"/>
                <w:sz w:val="22"/>
              </w:rPr>
              <w:t>37</w:t>
            </w:r>
          </w:p>
        </w:tc>
      </w:tr>
      <w:tr w:rsidR="00A91916" w:rsidRPr="008E759F" w:rsidTr="00F61BE2">
        <w:trPr>
          <w:trHeight w:val="325"/>
        </w:trPr>
        <w:tc>
          <w:tcPr>
            <w:tcW w:w="8656" w:type="dxa"/>
          </w:tcPr>
          <w:p w:rsidR="00A91916" w:rsidRPr="008E759F" w:rsidRDefault="00A91916" w:rsidP="00F61BE2">
            <w:pPr>
              <w:ind w:left="708"/>
              <w:jc w:val="both"/>
              <w:rPr>
                <w:rFonts w:ascii="Times New Roman" w:hAnsi="Times New Roman" w:cs="Times New Roman"/>
                <w:sz w:val="24"/>
                <w:szCs w:val="24"/>
              </w:rPr>
            </w:pPr>
            <w:r w:rsidRPr="00176D4A">
              <w:rPr>
                <w:rFonts w:ascii="Times New Roman" w:hAnsi="Times New Roman" w:cs="Times New Roman"/>
                <w:sz w:val="24"/>
                <w:szCs w:val="24"/>
              </w:rPr>
              <w:t>2.2. L’arbitrage comptable dans un point de vue théorique</w:t>
            </w:r>
            <w:r>
              <w:rPr>
                <w:rFonts w:ascii="Times New Roman" w:hAnsi="Times New Roman" w:cs="Times New Roman"/>
                <w:sz w:val="24"/>
                <w:szCs w:val="24"/>
              </w:rPr>
              <w:t>…………………….</w:t>
            </w:r>
            <w:r w:rsidRPr="00176D4A">
              <w:rPr>
                <w:rFonts w:ascii="Times New Roman" w:hAnsi="Times New Roman" w:cs="Times New Roman"/>
                <w:sz w:val="24"/>
                <w:szCs w:val="24"/>
              </w:rPr>
              <w:t xml:space="preserve"> </w:t>
            </w:r>
          </w:p>
        </w:tc>
        <w:tc>
          <w:tcPr>
            <w:tcW w:w="950" w:type="dxa"/>
            <w:vAlign w:val="center"/>
          </w:tcPr>
          <w:p w:rsidR="00A91916" w:rsidRPr="008E759F" w:rsidRDefault="00A91916" w:rsidP="00F61BE2">
            <w:pPr>
              <w:pStyle w:val="Sous-titre"/>
              <w:jc w:val="center"/>
              <w:rPr>
                <w:rFonts w:ascii="Times New Roman" w:hAnsi="Times New Roman" w:cs="Times New Roman"/>
                <w:i w:val="0"/>
                <w:color w:val="262626" w:themeColor="text1" w:themeTint="D9"/>
                <w:sz w:val="22"/>
              </w:rPr>
            </w:pPr>
            <w:r>
              <w:rPr>
                <w:rFonts w:ascii="Times New Roman" w:hAnsi="Times New Roman" w:cs="Times New Roman"/>
                <w:i w:val="0"/>
                <w:color w:val="262626" w:themeColor="text1" w:themeTint="D9"/>
                <w:sz w:val="22"/>
              </w:rPr>
              <w:t>39</w:t>
            </w:r>
          </w:p>
        </w:tc>
      </w:tr>
      <w:tr w:rsidR="00A91916" w:rsidRPr="008E759F" w:rsidTr="00F61BE2">
        <w:trPr>
          <w:trHeight w:val="325"/>
        </w:trPr>
        <w:tc>
          <w:tcPr>
            <w:tcW w:w="8656" w:type="dxa"/>
          </w:tcPr>
          <w:p w:rsidR="00A91916" w:rsidRPr="002C7638" w:rsidRDefault="00A91916" w:rsidP="00F61BE2">
            <w:pPr>
              <w:ind w:left="708"/>
              <w:jc w:val="both"/>
              <w:rPr>
                <w:rFonts w:ascii="Times New Roman" w:hAnsi="Times New Roman" w:cs="Times New Roman"/>
                <w:sz w:val="24"/>
                <w:szCs w:val="24"/>
              </w:rPr>
            </w:pPr>
            <w:r w:rsidRPr="002C7638">
              <w:rPr>
                <w:rFonts w:ascii="Times New Roman" w:hAnsi="Times New Roman" w:cs="Times New Roman"/>
                <w:sz w:val="24"/>
                <w:szCs w:val="24"/>
              </w:rPr>
              <w:t>2.3. La transparence et la comptabilité financière</w:t>
            </w:r>
            <w:r>
              <w:rPr>
                <w:rFonts w:ascii="Times New Roman" w:hAnsi="Times New Roman" w:cs="Times New Roman"/>
                <w:sz w:val="24"/>
                <w:szCs w:val="24"/>
              </w:rPr>
              <w:t>……………………………….</w:t>
            </w:r>
          </w:p>
        </w:tc>
        <w:tc>
          <w:tcPr>
            <w:tcW w:w="950" w:type="dxa"/>
            <w:vAlign w:val="center"/>
          </w:tcPr>
          <w:p w:rsidR="00A91916" w:rsidRPr="008E759F" w:rsidRDefault="00A91916" w:rsidP="00F61BE2">
            <w:pPr>
              <w:pStyle w:val="Sous-titre"/>
              <w:jc w:val="center"/>
              <w:rPr>
                <w:rFonts w:ascii="Times New Roman" w:hAnsi="Times New Roman" w:cs="Times New Roman"/>
                <w:i w:val="0"/>
                <w:color w:val="262626" w:themeColor="text1" w:themeTint="D9"/>
                <w:sz w:val="22"/>
              </w:rPr>
            </w:pPr>
            <w:r>
              <w:rPr>
                <w:rFonts w:ascii="Times New Roman" w:hAnsi="Times New Roman" w:cs="Times New Roman"/>
                <w:i w:val="0"/>
                <w:color w:val="262626" w:themeColor="text1" w:themeTint="D9"/>
                <w:sz w:val="22"/>
              </w:rPr>
              <w:t>41</w:t>
            </w:r>
          </w:p>
        </w:tc>
      </w:tr>
      <w:tr w:rsidR="00A91916" w:rsidRPr="008E759F" w:rsidTr="00F61BE2">
        <w:trPr>
          <w:trHeight w:val="325"/>
        </w:trPr>
        <w:tc>
          <w:tcPr>
            <w:tcW w:w="8656" w:type="dxa"/>
          </w:tcPr>
          <w:p w:rsidR="00A91916" w:rsidRPr="008E759F" w:rsidRDefault="00A91916" w:rsidP="00F61BE2">
            <w:pPr>
              <w:ind w:left="708"/>
              <w:jc w:val="both"/>
              <w:rPr>
                <w:rFonts w:ascii="Times New Roman" w:hAnsi="Times New Roman" w:cs="Times New Roman"/>
                <w:sz w:val="24"/>
                <w:szCs w:val="24"/>
              </w:rPr>
            </w:pPr>
            <w:r w:rsidRPr="002C7638">
              <w:rPr>
                <w:rFonts w:ascii="Times New Roman" w:hAnsi="Times New Roman" w:cs="Times New Roman"/>
                <w:sz w:val="24"/>
                <w:szCs w:val="24"/>
              </w:rPr>
              <w:t>2.4. Marge de manipulation présente dans le cadre des nouvelles normes</w:t>
            </w:r>
            <w:r>
              <w:rPr>
                <w:rFonts w:ascii="Times New Roman" w:hAnsi="Times New Roman" w:cs="Times New Roman"/>
                <w:sz w:val="24"/>
                <w:szCs w:val="24"/>
              </w:rPr>
              <w:t>………</w:t>
            </w:r>
            <w:r w:rsidRPr="002C7638">
              <w:rPr>
                <w:rFonts w:ascii="Times New Roman" w:hAnsi="Times New Roman" w:cs="Times New Roman"/>
                <w:sz w:val="24"/>
                <w:szCs w:val="24"/>
              </w:rPr>
              <w:t xml:space="preserve"> </w:t>
            </w:r>
          </w:p>
        </w:tc>
        <w:tc>
          <w:tcPr>
            <w:tcW w:w="950" w:type="dxa"/>
            <w:vAlign w:val="center"/>
          </w:tcPr>
          <w:p w:rsidR="00A91916" w:rsidRPr="008E759F" w:rsidRDefault="00A91916" w:rsidP="00F61BE2">
            <w:pPr>
              <w:pStyle w:val="Sous-titre"/>
              <w:jc w:val="center"/>
              <w:rPr>
                <w:rFonts w:ascii="Times New Roman" w:hAnsi="Times New Roman" w:cs="Times New Roman"/>
                <w:i w:val="0"/>
                <w:color w:val="262626" w:themeColor="text1" w:themeTint="D9"/>
                <w:sz w:val="22"/>
              </w:rPr>
            </w:pPr>
            <w:r>
              <w:rPr>
                <w:rFonts w:ascii="Times New Roman" w:hAnsi="Times New Roman" w:cs="Times New Roman"/>
                <w:i w:val="0"/>
                <w:color w:val="262626" w:themeColor="text1" w:themeTint="D9"/>
                <w:sz w:val="22"/>
              </w:rPr>
              <w:t>42</w:t>
            </w:r>
          </w:p>
        </w:tc>
      </w:tr>
      <w:tr w:rsidR="00A91916" w:rsidRPr="008E759F" w:rsidTr="00F61BE2">
        <w:trPr>
          <w:trHeight w:val="325"/>
        </w:trPr>
        <w:tc>
          <w:tcPr>
            <w:tcW w:w="8656" w:type="dxa"/>
          </w:tcPr>
          <w:p w:rsidR="00A91916" w:rsidRPr="002C7638" w:rsidRDefault="00A91916" w:rsidP="00F61BE2">
            <w:pPr>
              <w:jc w:val="both"/>
              <w:rPr>
                <w:rFonts w:ascii="Times New Roman" w:hAnsi="Times New Roman" w:cs="Times New Roman"/>
                <w:b/>
                <w:i/>
                <w:sz w:val="24"/>
                <w:szCs w:val="24"/>
              </w:rPr>
            </w:pPr>
            <w:r w:rsidRPr="0060465C">
              <w:rPr>
                <w:rFonts w:ascii="Times New Roman" w:hAnsi="Times New Roman" w:cs="Times New Roman"/>
                <w:sz w:val="24"/>
                <w:szCs w:val="24"/>
              </w:rPr>
              <w:t>Section 3 : Les recherches scientifiques en comptabilité</w:t>
            </w:r>
            <w:r>
              <w:rPr>
                <w:rFonts w:ascii="Times New Roman" w:hAnsi="Times New Roman" w:cs="Times New Roman"/>
                <w:sz w:val="24"/>
                <w:szCs w:val="24"/>
              </w:rPr>
              <w:t>………………………………..</w:t>
            </w:r>
          </w:p>
        </w:tc>
        <w:tc>
          <w:tcPr>
            <w:tcW w:w="950" w:type="dxa"/>
            <w:vAlign w:val="center"/>
          </w:tcPr>
          <w:p w:rsidR="00A91916" w:rsidRPr="008E759F" w:rsidRDefault="00A91916" w:rsidP="00F61BE2">
            <w:pPr>
              <w:pStyle w:val="Sous-titre"/>
              <w:jc w:val="center"/>
              <w:rPr>
                <w:rFonts w:ascii="Times New Roman" w:hAnsi="Times New Roman" w:cs="Times New Roman"/>
                <w:i w:val="0"/>
                <w:color w:val="262626" w:themeColor="text1" w:themeTint="D9"/>
                <w:sz w:val="22"/>
              </w:rPr>
            </w:pPr>
            <w:r>
              <w:rPr>
                <w:rFonts w:ascii="Times New Roman" w:hAnsi="Times New Roman" w:cs="Times New Roman"/>
                <w:i w:val="0"/>
                <w:color w:val="262626" w:themeColor="text1" w:themeTint="D9"/>
                <w:sz w:val="22"/>
              </w:rPr>
              <w:t>45</w:t>
            </w:r>
          </w:p>
        </w:tc>
      </w:tr>
      <w:tr w:rsidR="00A91916" w:rsidRPr="008E759F" w:rsidTr="00F61BE2">
        <w:trPr>
          <w:trHeight w:val="325"/>
        </w:trPr>
        <w:tc>
          <w:tcPr>
            <w:tcW w:w="8656" w:type="dxa"/>
          </w:tcPr>
          <w:p w:rsidR="00A91916" w:rsidRPr="008E759F" w:rsidRDefault="00A91916" w:rsidP="00F61BE2">
            <w:pPr>
              <w:ind w:left="708"/>
              <w:jc w:val="both"/>
              <w:rPr>
                <w:rFonts w:ascii="Times New Roman" w:hAnsi="Times New Roman" w:cs="Times New Roman"/>
                <w:sz w:val="24"/>
                <w:szCs w:val="24"/>
              </w:rPr>
            </w:pPr>
            <w:r w:rsidRPr="002C7638">
              <w:rPr>
                <w:rFonts w:ascii="Times New Roman" w:hAnsi="Times New Roman" w:cs="Times New Roman"/>
                <w:sz w:val="24"/>
                <w:szCs w:val="24"/>
              </w:rPr>
              <w:t>3.1. Les théories explicatives des choix comptables</w:t>
            </w:r>
            <w:r>
              <w:rPr>
                <w:rFonts w:ascii="Times New Roman" w:hAnsi="Times New Roman" w:cs="Times New Roman"/>
                <w:sz w:val="24"/>
                <w:szCs w:val="24"/>
              </w:rPr>
              <w:t>…………………………….</w:t>
            </w:r>
          </w:p>
        </w:tc>
        <w:tc>
          <w:tcPr>
            <w:tcW w:w="950" w:type="dxa"/>
            <w:vAlign w:val="center"/>
          </w:tcPr>
          <w:p w:rsidR="00A91916" w:rsidRPr="008E759F" w:rsidRDefault="00A91916" w:rsidP="00F61BE2">
            <w:pPr>
              <w:pStyle w:val="Sous-titre"/>
              <w:jc w:val="center"/>
              <w:rPr>
                <w:rFonts w:ascii="Times New Roman" w:hAnsi="Times New Roman" w:cs="Times New Roman"/>
                <w:i w:val="0"/>
                <w:color w:val="262626" w:themeColor="text1" w:themeTint="D9"/>
                <w:sz w:val="22"/>
              </w:rPr>
            </w:pPr>
            <w:r>
              <w:rPr>
                <w:rFonts w:ascii="Times New Roman" w:hAnsi="Times New Roman" w:cs="Times New Roman"/>
                <w:i w:val="0"/>
                <w:color w:val="262626" w:themeColor="text1" w:themeTint="D9"/>
                <w:sz w:val="22"/>
              </w:rPr>
              <w:t>45</w:t>
            </w:r>
          </w:p>
        </w:tc>
      </w:tr>
      <w:tr w:rsidR="00A91916" w:rsidRPr="008E759F" w:rsidTr="00F61BE2">
        <w:trPr>
          <w:trHeight w:val="325"/>
        </w:trPr>
        <w:tc>
          <w:tcPr>
            <w:tcW w:w="8656" w:type="dxa"/>
          </w:tcPr>
          <w:p w:rsidR="00A91916" w:rsidRPr="008E759F" w:rsidRDefault="00A91916" w:rsidP="00F61BE2">
            <w:pPr>
              <w:ind w:left="708"/>
              <w:jc w:val="both"/>
              <w:rPr>
                <w:rFonts w:ascii="Times New Roman" w:hAnsi="Times New Roman" w:cs="Times New Roman"/>
                <w:sz w:val="24"/>
                <w:szCs w:val="24"/>
              </w:rPr>
            </w:pPr>
            <w:r w:rsidRPr="0060465C">
              <w:rPr>
                <w:rFonts w:ascii="Times New Roman" w:hAnsi="Times New Roman" w:cs="Times New Roman"/>
                <w:sz w:val="24"/>
                <w:szCs w:val="24"/>
              </w:rPr>
              <w:lastRenderedPageBreak/>
              <w:t>3.2. Les études menées sur la transition aux normes comptables internationales</w:t>
            </w:r>
            <w:r>
              <w:rPr>
                <w:rFonts w:ascii="Times New Roman" w:hAnsi="Times New Roman" w:cs="Times New Roman"/>
                <w:sz w:val="24"/>
                <w:szCs w:val="24"/>
              </w:rPr>
              <w:t>…………………………………………………………………....</w:t>
            </w:r>
          </w:p>
        </w:tc>
        <w:tc>
          <w:tcPr>
            <w:tcW w:w="950" w:type="dxa"/>
            <w:vAlign w:val="bottom"/>
          </w:tcPr>
          <w:p w:rsidR="00A91916" w:rsidRPr="008E759F" w:rsidRDefault="00A91916" w:rsidP="00F61BE2">
            <w:pPr>
              <w:pStyle w:val="Sous-titre"/>
              <w:jc w:val="center"/>
              <w:rPr>
                <w:rFonts w:ascii="Times New Roman" w:hAnsi="Times New Roman" w:cs="Times New Roman"/>
                <w:i w:val="0"/>
                <w:color w:val="262626" w:themeColor="text1" w:themeTint="D9"/>
                <w:sz w:val="22"/>
              </w:rPr>
            </w:pPr>
            <w:r>
              <w:rPr>
                <w:rFonts w:ascii="Times New Roman" w:hAnsi="Times New Roman" w:cs="Times New Roman"/>
                <w:i w:val="0"/>
                <w:color w:val="262626" w:themeColor="text1" w:themeTint="D9"/>
                <w:sz w:val="22"/>
              </w:rPr>
              <w:t>49</w:t>
            </w:r>
          </w:p>
        </w:tc>
      </w:tr>
      <w:tr w:rsidR="00A91916" w:rsidRPr="008E759F" w:rsidTr="00F61BE2">
        <w:trPr>
          <w:trHeight w:val="325"/>
        </w:trPr>
        <w:tc>
          <w:tcPr>
            <w:tcW w:w="8656" w:type="dxa"/>
          </w:tcPr>
          <w:p w:rsidR="00A91916" w:rsidRPr="005B38A9" w:rsidRDefault="00A91916" w:rsidP="00F61BE2">
            <w:pPr>
              <w:pStyle w:val="Sous-titre"/>
              <w:jc w:val="both"/>
              <w:rPr>
                <w:rFonts w:ascii="Times New Roman" w:hAnsi="Times New Roman" w:cs="Times New Roman"/>
                <w:i w:val="0"/>
              </w:rPr>
            </w:pPr>
            <w:r w:rsidRPr="00227B6F">
              <w:rPr>
                <w:rFonts w:ascii="Times New Roman" w:hAnsi="Times New Roman" w:cs="Times New Roman"/>
              </w:rPr>
              <w:t>Chapitre 3 : Le nouveau Système Comptable Financier</w:t>
            </w:r>
            <w:r>
              <w:rPr>
                <w:rFonts w:ascii="Times New Roman" w:hAnsi="Times New Roman" w:cs="Times New Roman"/>
              </w:rPr>
              <w:t xml:space="preserve"> </w:t>
            </w:r>
            <w:r w:rsidRPr="00227B6F">
              <w:rPr>
                <w:rFonts w:ascii="Times New Roman" w:hAnsi="Times New Roman" w:cs="Times New Roman"/>
              </w:rPr>
              <w:t>: Principaux changements et leurs impacts sur les Capitaux Propres et Résultats</w:t>
            </w:r>
            <w:r>
              <w:rPr>
                <w:rFonts w:ascii="Times New Roman" w:hAnsi="Times New Roman" w:cs="Times New Roman"/>
                <w:i w:val="0"/>
              </w:rPr>
              <w:t>………..</w:t>
            </w:r>
          </w:p>
        </w:tc>
        <w:tc>
          <w:tcPr>
            <w:tcW w:w="950" w:type="dxa"/>
            <w:vAlign w:val="bottom"/>
          </w:tcPr>
          <w:p w:rsidR="00A91916" w:rsidRPr="008E759F" w:rsidRDefault="00A91916" w:rsidP="00F61BE2">
            <w:pPr>
              <w:pStyle w:val="Sous-titre"/>
              <w:jc w:val="center"/>
              <w:rPr>
                <w:rFonts w:ascii="Times New Roman" w:hAnsi="Times New Roman" w:cs="Times New Roman"/>
                <w:i w:val="0"/>
                <w:color w:val="262626" w:themeColor="text1" w:themeTint="D9"/>
                <w:sz w:val="22"/>
              </w:rPr>
            </w:pPr>
          </w:p>
        </w:tc>
      </w:tr>
      <w:tr w:rsidR="00A91916" w:rsidRPr="008E759F" w:rsidTr="00F61BE2">
        <w:trPr>
          <w:trHeight w:val="325"/>
        </w:trPr>
        <w:tc>
          <w:tcPr>
            <w:tcW w:w="8656" w:type="dxa"/>
          </w:tcPr>
          <w:p w:rsidR="00A91916" w:rsidRPr="005B38A9" w:rsidRDefault="00A91916" w:rsidP="00F61BE2">
            <w:pPr>
              <w:jc w:val="both"/>
              <w:rPr>
                <w:rFonts w:ascii="Times New Roman" w:hAnsi="Times New Roman" w:cs="Times New Roman"/>
                <w:sz w:val="24"/>
                <w:szCs w:val="24"/>
              </w:rPr>
            </w:pPr>
            <w:r w:rsidRPr="005B38A9">
              <w:rPr>
                <w:rFonts w:ascii="Times New Roman" w:hAnsi="Times New Roman" w:cs="Times New Roman"/>
                <w:sz w:val="24"/>
                <w:szCs w:val="24"/>
              </w:rPr>
              <w:t>Section 1 : L’environnement comptable Algérien</w:t>
            </w:r>
            <w:r>
              <w:rPr>
                <w:rFonts w:ascii="Times New Roman" w:hAnsi="Times New Roman" w:cs="Times New Roman"/>
                <w:sz w:val="24"/>
                <w:szCs w:val="24"/>
              </w:rPr>
              <w:t>………………………………………..</w:t>
            </w:r>
          </w:p>
        </w:tc>
        <w:tc>
          <w:tcPr>
            <w:tcW w:w="950" w:type="dxa"/>
            <w:vAlign w:val="center"/>
          </w:tcPr>
          <w:p w:rsidR="00A91916" w:rsidRPr="008E759F" w:rsidRDefault="00A91916" w:rsidP="00F61BE2">
            <w:pPr>
              <w:pStyle w:val="Sous-titre"/>
              <w:jc w:val="center"/>
              <w:rPr>
                <w:rFonts w:ascii="Times New Roman" w:hAnsi="Times New Roman" w:cs="Times New Roman"/>
                <w:i w:val="0"/>
                <w:color w:val="262626" w:themeColor="text1" w:themeTint="D9"/>
                <w:sz w:val="22"/>
              </w:rPr>
            </w:pPr>
            <w:r>
              <w:rPr>
                <w:rFonts w:ascii="Times New Roman" w:hAnsi="Times New Roman" w:cs="Times New Roman"/>
                <w:i w:val="0"/>
                <w:color w:val="262626" w:themeColor="text1" w:themeTint="D9"/>
                <w:sz w:val="22"/>
              </w:rPr>
              <w:t>55</w:t>
            </w:r>
          </w:p>
        </w:tc>
      </w:tr>
      <w:tr w:rsidR="00A91916" w:rsidRPr="008E759F" w:rsidTr="00F61BE2">
        <w:trPr>
          <w:trHeight w:val="325"/>
        </w:trPr>
        <w:tc>
          <w:tcPr>
            <w:tcW w:w="8656" w:type="dxa"/>
          </w:tcPr>
          <w:p w:rsidR="00A91916" w:rsidRPr="008E759F" w:rsidRDefault="00A91916" w:rsidP="00F61BE2">
            <w:pPr>
              <w:ind w:left="708"/>
              <w:jc w:val="both"/>
              <w:rPr>
                <w:rFonts w:ascii="Times New Roman" w:hAnsi="Times New Roman" w:cs="Times New Roman"/>
                <w:sz w:val="24"/>
                <w:szCs w:val="24"/>
              </w:rPr>
            </w:pPr>
            <w:r w:rsidRPr="005D3095">
              <w:rPr>
                <w:rFonts w:ascii="Times New Roman" w:hAnsi="Times New Roman" w:cs="Times New Roman"/>
                <w:sz w:val="24"/>
                <w:szCs w:val="24"/>
              </w:rPr>
              <w:t>1.1. Historique de la réglementation comptable en Algérie</w:t>
            </w:r>
            <w:r>
              <w:rPr>
                <w:rFonts w:ascii="Times New Roman" w:hAnsi="Times New Roman" w:cs="Times New Roman"/>
                <w:sz w:val="24"/>
                <w:szCs w:val="24"/>
              </w:rPr>
              <w:t>……………………..</w:t>
            </w:r>
          </w:p>
        </w:tc>
        <w:tc>
          <w:tcPr>
            <w:tcW w:w="950" w:type="dxa"/>
            <w:vAlign w:val="center"/>
          </w:tcPr>
          <w:p w:rsidR="00A91916" w:rsidRPr="008E759F" w:rsidRDefault="00A91916" w:rsidP="00F61BE2">
            <w:pPr>
              <w:pStyle w:val="Sous-titre"/>
              <w:jc w:val="center"/>
              <w:rPr>
                <w:rFonts w:ascii="Times New Roman" w:hAnsi="Times New Roman" w:cs="Times New Roman"/>
                <w:i w:val="0"/>
                <w:color w:val="262626" w:themeColor="text1" w:themeTint="D9"/>
                <w:sz w:val="22"/>
              </w:rPr>
            </w:pPr>
            <w:r>
              <w:rPr>
                <w:rFonts w:ascii="Times New Roman" w:hAnsi="Times New Roman" w:cs="Times New Roman"/>
                <w:i w:val="0"/>
                <w:color w:val="262626" w:themeColor="text1" w:themeTint="D9"/>
                <w:sz w:val="22"/>
              </w:rPr>
              <w:t>55</w:t>
            </w:r>
          </w:p>
        </w:tc>
      </w:tr>
      <w:tr w:rsidR="00A91916" w:rsidRPr="008E759F" w:rsidTr="00F61BE2">
        <w:trPr>
          <w:trHeight w:val="325"/>
        </w:trPr>
        <w:tc>
          <w:tcPr>
            <w:tcW w:w="8656" w:type="dxa"/>
          </w:tcPr>
          <w:p w:rsidR="00A91916" w:rsidRPr="008E759F" w:rsidRDefault="00A91916" w:rsidP="00F61BE2">
            <w:pPr>
              <w:ind w:left="708"/>
              <w:jc w:val="both"/>
              <w:rPr>
                <w:rFonts w:ascii="Times New Roman" w:hAnsi="Times New Roman" w:cs="Times New Roman"/>
                <w:sz w:val="24"/>
                <w:szCs w:val="24"/>
              </w:rPr>
            </w:pPr>
            <w:r w:rsidRPr="005D3095">
              <w:rPr>
                <w:rFonts w:ascii="Times New Roman" w:hAnsi="Times New Roman" w:cs="Times New Roman"/>
                <w:sz w:val="24"/>
                <w:szCs w:val="24"/>
              </w:rPr>
              <w:t>1.2. Autorités de réglementation comptable en Algérie</w:t>
            </w:r>
            <w:r>
              <w:rPr>
                <w:rFonts w:ascii="Times New Roman" w:hAnsi="Times New Roman" w:cs="Times New Roman"/>
                <w:sz w:val="24"/>
                <w:szCs w:val="24"/>
              </w:rPr>
              <w:t>………………………….</w:t>
            </w:r>
          </w:p>
        </w:tc>
        <w:tc>
          <w:tcPr>
            <w:tcW w:w="950" w:type="dxa"/>
            <w:vAlign w:val="center"/>
          </w:tcPr>
          <w:p w:rsidR="00A91916" w:rsidRPr="008E759F" w:rsidRDefault="00A91916" w:rsidP="00F61BE2">
            <w:pPr>
              <w:pStyle w:val="Sous-titre"/>
              <w:jc w:val="center"/>
              <w:rPr>
                <w:rFonts w:ascii="Times New Roman" w:hAnsi="Times New Roman" w:cs="Times New Roman"/>
                <w:i w:val="0"/>
                <w:color w:val="262626" w:themeColor="text1" w:themeTint="D9"/>
                <w:sz w:val="22"/>
              </w:rPr>
            </w:pPr>
            <w:r>
              <w:rPr>
                <w:rFonts w:ascii="Times New Roman" w:hAnsi="Times New Roman" w:cs="Times New Roman"/>
                <w:i w:val="0"/>
                <w:color w:val="262626" w:themeColor="text1" w:themeTint="D9"/>
                <w:sz w:val="22"/>
              </w:rPr>
              <w:t>58</w:t>
            </w:r>
          </w:p>
        </w:tc>
      </w:tr>
      <w:tr w:rsidR="00A91916" w:rsidRPr="008E759F" w:rsidTr="00F61BE2">
        <w:trPr>
          <w:trHeight w:val="325"/>
        </w:trPr>
        <w:tc>
          <w:tcPr>
            <w:tcW w:w="8656" w:type="dxa"/>
          </w:tcPr>
          <w:p w:rsidR="00A91916" w:rsidRPr="008E759F" w:rsidRDefault="00A91916" w:rsidP="00F61BE2">
            <w:pPr>
              <w:ind w:left="708"/>
              <w:jc w:val="both"/>
              <w:rPr>
                <w:rFonts w:ascii="Times New Roman" w:hAnsi="Times New Roman" w:cs="Times New Roman"/>
                <w:sz w:val="24"/>
                <w:szCs w:val="24"/>
              </w:rPr>
            </w:pPr>
            <w:r w:rsidRPr="005D3095">
              <w:rPr>
                <w:rFonts w:ascii="Times New Roman" w:hAnsi="Times New Roman" w:cs="Times New Roman"/>
                <w:sz w:val="24"/>
                <w:szCs w:val="24"/>
              </w:rPr>
              <w:t>1.3. Le passage au Système Comptable Financier : opportunités et obstacles de mise en place</w:t>
            </w:r>
            <w:r>
              <w:rPr>
                <w:rFonts w:ascii="Times New Roman" w:hAnsi="Times New Roman" w:cs="Times New Roman"/>
                <w:sz w:val="24"/>
                <w:szCs w:val="24"/>
              </w:rPr>
              <w:t>……………………………………………………………………...</w:t>
            </w:r>
          </w:p>
        </w:tc>
        <w:tc>
          <w:tcPr>
            <w:tcW w:w="950" w:type="dxa"/>
            <w:vAlign w:val="bottom"/>
          </w:tcPr>
          <w:p w:rsidR="00A91916" w:rsidRPr="008E759F" w:rsidRDefault="00A91916" w:rsidP="00F61BE2">
            <w:pPr>
              <w:pStyle w:val="Sous-titre"/>
              <w:jc w:val="center"/>
              <w:rPr>
                <w:rFonts w:ascii="Times New Roman" w:hAnsi="Times New Roman" w:cs="Times New Roman"/>
                <w:i w:val="0"/>
                <w:color w:val="262626" w:themeColor="text1" w:themeTint="D9"/>
                <w:sz w:val="22"/>
              </w:rPr>
            </w:pPr>
            <w:r>
              <w:rPr>
                <w:rFonts w:ascii="Times New Roman" w:hAnsi="Times New Roman" w:cs="Times New Roman"/>
                <w:i w:val="0"/>
                <w:color w:val="262626" w:themeColor="text1" w:themeTint="D9"/>
                <w:sz w:val="22"/>
              </w:rPr>
              <w:t>60</w:t>
            </w:r>
          </w:p>
        </w:tc>
      </w:tr>
      <w:tr w:rsidR="00A91916" w:rsidRPr="008E759F" w:rsidTr="00F61BE2">
        <w:trPr>
          <w:trHeight w:val="325"/>
        </w:trPr>
        <w:tc>
          <w:tcPr>
            <w:tcW w:w="8656" w:type="dxa"/>
          </w:tcPr>
          <w:p w:rsidR="00A91916" w:rsidRPr="005B38A9" w:rsidRDefault="00A91916" w:rsidP="00F61BE2">
            <w:pPr>
              <w:jc w:val="both"/>
              <w:rPr>
                <w:rFonts w:ascii="Times New Roman" w:hAnsi="Times New Roman" w:cs="Times New Roman"/>
                <w:sz w:val="24"/>
                <w:szCs w:val="24"/>
              </w:rPr>
            </w:pPr>
            <w:r w:rsidRPr="005B38A9">
              <w:rPr>
                <w:rFonts w:ascii="Times New Roman" w:hAnsi="Times New Roman" w:cs="Times New Roman"/>
                <w:sz w:val="24"/>
                <w:szCs w:val="24"/>
              </w:rPr>
              <w:t xml:space="preserve">Section 2 : Système </w:t>
            </w:r>
            <w:r>
              <w:rPr>
                <w:rFonts w:ascii="Times New Roman" w:hAnsi="Times New Roman" w:cs="Times New Roman"/>
                <w:sz w:val="24"/>
                <w:szCs w:val="24"/>
              </w:rPr>
              <w:t>C</w:t>
            </w:r>
            <w:r w:rsidRPr="005B38A9">
              <w:rPr>
                <w:rFonts w:ascii="Times New Roman" w:hAnsi="Times New Roman" w:cs="Times New Roman"/>
                <w:sz w:val="24"/>
                <w:szCs w:val="24"/>
              </w:rPr>
              <w:t xml:space="preserve">omptable </w:t>
            </w:r>
            <w:r>
              <w:rPr>
                <w:rFonts w:ascii="Times New Roman" w:hAnsi="Times New Roman" w:cs="Times New Roman"/>
                <w:sz w:val="24"/>
                <w:szCs w:val="24"/>
              </w:rPr>
              <w:t>F</w:t>
            </w:r>
            <w:r w:rsidRPr="005B38A9">
              <w:rPr>
                <w:rFonts w:ascii="Times New Roman" w:hAnsi="Times New Roman" w:cs="Times New Roman"/>
                <w:sz w:val="24"/>
                <w:szCs w:val="24"/>
              </w:rPr>
              <w:t>inancier (SCF) : Conventions et principes</w:t>
            </w:r>
            <w:r>
              <w:rPr>
                <w:rFonts w:ascii="Times New Roman" w:hAnsi="Times New Roman" w:cs="Times New Roman"/>
                <w:sz w:val="24"/>
                <w:szCs w:val="24"/>
              </w:rPr>
              <w:t>…………..</w:t>
            </w:r>
          </w:p>
        </w:tc>
        <w:tc>
          <w:tcPr>
            <w:tcW w:w="950" w:type="dxa"/>
            <w:vAlign w:val="center"/>
          </w:tcPr>
          <w:p w:rsidR="00A91916" w:rsidRPr="008E759F" w:rsidRDefault="00A91916" w:rsidP="00F61BE2">
            <w:pPr>
              <w:pStyle w:val="Sous-titre"/>
              <w:jc w:val="center"/>
              <w:rPr>
                <w:rFonts w:ascii="Times New Roman" w:hAnsi="Times New Roman" w:cs="Times New Roman"/>
                <w:i w:val="0"/>
                <w:color w:val="262626" w:themeColor="text1" w:themeTint="D9"/>
                <w:sz w:val="22"/>
              </w:rPr>
            </w:pPr>
            <w:r>
              <w:rPr>
                <w:rFonts w:ascii="Times New Roman" w:hAnsi="Times New Roman" w:cs="Times New Roman"/>
                <w:i w:val="0"/>
                <w:color w:val="262626" w:themeColor="text1" w:themeTint="D9"/>
                <w:sz w:val="22"/>
              </w:rPr>
              <w:t>62</w:t>
            </w:r>
          </w:p>
        </w:tc>
      </w:tr>
      <w:tr w:rsidR="00A91916" w:rsidRPr="008E759F" w:rsidTr="00F61BE2">
        <w:trPr>
          <w:trHeight w:val="325"/>
        </w:trPr>
        <w:tc>
          <w:tcPr>
            <w:tcW w:w="8656" w:type="dxa"/>
          </w:tcPr>
          <w:p w:rsidR="00A91916" w:rsidRPr="008E759F" w:rsidRDefault="00A91916" w:rsidP="00F61BE2">
            <w:pPr>
              <w:ind w:left="708"/>
              <w:jc w:val="both"/>
              <w:rPr>
                <w:rFonts w:ascii="Times New Roman" w:hAnsi="Times New Roman" w:cs="Times New Roman"/>
                <w:sz w:val="24"/>
                <w:szCs w:val="24"/>
              </w:rPr>
            </w:pPr>
            <w:r w:rsidRPr="005D3095">
              <w:rPr>
                <w:rFonts w:ascii="Times New Roman" w:hAnsi="Times New Roman" w:cs="Times New Roman"/>
                <w:sz w:val="24"/>
                <w:szCs w:val="24"/>
              </w:rPr>
              <w:t xml:space="preserve">2.1. Définition du système Comptable </w:t>
            </w:r>
            <w:r>
              <w:rPr>
                <w:rFonts w:ascii="Times New Roman" w:hAnsi="Times New Roman" w:cs="Times New Roman"/>
                <w:sz w:val="24"/>
                <w:szCs w:val="24"/>
              </w:rPr>
              <w:t>F</w:t>
            </w:r>
            <w:r w:rsidRPr="005D3095">
              <w:rPr>
                <w:rFonts w:ascii="Times New Roman" w:hAnsi="Times New Roman" w:cs="Times New Roman"/>
                <w:sz w:val="24"/>
                <w:szCs w:val="24"/>
              </w:rPr>
              <w:t>inancier (SCF)</w:t>
            </w:r>
            <w:r>
              <w:rPr>
                <w:rFonts w:ascii="Times New Roman" w:hAnsi="Times New Roman" w:cs="Times New Roman"/>
                <w:sz w:val="24"/>
                <w:szCs w:val="24"/>
              </w:rPr>
              <w:t>………………………….</w:t>
            </w:r>
            <w:r w:rsidRPr="005D3095">
              <w:rPr>
                <w:rFonts w:ascii="Times New Roman" w:hAnsi="Times New Roman" w:cs="Times New Roman"/>
                <w:sz w:val="24"/>
                <w:szCs w:val="24"/>
              </w:rPr>
              <w:t xml:space="preserve"> </w:t>
            </w:r>
          </w:p>
        </w:tc>
        <w:tc>
          <w:tcPr>
            <w:tcW w:w="950" w:type="dxa"/>
            <w:vAlign w:val="center"/>
          </w:tcPr>
          <w:p w:rsidR="00A91916" w:rsidRPr="008E759F" w:rsidRDefault="00A91916" w:rsidP="00F61BE2">
            <w:pPr>
              <w:pStyle w:val="Sous-titre"/>
              <w:jc w:val="center"/>
              <w:rPr>
                <w:rFonts w:ascii="Times New Roman" w:hAnsi="Times New Roman" w:cs="Times New Roman"/>
                <w:i w:val="0"/>
                <w:color w:val="262626" w:themeColor="text1" w:themeTint="D9"/>
                <w:sz w:val="22"/>
              </w:rPr>
            </w:pPr>
            <w:r>
              <w:rPr>
                <w:rFonts w:ascii="Times New Roman" w:hAnsi="Times New Roman" w:cs="Times New Roman"/>
                <w:i w:val="0"/>
                <w:color w:val="262626" w:themeColor="text1" w:themeTint="D9"/>
                <w:sz w:val="22"/>
              </w:rPr>
              <w:t>62</w:t>
            </w:r>
          </w:p>
        </w:tc>
      </w:tr>
      <w:tr w:rsidR="00A91916" w:rsidRPr="008E759F" w:rsidTr="00F61BE2">
        <w:trPr>
          <w:trHeight w:val="325"/>
        </w:trPr>
        <w:tc>
          <w:tcPr>
            <w:tcW w:w="8656" w:type="dxa"/>
          </w:tcPr>
          <w:p w:rsidR="00A91916" w:rsidRPr="008E759F" w:rsidRDefault="00A91916" w:rsidP="00F61BE2">
            <w:pPr>
              <w:ind w:left="708"/>
              <w:jc w:val="both"/>
              <w:rPr>
                <w:rFonts w:ascii="Times New Roman" w:hAnsi="Times New Roman" w:cs="Times New Roman"/>
                <w:sz w:val="24"/>
                <w:szCs w:val="24"/>
              </w:rPr>
            </w:pPr>
            <w:r w:rsidRPr="005D3095">
              <w:rPr>
                <w:rFonts w:ascii="Times New Roman" w:hAnsi="Times New Roman" w:cs="Times New Roman"/>
                <w:sz w:val="24"/>
                <w:szCs w:val="24"/>
              </w:rPr>
              <w:t>2.2. Conventions et principes comptables du SCF</w:t>
            </w:r>
            <w:r>
              <w:rPr>
                <w:rFonts w:ascii="Times New Roman" w:hAnsi="Times New Roman" w:cs="Times New Roman"/>
                <w:sz w:val="24"/>
                <w:szCs w:val="24"/>
              </w:rPr>
              <w:t>………………………………</w:t>
            </w:r>
          </w:p>
        </w:tc>
        <w:tc>
          <w:tcPr>
            <w:tcW w:w="950" w:type="dxa"/>
            <w:vAlign w:val="center"/>
          </w:tcPr>
          <w:p w:rsidR="00A91916" w:rsidRPr="008E759F" w:rsidRDefault="00A91916" w:rsidP="00F61BE2">
            <w:pPr>
              <w:pStyle w:val="Sous-titre"/>
              <w:jc w:val="center"/>
              <w:rPr>
                <w:rFonts w:ascii="Times New Roman" w:hAnsi="Times New Roman" w:cs="Times New Roman"/>
                <w:i w:val="0"/>
                <w:color w:val="262626" w:themeColor="text1" w:themeTint="D9"/>
                <w:sz w:val="22"/>
              </w:rPr>
            </w:pPr>
            <w:r>
              <w:rPr>
                <w:rFonts w:ascii="Times New Roman" w:hAnsi="Times New Roman" w:cs="Times New Roman"/>
                <w:i w:val="0"/>
                <w:color w:val="262626" w:themeColor="text1" w:themeTint="D9"/>
                <w:sz w:val="22"/>
              </w:rPr>
              <w:t>63</w:t>
            </w:r>
          </w:p>
        </w:tc>
      </w:tr>
      <w:tr w:rsidR="00A91916" w:rsidRPr="008E759F" w:rsidTr="00F61BE2">
        <w:trPr>
          <w:trHeight w:val="325"/>
        </w:trPr>
        <w:tc>
          <w:tcPr>
            <w:tcW w:w="8656" w:type="dxa"/>
          </w:tcPr>
          <w:p w:rsidR="00A91916" w:rsidRPr="008E759F" w:rsidRDefault="00A91916" w:rsidP="00F61BE2">
            <w:pPr>
              <w:ind w:left="708"/>
              <w:jc w:val="both"/>
              <w:rPr>
                <w:rFonts w:ascii="Times New Roman" w:hAnsi="Times New Roman" w:cs="Times New Roman"/>
                <w:sz w:val="24"/>
                <w:szCs w:val="24"/>
              </w:rPr>
            </w:pPr>
            <w:r w:rsidRPr="005D3095">
              <w:rPr>
                <w:rFonts w:ascii="Times New Roman" w:hAnsi="Times New Roman" w:cs="Times New Roman"/>
                <w:sz w:val="24"/>
                <w:szCs w:val="24"/>
              </w:rPr>
              <w:t>2.3. La convergence entre le SCF et les normes comptables internationales</w:t>
            </w:r>
            <w:r>
              <w:rPr>
                <w:rFonts w:ascii="Times New Roman" w:hAnsi="Times New Roman" w:cs="Times New Roman"/>
                <w:sz w:val="24"/>
                <w:szCs w:val="24"/>
              </w:rPr>
              <w:t>……</w:t>
            </w:r>
            <w:r w:rsidRPr="005D3095">
              <w:rPr>
                <w:rFonts w:ascii="Times New Roman" w:hAnsi="Times New Roman" w:cs="Times New Roman"/>
                <w:sz w:val="24"/>
                <w:szCs w:val="24"/>
              </w:rPr>
              <w:t xml:space="preserve"> </w:t>
            </w:r>
          </w:p>
        </w:tc>
        <w:tc>
          <w:tcPr>
            <w:tcW w:w="950" w:type="dxa"/>
            <w:vAlign w:val="center"/>
          </w:tcPr>
          <w:p w:rsidR="00A91916" w:rsidRPr="008E759F" w:rsidRDefault="00A91916" w:rsidP="00F61BE2">
            <w:pPr>
              <w:pStyle w:val="Sous-titre"/>
              <w:jc w:val="center"/>
              <w:rPr>
                <w:rFonts w:ascii="Times New Roman" w:hAnsi="Times New Roman" w:cs="Times New Roman"/>
                <w:i w:val="0"/>
                <w:color w:val="262626" w:themeColor="text1" w:themeTint="D9"/>
                <w:sz w:val="22"/>
              </w:rPr>
            </w:pPr>
            <w:r>
              <w:rPr>
                <w:rFonts w:ascii="Times New Roman" w:hAnsi="Times New Roman" w:cs="Times New Roman"/>
                <w:i w:val="0"/>
                <w:color w:val="262626" w:themeColor="text1" w:themeTint="D9"/>
                <w:sz w:val="22"/>
              </w:rPr>
              <w:t>68</w:t>
            </w:r>
          </w:p>
        </w:tc>
      </w:tr>
      <w:tr w:rsidR="00A91916" w:rsidRPr="008E759F" w:rsidTr="00F61BE2">
        <w:trPr>
          <w:trHeight w:val="325"/>
        </w:trPr>
        <w:tc>
          <w:tcPr>
            <w:tcW w:w="8656" w:type="dxa"/>
          </w:tcPr>
          <w:p w:rsidR="00A91916" w:rsidRPr="005B38A9" w:rsidRDefault="00A91916" w:rsidP="00F61BE2">
            <w:pPr>
              <w:jc w:val="both"/>
              <w:rPr>
                <w:rFonts w:ascii="Times New Roman" w:hAnsi="Times New Roman" w:cs="Times New Roman"/>
                <w:sz w:val="24"/>
                <w:szCs w:val="24"/>
              </w:rPr>
            </w:pPr>
            <w:r w:rsidRPr="005B38A9">
              <w:rPr>
                <w:rFonts w:ascii="Times New Roman" w:hAnsi="Times New Roman" w:cs="Times New Roman"/>
                <w:sz w:val="24"/>
                <w:szCs w:val="24"/>
              </w:rPr>
              <w:t>Section 3 : Les nouvelles dispositions du Système Comptable Financier et leur impact sur les Capitaux Propres et résultats des entreprises</w:t>
            </w:r>
            <w:r>
              <w:rPr>
                <w:rFonts w:ascii="Times New Roman" w:hAnsi="Times New Roman" w:cs="Times New Roman"/>
                <w:sz w:val="24"/>
                <w:szCs w:val="24"/>
              </w:rPr>
              <w:t>……………………………………..</w:t>
            </w:r>
          </w:p>
        </w:tc>
        <w:tc>
          <w:tcPr>
            <w:tcW w:w="950" w:type="dxa"/>
            <w:vAlign w:val="bottom"/>
          </w:tcPr>
          <w:p w:rsidR="00A91916" w:rsidRDefault="00A91916" w:rsidP="00F61BE2">
            <w:pPr>
              <w:pStyle w:val="Sous-titre"/>
              <w:jc w:val="center"/>
              <w:rPr>
                <w:rFonts w:ascii="Times New Roman" w:hAnsi="Times New Roman" w:cs="Times New Roman"/>
                <w:i w:val="0"/>
                <w:color w:val="262626" w:themeColor="text1" w:themeTint="D9"/>
                <w:sz w:val="22"/>
              </w:rPr>
            </w:pPr>
          </w:p>
          <w:p w:rsidR="00A91916" w:rsidRPr="008E759F" w:rsidRDefault="00A91916" w:rsidP="00F61BE2">
            <w:pPr>
              <w:pStyle w:val="Sous-titre"/>
              <w:jc w:val="center"/>
              <w:rPr>
                <w:rFonts w:ascii="Times New Roman" w:hAnsi="Times New Roman" w:cs="Times New Roman"/>
                <w:i w:val="0"/>
                <w:color w:val="262626" w:themeColor="text1" w:themeTint="D9"/>
                <w:sz w:val="22"/>
              </w:rPr>
            </w:pPr>
            <w:r>
              <w:rPr>
                <w:rFonts w:ascii="Times New Roman" w:hAnsi="Times New Roman" w:cs="Times New Roman"/>
                <w:i w:val="0"/>
                <w:color w:val="262626" w:themeColor="text1" w:themeTint="D9"/>
                <w:sz w:val="22"/>
              </w:rPr>
              <w:t>70</w:t>
            </w:r>
          </w:p>
        </w:tc>
      </w:tr>
      <w:tr w:rsidR="00A91916" w:rsidRPr="008E759F" w:rsidTr="00F61BE2">
        <w:trPr>
          <w:trHeight w:val="325"/>
        </w:trPr>
        <w:tc>
          <w:tcPr>
            <w:tcW w:w="8656" w:type="dxa"/>
          </w:tcPr>
          <w:p w:rsidR="00A91916" w:rsidRPr="008E759F" w:rsidRDefault="00A91916" w:rsidP="00F61BE2">
            <w:pPr>
              <w:ind w:left="708"/>
              <w:jc w:val="both"/>
              <w:rPr>
                <w:rFonts w:ascii="Times New Roman" w:hAnsi="Times New Roman" w:cs="Times New Roman"/>
                <w:sz w:val="24"/>
                <w:szCs w:val="24"/>
              </w:rPr>
            </w:pPr>
            <w:r w:rsidRPr="005D3095">
              <w:rPr>
                <w:rFonts w:ascii="Times New Roman" w:hAnsi="Times New Roman" w:cs="Times New Roman"/>
                <w:sz w:val="24"/>
                <w:szCs w:val="24"/>
              </w:rPr>
              <w:t>3.1. Les normes comptables du SCF</w:t>
            </w:r>
            <w:r>
              <w:rPr>
                <w:rFonts w:ascii="Times New Roman" w:hAnsi="Times New Roman" w:cs="Times New Roman"/>
                <w:sz w:val="24"/>
                <w:szCs w:val="24"/>
              </w:rPr>
              <w:t>……………………………………………..</w:t>
            </w:r>
          </w:p>
        </w:tc>
        <w:tc>
          <w:tcPr>
            <w:tcW w:w="950" w:type="dxa"/>
            <w:vAlign w:val="center"/>
          </w:tcPr>
          <w:p w:rsidR="00A91916" w:rsidRPr="008E759F" w:rsidRDefault="00A91916" w:rsidP="00F61BE2">
            <w:pPr>
              <w:pStyle w:val="Sous-titre"/>
              <w:jc w:val="center"/>
              <w:rPr>
                <w:rFonts w:ascii="Times New Roman" w:hAnsi="Times New Roman" w:cs="Times New Roman"/>
                <w:i w:val="0"/>
                <w:color w:val="262626" w:themeColor="text1" w:themeTint="D9"/>
                <w:sz w:val="22"/>
              </w:rPr>
            </w:pPr>
            <w:r>
              <w:rPr>
                <w:rFonts w:ascii="Times New Roman" w:hAnsi="Times New Roman" w:cs="Times New Roman"/>
                <w:i w:val="0"/>
                <w:color w:val="262626" w:themeColor="text1" w:themeTint="D9"/>
                <w:sz w:val="22"/>
              </w:rPr>
              <w:t>70</w:t>
            </w:r>
          </w:p>
        </w:tc>
      </w:tr>
      <w:tr w:rsidR="00A91916" w:rsidRPr="008E759F" w:rsidTr="00F61BE2">
        <w:trPr>
          <w:trHeight w:val="325"/>
        </w:trPr>
        <w:tc>
          <w:tcPr>
            <w:tcW w:w="8656" w:type="dxa"/>
          </w:tcPr>
          <w:p w:rsidR="00A91916" w:rsidRPr="008E759F" w:rsidRDefault="00A91916" w:rsidP="00F61BE2">
            <w:pPr>
              <w:ind w:left="708"/>
              <w:jc w:val="both"/>
              <w:rPr>
                <w:rFonts w:ascii="Times New Roman" w:hAnsi="Times New Roman" w:cs="Times New Roman"/>
                <w:sz w:val="24"/>
                <w:szCs w:val="24"/>
              </w:rPr>
            </w:pPr>
            <w:r w:rsidRPr="005D3095">
              <w:rPr>
                <w:rFonts w:ascii="Times New Roman" w:hAnsi="Times New Roman" w:cs="Times New Roman"/>
                <w:sz w:val="24"/>
                <w:szCs w:val="24"/>
              </w:rPr>
              <w:t>3.2. Divergences entre l’ancien Plan Comptable National (PCN) et le Système Comptable Financier (SCF)</w:t>
            </w:r>
            <w:r>
              <w:rPr>
                <w:rFonts w:ascii="Times New Roman" w:hAnsi="Times New Roman" w:cs="Times New Roman"/>
                <w:sz w:val="24"/>
                <w:szCs w:val="24"/>
              </w:rPr>
              <w:t>…………………………………………………........</w:t>
            </w:r>
          </w:p>
        </w:tc>
        <w:tc>
          <w:tcPr>
            <w:tcW w:w="950" w:type="dxa"/>
            <w:vAlign w:val="bottom"/>
          </w:tcPr>
          <w:p w:rsidR="00A91916" w:rsidRPr="008E759F" w:rsidRDefault="00A91916" w:rsidP="00F61BE2">
            <w:pPr>
              <w:pStyle w:val="Sous-titre"/>
              <w:jc w:val="center"/>
              <w:rPr>
                <w:rFonts w:ascii="Times New Roman" w:hAnsi="Times New Roman" w:cs="Times New Roman"/>
                <w:i w:val="0"/>
                <w:color w:val="262626" w:themeColor="text1" w:themeTint="D9"/>
                <w:sz w:val="22"/>
              </w:rPr>
            </w:pPr>
            <w:r>
              <w:rPr>
                <w:rFonts w:ascii="Times New Roman" w:hAnsi="Times New Roman" w:cs="Times New Roman"/>
                <w:i w:val="0"/>
                <w:color w:val="262626" w:themeColor="text1" w:themeTint="D9"/>
                <w:sz w:val="22"/>
              </w:rPr>
              <w:t>74</w:t>
            </w:r>
          </w:p>
        </w:tc>
      </w:tr>
      <w:tr w:rsidR="00A91916" w:rsidRPr="008E759F" w:rsidTr="00F61BE2">
        <w:trPr>
          <w:trHeight w:val="325"/>
        </w:trPr>
        <w:tc>
          <w:tcPr>
            <w:tcW w:w="8656" w:type="dxa"/>
          </w:tcPr>
          <w:p w:rsidR="00A91916" w:rsidRPr="008E759F" w:rsidRDefault="00A91916" w:rsidP="00F61BE2">
            <w:pPr>
              <w:ind w:left="708"/>
              <w:jc w:val="both"/>
              <w:rPr>
                <w:rFonts w:ascii="Times New Roman" w:hAnsi="Times New Roman" w:cs="Times New Roman"/>
                <w:sz w:val="24"/>
                <w:szCs w:val="24"/>
              </w:rPr>
            </w:pPr>
            <w:r w:rsidRPr="005D3095">
              <w:rPr>
                <w:rFonts w:ascii="Times New Roman" w:hAnsi="Times New Roman" w:cs="Times New Roman"/>
                <w:sz w:val="24"/>
                <w:szCs w:val="24"/>
              </w:rPr>
              <w:t>3.3. L’impact d’application des normes du Système Comptable Financier sur les capitaux propres et résultats des entreprises</w:t>
            </w:r>
            <w:r>
              <w:rPr>
                <w:rFonts w:ascii="Times New Roman" w:hAnsi="Times New Roman" w:cs="Times New Roman"/>
                <w:sz w:val="24"/>
                <w:szCs w:val="24"/>
              </w:rPr>
              <w:t>……………………………………...</w:t>
            </w:r>
          </w:p>
        </w:tc>
        <w:tc>
          <w:tcPr>
            <w:tcW w:w="950" w:type="dxa"/>
            <w:vAlign w:val="bottom"/>
          </w:tcPr>
          <w:p w:rsidR="00A91916" w:rsidRPr="008E759F" w:rsidRDefault="00A91916" w:rsidP="00F61BE2">
            <w:pPr>
              <w:pStyle w:val="Sous-titre"/>
              <w:jc w:val="center"/>
              <w:rPr>
                <w:rFonts w:ascii="Times New Roman" w:hAnsi="Times New Roman" w:cs="Times New Roman"/>
                <w:i w:val="0"/>
                <w:color w:val="262626" w:themeColor="text1" w:themeTint="D9"/>
                <w:sz w:val="22"/>
              </w:rPr>
            </w:pPr>
            <w:r>
              <w:rPr>
                <w:rFonts w:ascii="Times New Roman" w:hAnsi="Times New Roman" w:cs="Times New Roman"/>
                <w:i w:val="0"/>
                <w:color w:val="262626" w:themeColor="text1" w:themeTint="D9"/>
                <w:sz w:val="22"/>
              </w:rPr>
              <w:t>77</w:t>
            </w:r>
          </w:p>
        </w:tc>
      </w:tr>
      <w:tr w:rsidR="00A91916" w:rsidRPr="008E759F" w:rsidTr="00F61BE2">
        <w:trPr>
          <w:trHeight w:val="325"/>
        </w:trPr>
        <w:tc>
          <w:tcPr>
            <w:tcW w:w="8656" w:type="dxa"/>
          </w:tcPr>
          <w:p w:rsidR="00A91916" w:rsidRPr="001622A0" w:rsidRDefault="00A91916" w:rsidP="00F61BE2">
            <w:pPr>
              <w:pStyle w:val="Sous-titre"/>
              <w:jc w:val="both"/>
              <w:rPr>
                <w:rFonts w:ascii="Times New Roman" w:hAnsi="Times New Roman" w:cs="Times New Roman"/>
                <w:i w:val="0"/>
              </w:rPr>
            </w:pPr>
            <w:r w:rsidRPr="009045C0">
              <w:rPr>
                <w:rFonts w:ascii="Times New Roman" w:hAnsi="Times New Roman" w:cs="Times New Roman"/>
              </w:rPr>
              <w:t xml:space="preserve">Chapitre 4 : La transition au nouveau Système Comptable Financier et son Impact sur les comptes des sociétés du Groupe </w:t>
            </w:r>
            <w:proofErr w:type="spellStart"/>
            <w:r w:rsidRPr="009045C0">
              <w:rPr>
                <w:rFonts w:ascii="Times New Roman" w:hAnsi="Times New Roman" w:cs="Times New Roman"/>
              </w:rPr>
              <w:t>Sonelgaz</w:t>
            </w:r>
            <w:proofErr w:type="spellEnd"/>
            <w:r>
              <w:rPr>
                <w:rFonts w:ascii="Times New Roman" w:hAnsi="Times New Roman" w:cs="Times New Roman"/>
                <w:i w:val="0"/>
              </w:rPr>
              <w:t>…………………….</w:t>
            </w:r>
          </w:p>
        </w:tc>
        <w:tc>
          <w:tcPr>
            <w:tcW w:w="950" w:type="dxa"/>
            <w:vAlign w:val="bottom"/>
          </w:tcPr>
          <w:p w:rsidR="00A91916" w:rsidRPr="008E759F" w:rsidRDefault="00A91916" w:rsidP="00F61BE2">
            <w:pPr>
              <w:pStyle w:val="Sous-titre"/>
              <w:jc w:val="center"/>
              <w:rPr>
                <w:rFonts w:ascii="Times New Roman" w:hAnsi="Times New Roman" w:cs="Times New Roman"/>
                <w:i w:val="0"/>
                <w:color w:val="262626" w:themeColor="text1" w:themeTint="D9"/>
                <w:sz w:val="22"/>
              </w:rPr>
            </w:pPr>
          </w:p>
        </w:tc>
      </w:tr>
      <w:tr w:rsidR="00A91916" w:rsidRPr="008E759F" w:rsidTr="00F61BE2">
        <w:trPr>
          <w:trHeight w:val="325"/>
        </w:trPr>
        <w:tc>
          <w:tcPr>
            <w:tcW w:w="8656" w:type="dxa"/>
          </w:tcPr>
          <w:p w:rsidR="00A91916" w:rsidRPr="005B38A9" w:rsidRDefault="00A91916" w:rsidP="00F61BE2">
            <w:pPr>
              <w:jc w:val="both"/>
              <w:rPr>
                <w:rFonts w:ascii="Times New Roman" w:hAnsi="Times New Roman" w:cs="Times New Roman"/>
                <w:sz w:val="24"/>
                <w:szCs w:val="24"/>
              </w:rPr>
            </w:pPr>
            <w:r w:rsidRPr="005B38A9">
              <w:rPr>
                <w:rFonts w:ascii="Times New Roman" w:hAnsi="Times New Roman" w:cs="Times New Roman"/>
                <w:sz w:val="24"/>
                <w:szCs w:val="24"/>
              </w:rPr>
              <w:t>Section 1 : Présentation du Groupe SONELGAZ</w:t>
            </w:r>
            <w:r>
              <w:rPr>
                <w:rFonts w:ascii="Times New Roman" w:hAnsi="Times New Roman" w:cs="Times New Roman"/>
                <w:sz w:val="24"/>
                <w:szCs w:val="24"/>
              </w:rPr>
              <w:t>………………………………………</w:t>
            </w:r>
          </w:p>
        </w:tc>
        <w:tc>
          <w:tcPr>
            <w:tcW w:w="950" w:type="dxa"/>
            <w:vAlign w:val="center"/>
          </w:tcPr>
          <w:p w:rsidR="00A91916" w:rsidRPr="008E759F" w:rsidRDefault="00A91916" w:rsidP="00F61BE2">
            <w:pPr>
              <w:pStyle w:val="Sous-titre"/>
              <w:jc w:val="center"/>
              <w:rPr>
                <w:rFonts w:ascii="Times New Roman" w:hAnsi="Times New Roman" w:cs="Times New Roman"/>
                <w:i w:val="0"/>
                <w:color w:val="262626" w:themeColor="text1" w:themeTint="D9"/>
                <w:sz w:val="22"/>
              </w:rPr>
            </w:pPr>
            <w:r>
              <w:rPr>
                <w:rFonts w:ascii="Times New Roman" w:hAnsi="Times New Roman" w:cs="Times New Roman"/>
                <w:i w:val="0"/>
                <w:color w:val="262626" w:themeColor="text1" w:themeTint="D9"/>
                <w:sz w:val="22"/>
              </w:rPr>
              <w:t>92</w:t>
            </w:r>
          </w:p>
        </w:tc>
      </w:tr>
      <w:tr w:rsidR="00A91916" w:rsidRPr="008E759F" w:rsidTr="00F61BE2">
        <w:trPr>
          <w:trHeight w:val="325"/>
        </w:trPr>
        <w:tc>
          <w:tcPr>
            <w:tcW w:w="8656" w:type="dxa"/>
          </w:tcPr>
          <w:p w:rsidR="00A91916" w:rsidRPr="009045C0" w:rsidRDefault="00A91916" w:rsidP="00F61BE2">
            <w:pPr>
              <w:ind w:left="708"/>
              <w:jc w:val="both"/>
              <w:rPr>
                <w:rFonts w:ascii="Times New Roman" w:hAnsi="Times New Roman" w:cs="Times New Roman"/>
                <w:bCs/>
                <w:sz w:val="24"/>
                <w:szCs w:val="24"/>
              </w:rPr>
            </w:pPr>
            <w:r w:rsidRPr="009045C0">
              <w:rPr>
                <w:rFonts w:ascii="Times New Roman" w:hAnsi="Times New Roman" w:cs="Times New Roman"/>
                <w:bCs/>
                <w:sz w:val="24"/>
                <w:szCs w:val="24"/>
              </w:rPr>
              <w:t>1.1.  Historique et évolution de la SONELGAZ</w:t>
            </w:r>
            <w:r>
              <w:rPr>
                <w:rFonts w:ascii="Times New Roman" w:hAnsi="Times New Roman" w:cs="Times New Roman"/>
                <w:bCs/>
                <w:sz w:val="24"/>
                <w:szCs w:val="24"/>
              </w:rPr>
              <w:t>…………………………………</w:t>
            </w:r>
          </w:p>
        </w:tc>
        <w:tc>
          <w:tcPr>
            <w:tcW w:w="950" w:type="dxa"/>
            <w:vAlign w:val="center"/>
          </w:tcPr>
          <w:p w:rsidR="00A91916" w:rsidRPr="008E759F" w:rsidRDefault="00A91916" w:rsidP="00F61BE2">
            <w:pPr>
              <w:pStyle w:val="Sous-titre"/>
              <w:jc w:val="center"/>
              <w:rPr>
                <w:rFonts w:ascii="Times New Roman" w:hAnsi="Times New Roman" w:cs="Times New Roman"/>
                <w:i w:val="0"/>
                <w:color w:val="262626" w:themeColor="text1" w:themeTint="D9"/>
                <w:sz w:val="22"/>
              </w:rPr>
            </w:pPr>
            <w:r>
              <w:rPr>
                <w:rFonts w:ascii="Times New Roman" w:hAnsi="Times New Roman" w:cs="Times New Roman"/>
                <w:i w:val="0"/>
                <w:color w:val="262626" w:themeColor="text1" w:themeTint="D9"/>
                <w:sz w:val="22"/>
              </w:rPr>
              <w:t>92</w:t>
            </w:r>
          </w:p>
        </w:tc>
      </w:tr>
      <w:tr w:rsidR="00A91916" w:rsidRPr="008E759F" w:rsidTr="00F61BE2">
        <w:trPr>
          <w:trHeight w:val="325"/>
        </w:trPr>
        <w:tc>
          <w:tcPr>
            <w:tcW w:w="8656" w:type="dxa"/>
          </w:tcPr>
          <w:p w:rsidR="00A91916" w:rsidRPr="009045C0" w:rsidRDefault="00A91916" w:rsidP="00F61BE2">
            <w:pPr>
              <w:ind w:left="708"/>
              <w:jc w:val="both"/>
              <w:rPr>
                <w:rFonts w:ascii="Times New Roman" w:hAnsi="Times New Roman" w:cs="Times New Roman"/>
                <w:sz w:val="24"/>
                <w:szCs w:val="24"/>
              </w:rPr>
            </w:pPr>
            <w:r w:rsidRPr="009045C0">
              <w:rPr>
                <w:rFonts w:ascii="Times New Roman" w:hAnsi="Times New Roman" w:cs="Times New Roman"/>
                <w:bCs/>
                <w:sz w:val="24"/>
                <w:szCs w:val="24"/>
              </w:rPr>
              <w:t>1.2. L’organisation et les Activités du Groupe SONELGAZ</w:t>
            </w:r>
            <w:r>
              <w:rPr>
                <w:rFonts w:ascii="Times New Roman" w:hAnsi="Times New Roman" w:cs="Times New Roman"/>
                <w:bCs/>
                <w:sz w:val="24"/>
                <w:szCs w:val="24"/>
              </w:rPr>
              <w:t>……………………</w:t>
            </w:r>
          </w:p>
        </w:tc>
        <w:tc>
          <w:tcPr>
            <w:tcW w:w="950" w:type="dxa"/>
            <w:vAlign w:val="center"/>
          </w:tcPr>
          <w:p w:rsidR="00A91916" w:rsidRPr="008E759F" w:rsidRDefault="00A91916" w:rsidP="00F61BE2">
            <w:pPr>
              <w:pStyle w:val="Sous-titre"/>
              <w:jc w:val="center"/>
              <w:rPr>
                <w:rFonts w:ascii="Times New Roman" w:hAnsi="Times New Roman" w:cs="Times New Roman"/>
                <w:i w:val="0"/>
                <w:color w:val="262626" w:themeColor="text1" w:themeTint="D9"/>
                <w:sz w:val="22"/>
              </w:rPr>
            </w:pPr>
            <w:r>
              <w:rPr>
                <w:rFonts w:ascii="Times New Roman" w:hAnsi="Times New Roman" w:cs="Times New Roman"/>
                <w:i w:val="0"/>
                <w:color w:val="262626" w:themeColor="text1" w:themeTint="D9"/>
                <w:sz w:val="22"/>
              </w:rPr>
              <w:t>93</w:t>
            </w:r>
          </w:p>
        </w:tc>
      </w:tr>
      <w:tr w:rsidR="00A91916" w:rsidRPr="008E759F" w:rsidTr="00F61BE2">
        <w:trPr>
          <w:trHeight w:val="325"/>
        </w:trPr>
        <w:tc>
          <w:tcPr>
            <w:tcW w:w="8656" w:type="dxa"/>
          </w:tcPr>
          <w:p w:rsidR="00A91916" w:rsidRPr="005B38A9" w:rsidRDefault="00A91916" w:rsidP="00F61BE2">
            <w:pPr>
              <w:jc w:val="both"/>
              <w:rPr>
                <w:rFonts w:ascii="Times New Roman" w:hAnsi="Times New Roman" w:cs="Times New Roman"/>
                <w:sz w:val="24"/>
                <w:szCs w:val="24"/>
              </w:rPr>
            </w:pPr>
            <w:r w:rsidRPr="005B38A9">
              <w:rPr>
                <w:rFonts w:ascii="Times New Roman" w:hAnsi="Times New Roman" w:cs="Times New Roman"/>
                <w:sz w:val="24"/>
                <w:szCs w:val="24"/>
              </w:rPr>
              <w:t xml:space="preserve">Section 2 : Organisation du Passage au SCF, diagnostic et options retenues au sein du Groupe </w:t>
            </w:r>
            <w:proofErr w:type="spellStart"/>
            <w:r w:rsidRPr="005B38A9">
              <w:rPr>
                <w:rFonts w:ascii="Times New Roman" w:hAnsi="Times New Roman" w:cs="Times New Roman"/>
                <w:sz w:val="24"/>
                <w:szCs w:val="24"/>
              </w:rPr>
              <w:t>Sonelgaz</w:t>
            </w:r>
            <w:proofErr w:type="spellEnd"/>
            <w:r>
              <w:rPr>
                <w:rFonts w:ascii="Times New Roman" w:hAnsi="Times New Roman" w:cs="Times New Roman"/>
                <w:sz w:val="24"/>
                <w:szCs w:val="24"/>
              </w:rPr>
              <w:t>…………………………………………………………………………</w:t>
            </w:r>
          </w:p>
        </w:tc>
        <w:tc>
          <w:tcPr>
            <w:tcW w:w="950" w:type="dxa"/>
            <w:vAlign w:val="bottom"/>
          </w:tcPr>
          <w:p w:rsidR="00A91916" w:rsidRPr="008E759F" w:rsidRDefault="00A91916" w:rsidP="00F61BE2">
            <w:pPr>
              <w:pStyle w:val="Sous-titre"/>
              <w:jc w:val="center"/>
              <w:rPr>
                <w:rFonts w:ascii="Times New Roman" w:hAnsi="Times New Roman" w:cs="Times New Roman"/>
                <w:i w:val="0"/>
                <w:color w:val="262626" w:themeColor="text1" w:themeTint="D9"/>
                <w:sz w:val="22"/>
              </w:rPr>
            </w:pPr>
            <w:r>
              <w:rPr>
                <w:rFonts w:ascii="Times New Roman" w:hAnsi="Times New Roman" w:cs="Times New Roman"/>
                <w:i w:val="0"/>
                <w:color w:val="262626" w:themeColor="text1" w:themeTint="D9"/>
                <w:sz w:val="22"/>
              </w:rPr>
              <w:t>96</w:t>
            </w:r>
          </w:p>
        </w:tc>
      </w:tr>
      <w:tr w:rsidR="00A91916" w:rsidRPr="008E759F" w:rsidTr="00F61BE2">
        <w:trPr>
          <w:trHeight w:val="325"/>
        </w:trPr>
        <w:tc>
          <w:tcPr>
            <w:tcW w:w="8656" w:type="dxa"/>
          </w:tcPr>
          <w:p w:rsidR="00A91916" w:rsidRPr="009045C0" w:rsidRDefault="00A91916" w:rsidP="00F61BE2">
            <w:pPr>
              <w:ind w:left="708"/>
              <w:jc w:val="both"/>
              <w:rPr>
                <w:rFonts w:ascii="Times New Roman" w:hAnsi="Times New Roman" w:cs="Times New Roman"/>
                <w:sz w:val="24"/>
                <w:szCs w:val="24"/>
              </w:rPr>
            </w:pPr>
            <w:r w:rsidRPr="009045C0">
              <w:rPr>
                <w:rFonts w:ascii="Times New Roman" w:hAnsi="Times New Roman" w:cs="Times New Roman"/>
                <w:sz w:val="24"/>
                <w:szCs w:val="24"/>
              </w:rPr>
              <w:t xml:space="preserve">2.1. Organisation du passage au SCF au sein du Groupe </w:t>
            </w:r>
            <w:proofErr w:type="spellStart"/>
            <w:r w:rsidRPr="009045C0">
              <w:rPr>
                <w:rFonts w:ascii="Times New Roman" w:hAnsi="Times New Roman" w:cs="Times New Roman"/>
                <w:sz w:val="24"/>
                <w:szCs w:val="24"/>
              </w:rPr>
              <w:t>Sonelgaz</w:t>
            </w:r>
            <w:proofErr w:type="spellEnd"/>
            <w:r>
              <w:rPr>
                <w:rFonts w:ascii="Times New Roman" w:hAnsi="Times New Roman" w:cs="Times New Roman"/>
                <w:sz w:val="24"/>
                <w:szCs w:val="24"/>
              </w:rPr>
              <w:t>……………</w:t>
            </w:r>
          </w:p>
        </w:tc>
        <w:tc>
          <w:tcPr>
            <w:tcW w:w="950" w:type="dxa"/>
            <w:vAlign w:val="center"/>
          </w:tcPr>
          <w:p w:rsidR="00A91916" w:rsidRPr="008E759F" w:rsidRDefault="00A91916" w:rsidP="00F61BE2">
            <w:pPr>
              <w:pStyle w:val="Sous-titre"/>
              <w:jc w:val="center"/>
              <w:rPr>
                <w:rFonts w:ascii="Times New Roman" w:hAnsi="Times New Roman" w:cs="Times New Roman"/>
                <w:i w:val="0"/>
                <w:color w:val="262626" w:themeColor="text1" w:themeTint="D9"/>
                <w:sz w:val="22"/>
              </w:rPr>
            </w:pPr>
            <w:r>
              <w:rPr>
                <w:rFonts w:ascii="Times New Roman" w:hAnsi="Times New Roman" w:cs="Times New Roman"/>
                <w:i w:val="0"/>
                <w:color w:val="262626" w:themeColor="text1" w:themeTint="D9"/>
                <w:sz w:val="22"/>
              </w:rPr>
              <w:t>96</w:t>
            </w:r>
          </w:p>
        </w:tc>
      </w:tr>
      <w:tr w:rsidR="00A91916" w:rsidRPr="008E759F" w:rsidTr="00F61BE2">
        <w:trPr>
          <w:trHeight w:val="325"/>
        </w:trPr>
        <w:tc>
          <w:tcPr>
            <w:tcW w:w="8656" w:type="dxa"/>
          </w:tcPr>
          <w:p w:rsidR="00A91916" w:rsidRPr="009045C0" w:rsidRDefault="00A91916" w:rsidP="00F61BE2">
            <w:pPr>
              <w:ind w:left="708"/>
              <w:jc w:val="both"/>
              <w:rPr>
                <w:rFonts w:ascii="Times New Roman" w:hAnsi="Times New Roman" w:cs="Times New Roman"/>
                <w:sz w:val="24"/>
                <w:szCs w:val="24"/>
              </w:rPr>
            </w:pPr>
            <w:r w:rsidRPr="009045C0">
              <w:rPr>
                <w:rFonts w:ascii="Times New Roman" w:hAnsi="Times New Roman" w:cs="Times New Roman"/>
                <w:sz w:val="24"/>
                <w:szCs w:val="24"/>
              </w:rPr>
              <w:t>2.2. Diagnostic et options retenues</w:t>
            </w:r>
            <w:r>
              <w:rPr>
                <w:rFonts w:ascii="Times New Roman" w:hAnsi="Times New Roman" w:cs="Times New Roman"/>
                <w:sz w:val="24"/>
                <w:szCs w:val="24"/>
              </w:rPr>
              <w:t>………………………………………………</w:t>
            </w:r>
          </w:p>
        </w:tc>
        <w:tc>
          <w:tcPr>
            <w:tcW w:w="950" w:type="dxa"/>
            <w:vAlign w:val="center"/>
          </w:tcPr>
          <w:p w:rsidR="00A91916" w:rsidRPr="008E759F" w:rsidRDefault="00A91916" w:rsidP="00F61BE2">
            <w:pPr>
              <w:pStyle w:val="Sous-titre"/>
              <w:jc w:val="center"/>
              <w:rPr>
                <w:rFonts w:ascii="Times New Roman" w:hAnsi="Times New Roman" w:cs="Times New Roman"/>
                <w:i w:val="0"/>
                <w:color w:val="262626" w:themeColor="text1" w:themeTint="D9"/>
                <w:sz w:val="22"/>
              </w:rPr>
            </w:pPr>
            <w:r>
              <w:rPr>
                <w:rFonts w:ascii="Times New Roman" w:hAnsi="Times New Roman" w:cs="Times New Roman"/>
                <w:i w:val="0"/>
                <w:color w:val="262626" w:themeColor="text1" w:themeTint="D9"/>
                <w:sz w:val="22"/>
              </w:rPr>
              <w:t>97</w:t>
            </w:r>
          </w:p>
        </w:tc>
      </w:tr>
      <w:tr w:rsidR="00A91916" w:rsidRPr="008E759F" w:rsidTr="00F61BE2">
        <w:trPr>
          <w:trHeight w:val="325"/>
        </w:trPr>
        <w:tc>
          <w:tcPr>
            <w:tcW w:w="8656" w:type="dxa"/>
          </w:tcPr>
          <w:p w:rsidR="00A91916" w:rsidRPr="005B38A9" w:rsidRDefault="00A91916" w:rsidP="00F61BE2">
            <w:pPr>
              <w:jc w:val="both"/>
              <w:rPr>
                <w:rFonts w:ascii="Times New Roman" w:hAnsi="Times New Roman" w:cs="Times New Roman"/>
                <w:sz w:val="24"/>
                <w:szCs w:val="24"/>
              </w:rPr>
            </w:pPr>
            <w:r w:rsidRPr="005B38A9">
              <w:rPr>
                <w:rFonts w:ascii="Times New Roman" w:hAnsi="Times New Roman" w:cs="Times New Roman"/>
                <w:sz w:val="24"/>
                <w:szCs w:val="24"/>
              </w:rPr>
              <w:t xml:space="preserve">Section 3 : Impact du SCF sur les Capitaux Propres et résultats des sociétés du Groupe </w:t>
            </w:r>
            <w:proofErr w:type="spellStart"/>
            <w:r w:rsidRPr="005B38A9">
              <w:rPr>
                <w:rFonts w:ascii="Times New Roman" w:hAnsi="Times New Roman" w:cs="Times New Roman"/>
                <w:sz w:val="24"/>
                <w:szCs w:val="24"/>
              </w:rPr>
              <w:t>Sonelgaz</w:t>
            </w:r>
            <w:proofErr w:type="spellEnd"/>
            <w:r>
              <w:rPr>
                <w:rFonts w:ascii="Times New Roman" w:hAnsi="Times New Roman" w:cs="Times New Roman"/>
                <w:sz w:val="24"/>
                <w:szCs w:val="24"/>
              </w:rPr>
              <w:t>…………………………………………………………………………………..</w:t>
            </w:r>
          </w:p>
        </w:tc>
        <w:tc>
          <w:tcPr>
            <w:tcW w:w="950" w:type="dxa"/>
            <w:vAlign w:val="bottom"/>
          </w:tcPr>
          <w:p w:rsidR="00A91916" w:rsidRPr="008E759F" w:rsidRDefault="00A91916" w:rsidP="00F61BE2">
            <w:pPr>
              <w:pStyle w:val="Sous-titre"/>
              <w:jc w:val="center"/>
              <w:rPr>
                <w:rFonts w:ascii="Times New Roman" w:hAnsi="Times New Roman" w:cs="Times New Roman"/>
                <w:i w:val="0"/>
                <w:color w:val="262626" w:themeColor="text1" w:themeTint="D9"/>
                <w:sz w:val="22"/>
              </w:rPr>
            </w:pPr>
            <w:r>
              <w:rPr>
                <w:rFonts w:ascii="Times New Roman" w:hAnsi="Times New Roman" w:cs="Times New Roman"/>
                <w:i w:val="0"/>
                <w:color w:val="262626" w:themeColor="text1" w:themeTint="D9"/>
                <w:sz w:val="22"/>
              </w:rPr>
              <w:t>103</w:t>
            </w:r>
          </w:p>
        </w:tc>
      </w:tr>
      <w:tr w:rsidR="00A91916" w:rsidRPr="008E759F" w:rsidTr="00F61BE2">
        <w:trPr>
          <w:trHeight w:val="325"/>
        </w:trPr>
        <w:tc>
          <w:tcPr>
            <w:tcW w:w="8656" w:type="dxa"/>
          </w:tcPr>
          <w:p w:rsidR="00A91916" w:rsidRPr="009045C0" w:rsidRDefault="00A91916" w:rsidP="00F61BE2">
            <w:pPr>
              <w:ind w:left="708"/>
              <w:jc w:val="both"/>
              <w:rPr>
                <w:rFonts w:ascii="Times New Roman" w:hAnsi="Times New Roman" w:cs="Times New Roman"/>
                <w:sz w:val="24"/>
                <w:szCs w:val="24"/>
              </w:rPr>
            </w:pPr>
            <w:r w:rsidRPr="009045C0">
              <w:rPr>
                <w:rFonts w:ascii="Times New Roman" w:hAnsi="Times New Roman" w:cs="Times New Roman"/>
                <w:sz w:val="24"/>
                <w:szCs w:val="24"/>
              </w:rPr>
              <w:t>3.1. Méthode de recherche</w:t>
            </w:r>
            <w:r>
              <w:rPr>
                <w:rFonts w:ascii="Times New Roman" w:hAnsi="Times New Roman" w:cs="Times New Roman"/>
                <w:sz w:val="24"/>
                <w:szCs w:val="24"/>
              </w:rPr>
              <w:t>………………………………………………………..</w:t>
            </w:r>
            <w:r w:rsidRPr="009045C0">
              <w:rPr>
                <w:rFonts w:ascii="Times New Roman" w:hAnsi="Times New Roman" w:cs="Times New Roman"/>
                <w:sz w:val="24"/>
                <w:szCs w:val="24"/>
              </w:rPr>
              <w:t xml:space="preserve">  </w:t>
            </w:r>
          </w:p>
        </w:tc>
        <w:tc>
          <w:tcPr>
            <w:tcW w:w="950" w:type="dxa"/>
            <w:vAlign w:val="center"/>
          </w:tcPr>
          <w:p w:rsidR="00A91916" w:rsidRPr="008E759F" w:rsidRDefault="00A91916" w:rsidP="00F61BE2">
            <w:pPr>
              <w:pStyle w:val="Sous-titre"/>
              <w:jc w:val="center"/>
              <w:rPr>
                <w:rFonts w:ascii="Times New Roman" w:hAnsi="Times New Roman" w:cs="Times New Roman"/>
                <w:i w:val="0"/>
                <w:color w:val="262626" w:themeColor="text1" w:themeTint="D9"/>
                <w:sz w:val="22"/>
              </w:rPr>
            </w:pPr>
            <w:r>
              <w:rPr>
                <w:rFonts w:ascii="Times New Roman" w:hAnsi="Times New Roman" w:cs="Times New Roman"/>
                <w:i w:val="0"/>
                <w:color w:val="262626" w:themeColor="text1" w:themeTint="D9"/>
                <w:sz w:val="22"/>
              </w:rPr>
              <w:t>103</w:t>
            </w:r>
          </w:p>
        </w:tc>
      </w:tr>
      <w:tr w:rsidR="00A91916" w:rsidRPr="008E759F" w:rsidTr="00F61BE2">
        <w:trPr>
          <w:trHeight w:val="325"/>
        </w:trPr>
        <w:tc>
          <w:tcPr>
            <w:tcW w:w="8656" w:type="dxa"/>
          </w:tcPr>
          <w:p w:rsidR="00A91916" w:rsidRPr="009045C0" w:rsidRDefault="00A91916" w:rsidP="00F61BE2">
            <w:pPr>
              <w:ind w:left="708"/>
              <w:jc w:val="both"/>
              <w:rPr>
                <w:rFonts w:ascii="Times New Roman" w:hAnsi="Times New Roman" w:cs="Times New Roman"/>
                <w:sz w:val="24"/>
                <w:szCs w:val="24"/>
              </w:rPr>
            </w:pPr>
            <w:r w:rsidRPr="009045C0">
              <w:rPr>
                <w:rFonts w:ascii="Times New Roman" w:hAnsi="Times New Roman" w:cs="Times New Roman"/>
                <w:sz w:val="24"/>
                <w:szCs w:val="24"/>
              </w:rPr>
              <w:t>3.2. L’impact du SCF sur les Capitaux Propres des sociétés du Groupe</w:t>
            </w:r>
            <w:r>
              <w:rPr>
                <w:rFonts w:ascii="Times New Roman" w:hAnsi="Times New Roman" w:cs="Times New Roman"/>
                <w:sz w:val="24"/>
                <w:szCs w:val="24"/>
              </w:rPr>
              <w:t>………</w:t>
            </w:r>
          </w:p>
        </w:tc>
        <w:tc>
          <w:tcPr>
            <w:tcW w:w="950" w:type="dxa"/>
            <w:vAlign w:val="center"/>
          </w:tcPr>
          <w:p w:rsidR="00A91916" w:rsidRPr="008E759F" w:rsidRDefault="00A91916" w:rsidP="00F61BE2">
            <w:pPr>
              <w:pStyle w:val="Sous-titre"/>
              <w:jc w:val="center"/>
              <w:rPr>
                <w:rFonts w:ascii="Times New Roman" w:hAnsi="Times New Roman" w:cs="Times New Roman"/>
                <w:i w:val="0"/>
                <w:color w:val="262626" w:themeColor="text1" w:themeTint="D9"/>
                <w:sz w:val="22"/>
              </w:rPr>
            </w:pPr>
            <w:r>
              <w:rPr>
                <w:rFonts w:ascii="Times New Roman" w:hAnsi="Times New Roman" w:cs="Times New Roman"/>
                <w:i w:val="0"/>
                <w:color w:val="262626" w:themeColor="text1" w:themeTint="D9"/>
                <w:sz w:val="22"/>
              </w:rPr>
              <w:t>105</w:t>
            </w:r>
          </w:p>
        </w:tc>
      </w:tr>
      <w:tr w:rsidR="00A91916" w:rsidRPr="008E759F" w:rsidTr="00F61BE2">
        <w:trPr>
          <w:trHeight w:val="325"/>
        </w:trPr>
        <w:tc>
          <w:tcPr>
            <w:tcW w:w="8656" w:type="dxa"/>
          </w:tcPr>
          <w:p w:rsidR="00A91916" w:rsidRPr="009045C0" w:rsidRDefault="00A91916" w:rsidP="00F61BE2">
            <w:pPr>
              <w:ind w:left="708"/>
              <w:jc w:val="both"/>
              <w:rPr>
                <w:rFonts w:ascii="Times New Roman" w:hAnsi="Times New Roman" w:cs="Times New Roman"/>
                <w:sz w:val="24"/>
                <w:szCs w:val="24"/>
              </w:rPr>
            </w:pPr>
            <w:r w:rsidRPr="009045C0">
              <w:rPr>
                <w:rFonts w:ascii="Times New Roman" w:hAnsi="Times New Roman" w:cs="Times New Roman"/>
                <w:sz w:val="24"/>
                <w:szCs w:val="24"/>
              </w:rPr>
              <w:lastRenderedPageBreak/>
              <w:t>3.3. L’impact du SCF sur les résultats des sociétés du Groupe</w:t>
            </w:r>
            <w:r>
              <w:rPr>
                <w:rFonts w:ascii="Times New Roman" w:hAnsi="Times New Roman" w:cs="Times New Roman"/>
                <w:sz w:val="24"/>
                <w:szCs w:val="24"/>
              </w:rPr>
              <w:t>………………….</w:t>
            </w:r>
          </w:p>
        </w:tc>
        <w:tc>
          <w:tcPr>
            <w:tcW w:w="950" w:type="dxa"/>
            <w:vAlign w:val="center"/>
          </w:tcPr>
          <w:p w:rsidR="00A91916" w:rsidRPr="008E759F" w:rsidRDefault="00A91916" w:rsidP="00F61BE2">
            <w:pPr>
              <w:pStyle w:val="Sous-titre"/>
              <w:jc w:val="center"/>
              <w:rPr>
                <w:rFonts w:ascii="Times New Roman" w:hAnsi="Times New Roman" w:cs="Times New Roman"/>
                <w:i w:val="0"/>
                <w:color w:val="262626" w:themeColor="text1" w:themeTint="D9"/>
                <w:sz w:val="22"/>
              </w:rPr>
            </w:pPr>
            <w:r>
              <w:rPr>
                <w:rFonts w:ascii="Times New Roman" w:hAnsi="Times New Roman" w:cs="Times New Roman"/>
                <w:i w:val="0"/>
                <w:color w:val="262626" w:themeColor="text1" w:themeTint="D9"/>
                <w:sz w:val="22"/>
              </w:rPr>
              <w:t>109</w:t>
            </w:r>
          </w:p>
        </w:tc>
      </w:tr>
      <w:tr w:rsidR="00A91916" w:rsidRPr="008E759F" w:rsidTr="00F61BE2">
        <w:trPr>
          <w:trHeight w:val="325"/>
        </w:trPr>
        <w:tc>
          <w:tcPr>
            <w:tcW w:w="8656" w:type="dxa"/>
          </w:tcPr>
          <w:p w:rsidR="00A91916" w:rsidRPr="001622A0" w:rsidRDefault="00A91916" w:rsidP="00F61BE2">
            <w:pPr>
              <w:jc w:val="center"/>
              <w:rPr>
                <w:rFonts w:ascii="Times New Roman" w:hAnsi="Times New Roman" w:cs="Times New Roman"/>
                <w:b/>
                <w:sz w:val="24"/>
                <w:szCs w:val="24"/>
              </w:rPr>
            </w:pPr>
            <w:r w:rsidRPr="001622A0">
              <w:rPr>
                <w:rFonts w:ascii="Times New Roman" w:hAnsi="Times New Roman" w:cs="Times New Roman"/>
                <w:sz w:val="24"/>
                <w:szCs w:val="24"/>
              </w:rPr>
              <w:t>Conclusion générale</w:t>
            </w:r>
            <w:r>
              <w:rPr>
                <w:rFonts w:ascii="Times New Roman" w:hAnsi="Times New Roman" w:cs="Times New Roman"/>
                <w:sz w:val="24"/>
                <w:szCs w:val="24"/>
              </w:rPr>
              <w:t>……………………………………………………………………...</w:t>
            </w:r>
          </w:p>
        </w:tc>
        <w:tc>
          <w:tcPr>
            <w:tcW w:w="950" w:type="dxa"/>
            <w:vAlign w:val="center"/>
          </w:tcPr>
          <w:p w:rsidR="00A91916" w:rsidRPr="008E759F" w:rsidRDefault="00A91916" w:rsidP="00F61BE2">
            <w:pPr>
              <w:pStyle w:val="Sous-titre"/>
              <w:jc w:val="center"/>
              <w:rPr>
                <w:rFonts w:ascii="Times New Roman" w:hAnsi="Times New Roman" w:cs="Times New Roman"/>
                <w:i w:val="0"/>
                <w:color w:val="262626" w:themeColor="text1" w:themeTint="D9"/>
                <w:sz w:val="22"/>
              </w:rPr>
            </w:pPr>
            <w:r>
              <w:rPr>
                <w:rFonts w:ascii="Times New Roman" w:hAnsi="Times New Roman" w:cs="Times New Roman"/>
                <w:i w:val="0"/>
                <w:color w:val="262626" w:themeColor="text1" w:themeTint="D9"/>
                <w:sz w:val="22"/>
              </w:rPr>
              <w:t>113</w:t>
            </w:r>
          </w:p>
        </w:tc>
      </w:tr>
    </w:tbl>
    <w:p w:rsidR="00A91916" w:rsidRPr="008E759F" w:rsidRDefault="00A91916" w:rsidP="00F61BE2">
      <w:pPr>
        <w:pStyle w:val="Sous-titre"/>
        <w:rPr>
          <w:rFonts w:ascii="Times New Roman" w:hAnsi="Times New Roman" w:cs="Times New Roman"/>
        </w:rPr>
      </w:pPr>
    </w:p>
    <w:p w:rsidR="00A91916" w:rsidRPr="00585A0D" w:rsidRDefault="00A91916" w:rsidP="00F61BE2">
      <w:pPr>
        <w:spacing w:after="0"/>
        <w:ind w:left="708"/>
        <w:jc w:val="both"/>
        <w:rPr>
          <w:rFonts w:ascii="Times New Roman" w:hAnsi="Times New Roman" w:cs="Times New Roman"/>
          <w:b/>
          <w:i/>
          <w:sz w:val="24"/>
          <w:szCs w:val="24"/>
        </w:rPr>
      </w:pPr>
    </w:p>
    <w:p w:rsidR="00A91916" w:rsidRPr="00585A0D" w:rsidRDefault="00A91916" w:rsidP="00F61BE2">
      <w:pPr>
        <w:spacing w:after="0"/>
        <w:ind w:left="708"/>
        <w:jc w:val="both"/>
        <w:rPr>
          <w:rFonts w:ascii="Times New Roman" w:hAnsi="Times New Roman" w:cs="Times New Roman"/>
          <w:b/>
          <w:sz w:val="24"/>
          <w:szCs w:val="24"/>
        </w:rPr>
      </w:pPr>
    </w:p>
    <w:p w:rsidR="00A91916" w:rsidRPr="00585A0D" w:rsidRDefault="00A91916" w:rsidP="00F61BE2">
      <w:pPr>
        <w:spacing w:after="0"/>
        <w:ind w:left="708"/>
        <w:jc w:val="both"/>
        <w:rPr>
          <w:rFonts w:ascii="Times New Roman" w:hAnsi="Times New Roman" w:cs="Times New Roman"/>
          <w:b/>
          <w:sz w:val="24"/>
          <w:szCs w:val="24"/>
        </w:rPr>
      </w:pPr>
    </w:p>
    <w:p w:rsidR="00A91916" w:rsidRPr="008E759F" w:rsidRDefault="00A91916" w:rsidP="00F61BE2">
      <w:pPr>
        <w:spacing w:after="0"/>
        <w:ind w:left="708"/>
        <w:jc w:val="both"/>
        <w:rPr>
          <w:rFonts w:ascii="Times New Roman" w:hAnsi="Times New Roman" w:cs="Times New Roman"/>
          <w:sz w:val="24"/>
          <w:szCs w:val="24"/>
        </w:rPr>
      </w:pPr>
    </w:p>
    <w:p w:rsidR="00A91916" w:rsidRPr="008E759F" w:rsidRDefault="00A91916" w:rsidP="00F61BE2">
      <w:pPr>
        <w:spacing w:after="0"/>
        <w:jc w:val="both"/>
        <w:rPr>
          <w:rFonts w:ascii="Times New Roman" w:hAnsi="Times New Roman" w:cs="Times New Roman"/>
          <w:sz w:val="24"/>
          <w:szCs w:val="24"/>
        </w:rPr>
      </w:pPr>
    </w:p>
    <w:p w:rsidR="00A91916" w:rsidRPr="008E759F" w:rsidRDefault="00A91916" w:rsidP="00F61BE2">
      <w:pPr>
        <w:spacing w:after="0"/>
        <w:jc w:val="both"/>
        <w:rPr>
          <w:rFonts w:ascii="Times New Roman" w:hAnsi="Times New Roman" w:cs="Times New Roman"/>
          <w:sz w:val="24"/>
          <w:szCs w:val="24"/>
        </w:rPr>
      </w:pPr>
    </w:p>
    <w:p w:rsidR="00ED6B49" w:rsidRDefault="00ED6B49" w:rsidP="00ED6B49">
      <w:pPr>
        <w:spacing w:before="0" w:beforeAutospacing="0" w:after="0" w:afterAutospacing="0" w:line="276" w:lineRule="auto"/>
        <w:rPr>
          <w:rFonts w:ascii="Times New Roman" w:hAnsi="Times New Roman" w:cs="Times New Roman"/>
          <w:b/>
          <w:i/>
          <w:sz w:val="24"/>
        </w:rPr>
      </w:pPr>
    </w:p>
    <w:p w:rsidR="0018245E" w:rsidRDefault="0018245E" w:rsidP="00ED6B49">
      <w:pPr>
        <w:spacing w:before="0" w:beforeAutospacing="0" w:after="0" w:afterAutospacing="0" w:line="276" w:lineRule="auto"/>
        <w:rPr>
          <w:rFonts w:ascii="Times New Roman" w:hAnsi="Times New Roman" w:cs="Times New Roman"/>
          <w:b/>
          <w:i/>
          <w:sz w:val="24"/>
        </w:rPr>
      </w:pPr>
    </w:p>
    <w:p w:rsidR="0018245E" w:rsidRDefault="0018245E" w:rsidP="00ED6B49">
      <w:pPr>
        <w:spacing w:before="0" w:beforeAutospacing="0" w:after="0" w:afterAutospacing="0" w:line="276" w:lineRule="auto"/>
        <w:rPr>
          <w:rFonts w:ascii="Times New Roman" w:hAnsi="Times New Roman" w:cs="Times New Roman"/>
          <w:b/>
          <w:i/>
          <w:sz w:val="24"/>
        </w:rPr>
      </w:pPr>
    </w:p>
    <w:p w:rsidR="0018245E" w:rsidRDefault="0018245E" w:rsidP="00ED6B49">
      <w:pPr>
        <w:spacing w:before="0" w:beforeAutospacing="0" w:after="0" w:afterAutospacing="0" w:line="276" w:lineRule="auto"/>
        <w:rPr>
          <w:rFonts w:ascii="Times New Roman" w:hAnsi="Times New Roman" w:cs="Times New Roman"/>
          <w:b/>
          <w:i/>
          <w:sz w:val="24"/>
        </w:rPr>
      </w:pPr>
    </w:p>
    <w:p w:rsidR="0018245E" w:rsidRDefault="0018245E" w:rsidP="00ED6B49">
      <w:pPr>
        <w:spacing w:before="0" w:beforeAutospacing="0" w:after="0" w:afterAutospacing="0" w:line="276" w:lineRule="auto"/>
        <w:rPr>
          <w:rFonts w:ascii="Times New Roman" w:hAnsi="Times New Roman" w:cs="Times New Roman"/>
          <w:b/>
          <w:i/>
          <w:sz w:val="24"/>
        </w:rPr>
      </w:pPr>
    </w:p>
    <w:p w:rsidR="0018245E" w:rsidRDefault="0018245E" w:rsidP="00ED6B49">
      <w:pPr>
        <w:spacing w:before="0" w:beforeAutospacing="0" w:after="0" w:afterAutospacing="0" w:line="276" w:lineRule="auto"/>
        <w:rPr>
          <w:rFonts w:ascii="Times New Roman" w:hAnsi="Times New Roman" w:cs="Times New Roman"/>
          <w:b/>
          <w:i/>
          <w:sz w:val="24"/>
        </w:rPr>
      </w:pPr>
    </w:p>
    <w:p w:rsidR="0018245E" w:rsidRDefault="0018245E" w:rsidP="00ED6B49">
      <w:pPr>
        <w:spacing w:before="0" w:beforeAutospacing="0" w:after="0" w:afterAutospacing="0" w:line="276" w:lineRule="auto"/>
        <w:rPr>
          <w:rFonts w:ascii="Times New Roman" w:hAnsi="Times New Roman" w:cs="Times New Roman"/>
          <w:b/>
          <w:i/>
          <w:sz w:val="24"/>
        </w:rPr>
      </w:pPr>
    </w:p>
    <w:p w:rsidR="0018245E" w:rsidRDefault="0018245E" w:rsidP="00ED6B49">
      <w:pPr>
        <w:spacing w:before="0" w:beforeAutospacing="0" w:after="0" w:afterAutospacing="0" w:line="276" w:lineRule="auto"/>
        <w:rPr>
          <w:rFonts w:ascii="Times New Roman" w:hAnsi="Times New Roman" w:cs="Times New Roman"/>
          <w:b/>
          <w:i/>
          <w:sz w:val="24"/>
        </w:rPr>
      </w:pPr>
    </w:p>
    <w:p w:rsidR="0018245E" w:rsidRDefault="0018245E" w:rsidP="00ED6B49">
      <w:pPr>
        <w:spacing w:before="0" w:beforeAutospacing="0" w:after="0" w:afterAutospacing="0" w:line="276" w:lineRule="auto"/>
        <w:rPr>
          <w:rFonts w:ascii="Times New Roman" w:hAnsi="Times New Roman" w:cs="Times New Roman"/>
          <w:b/>
          <w:i/>
          <w:sz w:val="24"/>
        </w:rPr>
      </w:pPr>
    </w:p>
    <w:p w:rsidR="0018245E" w:rsidRDefault="0018245E" w:rsidP="00ED6B49">
      <w:pPr>
        <w:spacing w:before="0" w:beforeAutospacing="0" w:after="0" w:afterAutospacing="0" w:line="276" w:lineRule="auto"/>
        <w:rPr>
          <w:rFonts w:ascii="Times New Roman" w:hAnsi="Times New Roman" w:cs="Times New Roman"/>
          <w:b/>
          <w:i/>
          <w:sz w:val="24"/>
        </w:rPr>
      </w:pPr>
    </w:p>
    <w:p w:rsidR="0018245E" w:rsidRDefault="0018245E" w:rsidP="00ED6B49">
      <w:pPr>
        <w:spacing w:before="0" w:beforeAutospacing="0" w:after="0" w:afterAutospacing="0" w:line="276" w:lineRule="auto"/>
        <w:rPr>
          <w:rFonts w:ascii="Times New Roman" w:hAnsi="Times New Roman" w:cs="Times New Roman"/>
          <w:b/>
          <w:i/>
          <w:sz w:val="24"/>
        </w:rPr>
      </w:pPr>
    </w:p>
    <w:p w:rsidR="0018245E" w:rsidRDefault="0018245E" w:rsidP="00ED6B49">
      <w:pPr>
        <w:spacing w:before="0" w:beforeAutospacing="0" w:after="0" w:afterAutospacing="0" w:line="276" w:lineRule="auto"/>
        <w:rPr>
          <w:rFonts w:ascii="Times New Roman" w:hAnsi="Times New Roman" w:cs="Times New Roman"/>
          <w:b/>
          <w:i/>
          <w:sz w:val="24"/>
        </w:rPr>
      </w:pPr>
    </w:p>
    <w:p w:rsidR="0018245E" w:rsidRDefault="0018245E" w:rsidP="00ED6B49">
      <w:pPr>
        <w:spacing w:before="0" w:beforeAutospacing="0" w:after="0" w:afterAutospacing="0" w:line="276" w:lineRule="auto"/>
        <w:rPr>
          <w:rFonts w:ascii="Times New Roman" w:hAnsi="Times New Roman" w:cs="Times New Roman"/>
          <w:b/>
          <w:i/>
          <w:sz w:val="24"/>
        </w:rPr>
      </w:pPr>
    </w:p>
    <w:p w:rsidR="0018245E" w:rsidRDefault="0018245E" w:rsidP="00ED6B49">
      <w:pPr>
        <w:spacing w:before="0" w:beforeAutospacing="0" w:after="0" w:afterAutospacing="0" w:line="276" w:lineRule="auto"/>
        <w:rPr>
          <w:rFonts w:ascii="Times New Roman" w:hAnsi="Times New Roman" w:cs="Times New Roman"/>
          <w:b/>
          <w:i/>
          <w:sz w:val="24"/>
        </w:rPr>
      </w:pPr>
    </w:p>
    <w:p w:rsidR="0018245E" w:rsidRDefault="0018245E" w:rsidP="00ED6B49">
      <w:pPr>
        <w:spacing w:before="0" w:beforeAutospacing="0" w:after="0" w:afterAutospacing="0" w:line="276" w:lineRule="auto"/>
        <w:rPr>
          <w:rFonts w:ascii="Times New Roman" w:hAnsi="Times New Roman" w:cs="Times New Roman"/>
          <w:b/>
          <w:i/>
          <w:sz w:val="24"/>
        </w:rPr>
      </w:pPr>
    </w:p>
    <w:p w:rsidR="0018245E" w:rsidRDefault="0018245E" w:rsidP="00ED6B49">
      <w:pPr>
        <w:spacing w:before="0" w:beforeAutospacing="0" w:after="0" w:afterAutospacing="0" w:line="276" w:lineRule="auto"/>
        <w:rPr>
          <w:rFonts w:ascii="Times New Roman" w:hAnsi="Times New Roman" w:cs="Times New Roman"/>
          <w:b/>
          <w:i/>
          <w:sz w:val="24"/>
        </w:rPr>
      </w:pPr>
    </w:p>
    <w:p w:rsidR="0018245E" w:rsidRDefault="0018245E" w:rsidP="00ED6B49">
      <w:pPr>
        <w:spacing w:before="0" w:beforeAutospacing="0" w:after="0" w:afterAutospacing="0" w:line="276" w:lineRule="auto"/>
        <w:rPr>
          <w:rFonts w:ascii="Times New Roman" w:hAnsi="Times New Roman" w:cs="Times New Roman"/>
          <w:b/>
          <w:i/>
          <w:sz w:val="24"/>
        </w:rPr>
      </w:pPr>
    </w:p>
    <w:p w:rsidR="0018245E" w:rsidRDefault="0018245E" w:rsidP="00ED6B49">
      <w:pPr>
        <w:spacing w:before="0" w:beforeAutospacing="0" w:after="0" w:afterAutospacing="0" w:line="276" w:lineRule="auto"/>
        <w:rPr>
          <w:rFonts w:ascii="Times New Roman" w:hAnsi="Times New Roman" w:cs="Times New Roman"/>
          <w:b/>
          <w:i/>
          <w:sz w:val="24"/>
        </w:rPr>
      </w:pPr>
    </w:p>
    <w:p w:rsidR="0018245E" w:rsidRDefault="0018245E" w:rsidP="00ED6B49">
      <w:pPr>
        <w:spacing w:before="0" w:beforeAutospacing="0" w:after="0" w:afterAutospacing="0" w:line="276" w:lineRule="auto"/>
        <w:rPr>
          <w:rFonts w:ascii="Times New Roman" w:hAnsi="Times New Roman" w:cs="Times New Roman"/>
          <w:b/>
          <w:i/>
          <w:sz w:val="24"/>
        </w:rPr>
      </w:pPr>
    </w:p>
    <w:p w:rsidR="0018245E" w:rsidRDefault="0018245E" w:rsidP="00ED6B49">
      <w:pPr>
        <w:spacing w:before="0" w:beforeAutospacing="0" w:after="0" w:afterAutospacing="0" w:line="276" w:lineRule="auto"/>
        <w:rPr>
          <w:rFonts w:ascii="Times New Roman" w:hAnsi="Times New Roman" w:cs="Times New Roman"/>
          <w:b/>
          <w:i/>
          <w:sz w:val="24"/>
        </w:rPr>
      </w:pPr>
    </w:p>
    <w:p w:rsidR="0018245E" w:rsidRDefault="0018245E" w:rsidP="00ED6B49">
      <w:pPr>
        <w:spacing w:before="0" w:beforeAutospacing="0" w:after="0" w:afterAutospacing="0" w:line="276" w:lineRule="auto"/>
        <w:rPr>
          <w:rFonts w:ascii="Times New Roman" w:hAnsi="Times New Roman" w:cs="Times New Roman"/>
          <w:b/>
          <w:i/>
          <w:sz w:val="24"/>
        </w:rPr>
      </w:pPr>
    </w:p>
    <w:p w:rsidR="0018245E" w:rsidRDefault="0018245E" w:rsidP="00ED6B49">
      <w:pPr>
        <w:spacing w:before="0" w:beforeAutospacing="0" w:after="0" w:afterAutospacing="0" w:line="276" w:lineRule="auto"/>
        <w:rPr>
          <w:rFonts w:ascii="Times New Roman" w:hAnsi="Times New Roman" w:cs="Times New Roman"/>
          <w:b/>
          <w:i/>
          <w:sz w:val="24"/>
        </w:rPr>
      </w:pPr>
    </w:p>
    <w:p w:rsidR="0018245E" w:rsidRDefault="0018245E" w:rsidP="00ED6B49">
      <w:pPr>
        <w:spacing w:before="0" w:beforeAutospacing="0" w:after="0" w:afterAutospacing="0" w:line="276" w:lineRule="auto"/>
        <w:rPr>
          <w:rFonts w:ascii="Times New Roman" w:hAnsi="Times New Roman" w:cs="Times New Roman"/>
          <w:b/>
          <w:i/>
          <w:sz w:val="24"/>
        </w:rPr>
      </w:pPr>
    </w:p>
    <w:p w:rsidR="0018245E" w:rsidRDefault="0018245E" w:rsidP="00ED6B49">
      <w:pPr>
        <w:spacing w:before="0" w:beforeAutospacing="0" w:after="0" w:afterAutospacing="0" w:line="276" w:lineRule="auto"/>
        <w:rPr>
          <w:rFonts w:ascii="Times New Roman" w:hAnsi="Times New Roman" w:cs="Times New Roman"/>
          <w:b/>
          <w:i/>
          <w:sz w:val="24"/>
        </w:rPr>
      </w:pPr>
    </w:p>
    <w:p w:rsidR="0018245E" w:rsidRDefault="0018245E" w:rsidP="00ED6B49">
      <w:pPr>
        <w:spacing w:before="0" w:beforeAutospacing="0" w:after="0" w:afterAutospacing="0" w:line="276" w:lineRule="auto"/>
        <w:rPr>
          <w:rFonts w:ascii="Times New Roman" w:hAnsi="Times New Roman" w:cs="Times New Roman"/>
          <w:b/>
          <w:i/>
          <w:sz w:val="24"/>
        </w:rPr>
      </w:pPr>
    </w:p>
    <w:p w:rsidR="0018245E" w:rsidRDefault="0018245E" w:rsidP="00ED6B49">
      <w:pPr>
        <w:spacing w:before="0" w:beforeAutospacing="0" w:after="0" w:afterAutospacing="0" w:line="276" w:lineRule="auto"/>
        <w:rPr>
          <w:rFonts w:ascii="Times New Roman" w:hAnsi="Times New Roman" w:cs="Times New Roman"/>
          <w:b/>
          <w:i/>
          <w:sz w:val="24"/>
        </w:rPr>
      </w:pPr>
    </w:p>
    <w:p w:rsidR="0018245E" w:rsidRDefault="0018245E" w:rsidP="00ED6B49">
      <w:pPr>
        <w:spacing w:before="0" w:beforeAutospacing="0" w:after="0" w:afterAutospacing="0" w:line="276" w:lineRule="auto"/>
        <w:rPr>
          <w:rFonts w:ascii="Times New Roman" w:hAnsi="Times New Roman" w:cs="Times New Roman"/>
          <w:b/>
          <w:i/>
          <w:sz w:val="24"/>
        </w:rPr>
      </w:pPr>
    </w:p>
    <w:p w:rsidR="0018245E" w:rsidRDefault="0018245E" w:rsidP="00ED6B49">
      <w:pPr>
        <w:spacing w:before="0" w:beforeAutospacing="0" w:after="0" w:afterAutospacing="0" w:line="276" w:lineRule="auto"/>
        <w:rPr>
          <w:rFonts w:ascii="Times New Roman" w:hAnsi="Times New Roman" w:cs="Times New Roman"/>
          <w:b/>
          <w:i/>
          <w:sz w:val="24"/>
        </w:rPr>
        <w:sectPr w:rsidR="0018245E" w:rsidSect="0018245E">
          <w:headerReference w:type="default" r:id="rId9"/>
          <w:pgSz w:w="11906" w:h="16838"/>
          <w:pgMar w:top="1418" w:right="1418" w:bottom="1418" w:left="1418" w:header="709" w:footer="709" w:gutter="567"/>
          <w:cols w:space="708"/>
          <w:docGrid w:linePitch="360"/>
        </w:sectPr>
      </w:pPr>
    </w:p>
    <w:tbl>
      <w:tblPr>
        <w:tblStyle w:val="Grilledutableau"/>
        <w:tblW w:w="9606" w:type="dxa"/>
        <w:tblLook w:val="04A0" w:firstRow="1" w:lastRow="0" w:firstColumn="1" w:lastColumn="0" w:noHBand="0" w:noVBand="1"/>
      </w:tblPr>
      <w:tblGrid>
        <w:gridCol w:w="8656"/>
        <w:gridCol w:w="950"/>
      </w:tblGrid>
      <w:tr w:rsidR="0018245E" w:rsidRPr="00CA06EA" w:rsidTr="00F61BE2">
        <w:trPr>
          <w:trHeight w:val="325"/>
        </w:trPr>
        <w:tc>
          <w:tcPr>
            <w:tcW w:w="8656" w:type="dxa"/>
          </w:tcPr>
          <w:p w:rsidR="0018245E" w:rsidRPr="00CA06EA" w:rsidRDefault="0018245E" w:rsidP="00F61BE2">
            <w:pPr>
              <w:pStyle w:val="Lgende"/>
              <w:spacing w:after="0"/>
              <w:jc w:val="both"/>
              <w:rPr>
                <w:rFonts w:cs="Times New Roman"/>
                <w:b w:val="0"/>
                <w:sz w:val="24"/>
                <w:szCs w:val="24"/>
              </w:rPr>
            </w:pPr>
            <w:r w:rsidRPr="00E25255">
              <w:rPr>
                <w:rFonts w:cs="Times New Roman"/>
                <w:b w:val="0"/>
                <w:sz w:val="24"/>
                <w:szCs w:val="24"/>
              </w:rPr>
              <w:lastRenderedPageBreak/>
              <w:t>Tableau (</w:t>
            </w:r>
            <w:r w:rsidRPr="00E25255">
              <w:rPr>
                <w:rFonts w:cs="Times New Roman"/>
                <w:b w:val="0"/>
                <w:sz w:val="24"/>
                <w:szCs w:val="24"/>
              </w:rPr>
              <w:fldChar w:fldCharType="begin"/>
            </w:r>
            <w:r w:rsidRPr="00E25255">
              <w:rPr>
                <w:rFonts w:cs="Times New Roman"/>
                <w:b w:val="0"/>
                <w:sz w:val="24"/>
                <w:szCs w:val="24"/>
              </w:rPr>
              <w:instrText xml:space="preserve"> SEQ Tableau \* ARABIC </w:instrText>
            </w:r>
            <w:r w:rsidRPr="00E25255">
              <w:rPr>
                <w:rFonts w:cs="Times New Roman"/>
                <w:b w:val="0"/>
                <w:sz w:val="24"/>
                <w:szCs w:val="24"/>
              </w:rPr>
              <w:fldChar w:fldCharType="separate"/>
            </w:r>
            <w:r>
              <w:rPr>
                <w:rFonts w:cs="Times New Roman"/>
                <w:b w:val="0"/>
                <w:noProof/>
                <w:sz w:val="24"/>
                <w:szCs w:val="24"/>
              </w:rPr>
              <w:t>1</w:t>
            </w:r>
            <w:r w:rsidRPr="00E25255">
              <w:rPr>
                <w:rFonts w:cs="Times New Roman"/>
                <w:b w:val="0"/>
                <w:sz w:val="24"/>
                <w:szCs w:val="24"/>
              </w:rPr>
              <w:fldChar w:fldCharType="end"/>
            </w:r>
            <w:r w:rsidRPr="00E25255">
              <w:rPr>
                <w:rFonts w:cs="Times New Roman"/>
                <w:b w:val="0"/>
                <w:sz w:val="24"/>
                <w:szCs w:val="24"/>
              </w:rPr>
              <w:t>) : Caractéristiques des modèles comptables anglo-saxons et de l’Europe continental</w:t>
            </w:r>
          </w:p>
        </w:tc>
        <w:tc>
          <w:tcPr>
            <w:tcW w:w="950" w:type="dxa"/>
            <w:vAlign w:val="center"/>
          </w:tcPr>
          <w:p w:rsidR="0018245E" w:rsidRPr="00CA06EA" w:rsidRDefault="0018245E" w:rsidP="00F61BE2">
            <w:pPr>
              <w:numPr>
                <w:ilvl w:val="1"/>
                <w:numId w:val="0"/>
              </w:numPr>
              <w:jc w:val="center"/>
              <w:rPr>
                <w:rFonts w:ascii="Times New Roman" w:eastAsia="Times New Roman" w:hAnsi="Times New Roman" w:cs="Times New Roman"/>
                <w:iCs/>
                <w:color w:val="262626"/>
                <w:spacing w:val="15"/>
                <w:szCs w:val="24"/>
              </w:rPr>
            </w:pPr>
            <w:r>
              <w:rPr>
                <w:rFonts w:ascii="Times New Roman" w:eastAsia="Times New Roman" w:hAnsi="Times New Roman" w:cs="Times New Roman"/>
                <w:iCs/>
                <w:color w:val="262626"/>
                <w:spacing w:val="15"/>
                <w:szCs w:val="24"/>
              </w:rPr>
              <w:t>12</w:t>
            </w:r>
          </w:p>
        </w:tc>
      </w:tr>
      <w:tr w:rsidR="0018245E" w:rsidRPr="00CA06EA" w:rsidTr="00F61BE2">
        <w:trPr>
          <w:trHeight w:val="325"/>
        </w:trPr>
        <w:tc>
          <w:tcPr>
            <w:tcW w:w="8656" w:type="dxa"/>
          </w:tcPr>
          <w:p w:rsidR="0018245E" w:rsidRPr="00CA06EA" w:rsidRDefault="0018245E" w:rsidP="00F61BE2">
            <w:pPr>
              <w:pStyle w:val="Lgende"/>
              <w:spacing w:after="0"/>
              <w:jc w:val="both"/>
              <w:rPr>
                <w:rFonts w:cs="Times New Roman"/>
                <w:b w:val="0"/>
                <w:sz w:val="24"/>
                <w:szCs w:val="24"/>
              </w:rPr>
            </w:pPr>
            <w:r w:rsidRPr="0068407D">
              <w:rPr>
                <w:rFonts w:cs="Times New Roman"/>
                <w:b w:val="0"/>
                <w:sz w:val="24"/>
                <w:szCs w:val="24"/>
              </w:rPr>
              <w:t>Tableau (2) : Traitements possibles sur les immobilisations</w:t>
            </w:r>
          </w:p>
        </w:tc>
        <w:tc>
          <w:tcPr>
            <w:tcW w:w="950" w:type="dxa"/>
            <w:vAlign w:val="center"/>
          </w:tcPr>
          <w:p w:rsidR="0018245E" w:rsidRPr="00CA06EA" w:rsidRDefault="0018245E" w:rsidP="00F61BE2">
            <w:pPr>
              <w:numPr>
                <w:ilvl w:val="1"/>
                <w:numId w:val="0"/>
              </w:numPr>
              <w:jc w:val="center"/>
              <w:rPr>
                <w:rFonts w:ascii="Times New Roman" w:eastAsia="Times New Roman" w:hAnsi="Times New Roman" w:cs="Times New Roman"/>
                <w:iCs/>
                <w:color w:val="262626"/>
                <w:spacing w:val="15"/>
                <w:szCs w:val="24"/>
              </w:rPr>
            </w:pPr>
            <w:r>
              <w:rPr>
                <w:rFonts w:ascii="Times New Roman" w:eastAsia="Times New Roman" w:hAnsi="Times New Roman" w:cs="Times New Roman"/>
                <w:iCs/>
                <w:color w:val="262626"/>
                <w:spacing w:val="15"/>
                <w:szCs w:val="24"/>
              </w:rPr>
              <w:t>80</w:t>
            </w:r>
          </w:p>
        </w:tc>
      </w:tr>
      <w:tr w:rsidR="0018245E" w:rsidRPr="00CA06EA" w:rsidTr="00F61BE2">
        <w:trPr>
          <w:trHeight w:val="325"/>
        </w:trPr>
        <w:tc>
          <w:tcPr>
            <w:tcW w:w="8656" w:type="dxa"/>
          </w:tcPr>
          <w:p w:rsidR="0018245E" w:rsidRPr="00CA06EA" w:rsidRDefault="0018245E" w:rsidP="00F61BE2">
            <w:pPr>
              <w:pStyle w:val="Lgende"/>
              <w:spacing w:after="0"/>
              <w:jc w:val="both"/>
              <w:rPr>
                <w:rFonts w:cs="Times New Roman"/>
                <w:b w:val="0"/>
                <w:sz w:val="24"/>
                <w:szCs w:val="24"/>
              </w:rPr>
            </w:pPr>
            <w:r w:rsidRPr="0068407D">
              <w:rPr>
                <w:rFonts w:cs="Times New Roman"/>
                <w:b w:val="0"/>
                <w:sz w:val="24"/>
                <w:szCs w:val="24"/>
              </w:rPr>
              <w:t>Tableau (3) : les conséquences comptables liées aux avantages de personnel</w:t>
            </w:r>
          </w:p>
        </w:tc>
        <w:tc>
          <w:tcPr>
            <w:tcW w:w="950" w:type="dxa"/>
            <w:vAlign w:val="center"/>
          </w:tcPr>
          <w:p w:rsidR="0018245E" w:rsidRPr="00CA06EA" w:rsidRDefault="0018245E" w:rsidP="00F61BE2">
            <w:pPr>
              <w:numPr>
                <w:ilvl w:val="1"/>
                <w:numId w:val="0"/>
              </w:numPr>
              <w:jc w:val="center"/>
              <w:rPr>
                <w:rFonts w:ascii="Times New Roman" w:eastAsia="Times New Roman" w:hAnsi="Times New Roman" w:cs="Times New Roman"/>
                <w:iCs/>
                <w:color w:val="262626"/>
                <w:spacing w:val="15"/>
                <w:szCs w:val="24"/>
              </w:rPr>
            </w:pPr>
            <w:r>
              <w:rPr>
                <w:rFonts w:ascii="Times New Roman" w:eastAsia="Times New Roman" w:hAnsi="Times New Roman" w:cs="Times New Roman"/>
                <w:iCs/>
                <w:color w:val="262626"/>
                <w:spacing w:val="15"/>
                <w:szCs w:val="24"/>
              </w:rPr>
              <w:t>84</w:t>
            </w:r>
          </w:p>
        </w:tc>
      </w:tr>
      <w:tr w:rsidR="0018245E" w:rsidRPr="00CA06EA" w:rsidTr="00F61BE2">
        <w:trPr>
          <w:trHeight w:val="325"/>
        </w:trPr>
        <w:tc>
          <w:tcPr>
            <w:tcW w:w="8656" w:type="dxa"/>
          </w:tcPr>
          <w:p w:rsidR="0018245E" w:rsidRPr="00CA06EA" w:rsidRDefault="0018245E" w:rsidP="00F61BE2">
            <w:pPr>
              <w:pStyle w:val="Lgende"/>
              <w:spacing w:after="0"/>
              <w:jc w:val="both"/>
              <w:rPr>
                <w:rFonts w:cs="Times New Roman"/>
                <w:b w:val="0"/>
                <w:sz w:val="24"/>
                <w:szCs w:val="24"/>
              </w:rPr>
            </w:pPr>
            <w:r w:rsidRPr="0068407D">
              <w:rPr>
                <w:rFonts w:cs="Times New Roman"/>
                <w:b w:val="0"/>
                <w:sz w:val="24"/>
                <w:szCs w:val="24"/>
              </w:rPr>
              <w:t>Tableau (</w:t>
            </w:r>
            <w:r>
              <w:rPr>
                <w:rFonts w:cs="Times New Roman"/>
                <w:b w:val="0"/>
                <w:sz w:val="24"/>
                <w:szCs w:val="24"/>
              </w:rPr>
              <w:t>4</w:t>
            </w:r>
            <w:r w:rsidRPr="0068407D">
              <w:rPr>
                <w:rFonts w:cs="Times New Roman"/>
                <w:b w:val="0"/>
                <w:sz w:val="24"/>
                <w:szCs w:val="24"/>
              </w:rPr>
              <w:t>) : Comptabilisation des contrats de location et ses conséquences</w:t>
            </w:r>
          </w:p>
        </w:tc>
        <w:tc>
          <w:tcPr>
            <w:tcW w:w="950" w:type="dxa"/>
            <w:vAlign w:val="center"/>
          </w:tcPr>
          <w:p w:rsidR="0018245E" w:rsidRPr="00CA06EA" w:rsidRDefault="0018245E" w:rsidP="00F61BE2">
            <w:pPr>
              <w:numPr>
                <w:ilvl w:val="1"/>
                <w:numId w:val="0"/>
              </w:numPr>
              <w:jc w:val="center"/>
              <w:rPr>
                <w:rFonts w:ascii="Times New Roman" w:eastAsia="Times New Roman" w:hAnsi="Times New Roman" w:cs="Times New Roman"/>
                <w:iCs/>
                <w:color w:val="262626"/>
                <w:spacing w:val="15"/>
                <w:sz w:val="24"/>
                <w:szCs w:val="24"/>
              </w:rPr>
            </w:pPr>
            <w:r>
              <w:rPr>
                <w:rFonts w:ascii="Times New Roman" w:eastAsia="Times New Roman" w:hAnsi="Times New Roman" w:cs="Times New Roman"/>
                <w:iCs/>
                <w:color w:val="262626"/>
                <w:spacing w:val="15"/>
                <w:sz w:val="24"/>
                <w:szCs w:val="24"/>
              </w:rPr>
              <w:t>87</w:t>
            </w:r>
          </w:p>
        </w:tc>
      </w:tr>
      <w:tr w:rsidR="0018245E" w:rsidRPr="00CA06EA" w:rsidTr="00F61BE2">
        <w:trPr>
          <w:trHeight w:val="325"/>
        </w:trPr>
        <w:tc>
          <w:tcPr>
            <w:tcW w:w="8656" w:type="dxa"/>
          </w:tcPr>
          <w:p w:rsidR="0018245E" w:rsidRPr="00CA06EA" w:rsidRDefault="0018245E" w:rsidP="00F61BE2">
            <w:pPr>
              <w:pStyle w:val="Lgende"/>
              <w:spacing w:after="0"/>
              <w:jc w:val="both"/>
              <w:rPr>
                <w:rFonts w:cs="Times New Roman"/>
                <w:b w:val="0"/>
                <w:sz w:val="24"/>
                <w:szCs w:val="24"/>
              </w:rPr>
            </w:pPr>
            <w:r w:rsidRPr="00E25255">
              <w:rPr>
                <w:rFonts w:cs="Times New Roman"/>
                <w:b w:val="0"/>
                <w:sz w:val="24"/>
                <w:szCs w:val="24"/>
              </w:rPr>
              <w:t>Tableau (5) : Impact global du SCF sur les capitaux propres</w:t>
            </w:r>
          </w:p>
        </w:tc>
        <w:tc>
          <w:tcPr>
            <w:tcW w:w="950" w:type="dxa"/>
            <w:vAlign w:val="center"/>
          </w:tcPr>
          <w:p w:rsidR="0018245E" w:rsidRPr="00CA06EA" w:rsidRDefault="0018245E" w:rsidP="00F61BE2">
            <w:pPr>
              <w:numPr>
                <w:ilvl w:val="1"/>
                <w:numId w:val="0"/>
              </w:numPr>
              <w:jc w:val="center"/>
              <w:rPr>
                <w:rFonts w:ascii="Times New Roman" w:eastAsia="Times New Roman" w:hAnsi="Times New Roman" w:cs="Times New Roman"/>
                <w:iCs/>
                <w:color w:val="262626"/>
                <w:spacing w:val="15"/>
                <w:szCs w:val="24"/>
              </w:rPr>
            </w:pPr>
            <w:r>
              <w:rPr>
                <w:rFonts w:ascii="Times New Roman" w:eastAsia="Times New Roman" w:hAnsi="Times New Roman" w:cs="Times New Roman"/>
                <w:iCs/>
                <w:color w:val="262626"/>
                <w:spacing w:val="15"/>
                <w:szCs w:val="24"/>
              </w:rPr>
              <w:t>105</w:t>
            </w:r>
          </w:p>
        </w:tc>
      </w:tr>
      <w:tr w:rsidR="0018245E" w:rsidRPr="00CA06EA" w:rsidTr="00F61BE2">
        <w:trPr>
          <w:trHeight w:val="325"/>
        </w:trPr>
        <w:tc>
          <w:tcPr>
            <w:tcW w:w="8656" w:type="dxa"/>
          </w:tcPr>
          <w:p w:rsidR="0018245E" w:rsidRPr="00CA06EA" w:rsidRDefault="0018245E" w:rsidP="00F61BE2">
            <w:pPr>
              <w:pStyle w:val="Lgende"/>
              <w:spacing w:after="0"/>
              <w:jc w:val="both"/>
              <w:rPr>
                <w:rFonts w:cs="Times New Roman"/>
                <w:b w:val="0"/>
                <w:sz w:val="24"/>
                <w:szCs w:val="24"/>
              </w:rPr>
            </w:pPr>
            <w:r w:rsidRPr="00E25255">
              <w:rPr>
                <w:rFonts w:cs="Times New Roman"/>
                <w:b w:val="0"/>
                <w:sz w:val="24"/>
                <w:szCs w:val="24"/>
              </w:rPr>
              <w:t xml:space="preserve">Tableau (6) : Résultats du test de </w:t>
            </w:r>
            <w:proofErr w:type="spellStart"/>
            <w:r w:rsidRPr="00E25255">
              <w:rPr>
                <w:rFonts w:cs="Times New Roman"/>
                <w:b w:val="0"/>
                <w:sz w:val="24"/>
                <w:szCs w:val="24"/>
              </w:rPr>
              <w:t>Wilcoxon</w:t>
            </w:r>
            <w:proofErr w:type="spellEnd"/>
            <w:r w:rsidRPr="00E25255">
              <w:rPr>
                <w:rFonts w:cs="Times New Roman"/>
                <w:b w:val="0"/>
                <w:sz w:val="24"/>
                <w:szCs w:val="24"/>
              </w:rPr>
              <w:t xml:space="preserve"> par rapport à la variation des CP</w:t>
            </w:r>
          </w:p>
        </w:tc>
        <w:tc>
          <w:tcPr>
            <w:tcW w:w="950" w:type="dxa"/>
            <w:vAlign w:val="center"/>
          </w:tcPr>
          <w:p w:rsidR="0018245E" w:rsidRPr="00CA06EA" w:rsidRDefault="0018245E" w:rsidP="00F61BE2">
            <w:pPr>
              <w:numPr>
                <w:ilvl w:val="1"/>
                <w:numId w:val="0"/>
              </w:numPr>
              <w:jc w:val="center"/>
              <w:rPr>
                <w:rFonts w:ascii="Times New Roman" w:eastAsia="Times New Roman" w:hAnsi="Times New Roman" w:cs="Times New Roman"/>
                <w:iCs/>
                <w:color w:val="262626"/>
                <w:spacing w:val="15"/>
                <w:szCs w:val="24"/>
              </w:rPr>
            </w:pPr>
            <w:r>
              <w:rPr>
                <w:rFonts w:ascii="Times New Roman" w:eastAsia="Times New Roman" w:hAnsi="Times New Roman" w:cs="Times New Roman"/>
                <w:iCs/>
                <w:color w:val="262626"/>
                <w:spacing w:val="15"/>
                <w:szCs w:val="24"/>
              </w:rPr>
              <w:t>106</w:t>
            </w:r>
          </w:p>
        </w:tc>
      </w:tr>
      <w:tr w:rsidR="0018245E" w:rsidRPr="00CA06EA" w:rsidTr="00F61BE2">
        <w:trPr>
          <w:trHeight w:val="325"/>
        </w:trPr>
        <w:tc>
          <w:tcPr>
            <w:tcW w:w="8656" w:type="dxa"/>
          </w:tcPr>
          <w:p w:rsidR="0018245E" w:rsidRPr="00CA06EA" w:rsidRDefault="0018245E" w:rsidP="00F61BE2">
            <w:pPr>
              <w:pStyle w:val="Lgende"/>
              <w:spacing w:after="0"/>
              <w:jc w:val="both"/>
              <w:rPr>
                <w:rFonts w:cs="Times New Roman"/>
                <w:b w:val="0"/>
                <w:sz w:val="24"/>
                <w:szCs w:val="24"/>
              </w:rPr>
            </w:pPr>
            <w:r w:rsidRPr="00E25255">
              <w:rPr>
                <w:rFonts w:cs="Times New Roman"/>
                <w:b w:val="0"/>
                <w:sz w:val="24"/>
                <w:szCs w:val="24"/>
              </w:rPr>
              <w:t>Tableau (7) : analyse de l’impact du SCF sur les capitaux propres</w:t>
            </w:r>
          </w:p>
        </w:tc>
        <w:tc>
          <w:tcPr>
            <w:tcW w:w="950" w:type="dxa"/>
            <w:vAlign w:val="center"/>
          </w:tcPr>
          <w:p w:rsidR="0018245E" w:rsidRPr="00CA06EA" w:rsidRDefault="0018245E" w:rsidP="00F61BE2">
            <w:pPr>
              <w:numPr>
                <w:ilvl w:val="1"/>
                <w:numId w:val="0"/>
              </w:numPr>
              <w:jc w:val="center"/>
              <w:rPr>
                <w:rFonts w:ascii="Times New Roman" w:eastAsia="Times New Roman" w:hAnsi="Times New Roman" w:cs="Times New Roman"/>
                <w:iCs/>
                <w:color w:val="262626"/>
                <w:spacing w:val="15"/>
                <w:szCs w:val="24"/>
              </w:rPr>
            </w:pPr>
            <w:r>
              <w:rPr>
                <w:rFonts w:ascii="Times New Roman" w:eastAsia="Times New Roman" w:hAnsi="Times New Roman" w:cs="Times New Roman"/>
                <w:iCs/>
                <w:color w:val="262626"/>
                <w:spacing w:val="15"/>
                <w:szCs w:val="24"/>
              </w:rPr>
              <w:t>107</w:t>
            </w:r>
          </w:p>
        </w:tc>
      </w:tr>
      <w:tr w:rsidR="0018245E" w:rsidRPr="00CA06EA" w:rsidTr="00F61BE2">
        <w:trPr>
          <w:trHeight w:val="325"/>
        </w:trPr>
        <w:tc>
          <w:tcPr>
            <w:tcW w:w="8656" w:type="dxa"/>
          </w:tcPr>
          <w:p w:rsidR="0018245E" w:rsidRPr="00CA06EA" w:rsidRDefault="0018245E" w:rsidP="00F61BE2">
            <w:pPr>
              <w:pStyle w:val="Lgende"/>
              <w:spacing w:after="0"/>
              <w:jc w:val="both"/>
              <w:rPr>
                <w:rFonts w:cs="Times New Roman"/>
                <w:b w:val="0"/>
                <w:sz w:val="24"/>
                <w:szCs w:val="24"/>
              </w:rPr>
            </w:pPr>
            <w:r w:rsidRPr="00E25255">
              <w:rPr>
                <w:rFonts w:cs="Times New Roman"/>
                <w:b w:val="0"/>
                <w:sz w:val="24"/>
                <w:szCs w:val="24"/>
              </w:rPr>
              <w:t>Tableau (8) : Impact global du SCF sur les capitaux propres (hors l’impact du reclassement)</w:t>
            </w:r>
          </w:p>
        </w:tc>
        <w:tc>
          <w:tcPr>
            <w:tcW w:w="950" w:type="dxa"/>
            <w:vAlign w:val="center"/>
          </w:tcPr>
          <w:p w:rsidR="0018245E" w:rsidRPr="00CA06EA" w:rsidRDefault="0018245E" w:rsidP="00F61BE2">
            <w:pPr>
              <w:numPr>
                <w:ilvl w:val="1"/>
                <w:numId w:val="0"/>
              </w:numPr>
              <w:jc w:val="center"/>
              <w:rPr>
                <w:rFonts w:ascii="Times New Roman" w:eastAsia="Times New Roman" w:hAnsi="Times New Roman" w:cs="Times New Roman"/>
                <w:iCs/>
                <w:color w:val="262626"/>
                <w:spacing w:val="15"/>
                <w:szCs w:val="24"/>
              </w:rPr>
            </w:pPr>
            <w:r>
              <w:rPr>
                <w:rFonts w:ascii="Times New Roman" w:eastAsia="Times New Roman" w:hAnsi="Times New Roman" w:cs="Times New Roman"/>
                <w:iCs/>
                <w:color w:val="262626"/>
                <w:spacing w:val="15"/>
                <w:szCs w:val="24"/>
              </w:rPr>
              <w:t>107</w:t>
            </w:r>
          </w:p>
        </w:tc>
      </w:tr>
      <w:tr w:rsidR="0018245E" w:rsidRPr="00CA06EA" w:rsidTr="00F61BE2">
        <w:trPr>
          <w:trHeight w:val="325"/>
        </w:trPr>
        <w:tc>
          <w:tcPr>
            <w:tcW w:w="8656" w:type="dxa"/>
          </w:tcPr>
          <w:p w:rsidR="0018245E" w:rsidRPr="00CA06EA" w:rsidRDefault="0018245E" w:rsidP="00F61BE2">
            <w:pPr>
              <w:pStyle w:val="Lgende"/>
              <w:spacing w:after="0"/>
              <w:jc w:val="both"/>
              <w:rPr>
                <w:rFonts w:cs="Times New Roman"/>
                <w:b w:val="0"/>
                <w:sz w:val="24"/>
                <w:szCs w:val="24"/>
              </w:rPr>
            </w:pPr>
            <w:r w:rsidRPr="00E25255">
              <w:rPr>
                <w:rFonts w:cs="Times New Roman"/>
                <w:b w:val="0"/>
                <w:sz w:val="24"/>
                <w:szCs w:val="24"/>
              </w:rPr>
              <w:t xml:space="preserve">Tableau (9) : Résultats du test de </w:t>
            </w:r>
            <w:proofErr w:type="spellStart"/>
            <w:r w:rsidRPr="00E25255">
              <w:rPr>
                <w:rFonts w:cs="Times New Roman"/>
                <w:b w:val="0"/>
                <w:sz w:val="24"/>
                <w:szCs w:val="24"/>
              </w:rPr>
              <w:t>Wilcoxon</w:t>
            </w:r>
            <w:proofErr w:type="spellEnd"/>
            <w:r w:rsidRPr="00E25255">
              <w:rPr>
                <w:rFonts w:cs="Times New Roman"/>
                <w:b w:val="0"/>
                <w:sz w:val="24"/>
                <w:szCs w:val="24"/>
              </w:rPr>
              <w:t xml:space="preserve"> concernant la variation des CP (hors variation liée au reclassement)</w:t>
            </w:r>
          </w:p>
        </w:tc>
        <w:tc>
          <w:tcPr>
            <w:tcW w:w="950" w:type="dxa"/>
            <w:vAlign w:val="center"/>
          </w:tcPr>
          <w:p w:rsidR="0018245E" w:rsidRPr="00CA06EA" w:rsidRDefault="0018245E" w:rsidP="00F61BE2">
            <w:pPr>
              <w:numPr>
                <w:ilvl w:val="1"/>
                <w:numId w:val="0"/>
              </w:numPr>
              <w:jc w:val="center"/>
              <w:rPr>
                <w:rFonts w:ascii="Times New Roman" w:eastAsia="Times New Roman" w:hAnsi="Times New Roman" w:cs="Times New Roman"/>
                <w:iCs/>
                <w:color w:val="262626"/>
                <w:spacing w:val="15"/>
                <w:szCs w:val="24"/>
              </w:rPr>
            </w:pPr>
            <w:r>
              <w:rPr>
                <w:rFonts w:ascii="Times New Roman" w:eastAsia="Times New Roman" w:hAnsi="Times New Roman" w:cs="Times New Roman"/>
                <w:iCs/>
                <w:color w:val="262626"/>
                <w:spacing w:val="15"/>
                <w:szCs w:val="24"/>
              </w:rPr>
              <w:t>108</w:t>
            </w:r>
          </w:p>
        </w:tc>
      </w:tr>
      <w:tr w:rsidR="0018245E" w:rsidRPr="00CA06EA" w:rsidTr="00F61BE2">
        <w:trPr>
          <w:trHeight w:val="325"/>
        </w:trPr>
        <w:tc>
          <w:tcPr>
            <w:tcW w:w="8656" w:type="dxa"/>
          </w:tcPr>
          <w:p w:rsidR="0018245E" w:rsidRPr="00CA06EA" w:rsidRDefault="0018245E" w:rsidP="00F61BE2">
            <w:pPr>
              <w:pStyle w:val="Lgende"/>
              <w:spacing w:after="0"/>
              <w:jc w:val="both"/>
              <w:rPr>
                <w:rFonts w:cs="Times New Roman"/>
                <w:b w:val="0"/>
                <w:sz w:val="24"/>
                <w:szCs w:val="24"/>
              </w:rPr>
            </w:pPr>
            <w:r w:rsidRPr="00E25255">
              <w:rPr>
                <w:rFonts w:cs="Times New Roman"/>
                <w:b w:val="0"/>
                <w:sz w:val="24"/>
                <w:szCs w:val="24"/>
              </w:rPr>
              <w:t>Tableau (10) : analyse de l’impact du SCF sur les capitaux propres (hors l’impact du reclassement)</w:t>
            </w:r>
          </w:p>
        </w:tc>
        <w:tc>
          <w:tcPr>
            <w:tcW w:w="950" w:type="dxa"/>
            <w:vAlign w:val="center"/>
          </w:tcPr>
          <w:p w:rsidR="0018245E" w:rsidRPr="00CA06EA" w:rsidRDefault="0018245E" w:rsidP="00F61BE2">
            <w:pPr>
              <w:numPr>
                <w:ilvl w:val="1"/>
                <w:numId w:val="0"/>
              </w:numPr>
              <w:jc w:val="center"/>
              <w:rPr>
                <w:rFonts w:ascii="Times New Roman" w:eastAsia="Times New Roman" w:hAnsi="Times New Roman" w:cs="Times New Roman"/>
                <w:iCs/>
                <w:color w:val="262626"/>
                <w:spacing w:val="15"/>
                <w:szCs w:val="24"/>
              </w:rPr>
            </w:pPr>
            <w:r>
              <w:rPr>
                <w:rFonts w:ascii="Times New Roman" w:eastAsia="Times New Roman" w:hAnsi="Times New Roman" w:cs="Times New Roman"/>
                <w:iCs/>
                <w:color w:val="262626"/>
                <w:spacing w:val="15"/>
                <w:szCs w:val="24"/>
              </w:rPr>
              <w:t>109</w:t>
            </w:r>
          </w:p>
        </w:tc>
      </w:tr>
      <w:tr w:rsidR="0018245E" w:rsidRPr="00CA06EA" w:rsidTr="00F61BE2">
        <w:trPr>
          <w:trHeight w:val="325"/>
        </w:trPr>
        <w:tc>
          <w:tcPr>
            <w:tcW w:w="8656" w:type="dxa"/>
          </w:tcPr>
          <w:p w:rsidR="0018245E" w:rsidRPr="00CA06EA" w:rsidRDefault="0018245E" w:rsidP="00F61BE2">
            <w:pPr>
              <w:pStyle w:val="Lgende"/>
              <w:spacing w:after="0"/>
              <w:jc w:val="both"/>
              <w:rPr>
                <w:rFonts w:cs="Times New Roman"/>
                <w:b w:val="0"/>
                <w:sz w:val="24"/>
                <w:szCs w:val="24"/>
              </w:rPr>
            </w:pPr>
            <w:r w:rsidRPr="00E25255">
              <w:rPr>
                <w:rFonts w:cs="Times New Roman"/>
                <w:b w:val="0"/>
                <w:sz w:val="24"/>
                <w:szCs w:val="24"/>
              </w:rPr>
              <w:t>Tableau (11) : Impact sur les CP relatif aux Changements de méthodes et d’estimation</w:t>
            </w:r>
          </w:p>
        </w:tc>
        <w:tc>
          <w:tcPr>
            <w:tcW w:w="950" w:type="dxa"/>
            <w:vAlign w:val="center"/>
          </w:tcPr>
          <w:p w:rsidR="0018245E" w:rsidRPr="00CA06EA" w:rsidRDefault="0018245E" w:rsidP="00F61BE2">
            <w:pPr>
              <w:numPr>
                <w:ilvl w:val="1"/>
                <w:numId w:val="0"/>
              </w:numPr>
              <w:jc w:val="center"/>
              <w:rPr>
                <w:rFonts w:ascii="Times New Roman" w:eastAsia="Times New Roman" w:hAnsi="Times New Roman" w:cs="Times New Roman"/>
                <w:iCs/>
                <w:color w:val="262626"/>
                <w:spacing w:val="15"/>
                <w:szCs w:val="24"/>
              </w:rPr>
            </w:pPr>
            <w:r>
              <w:rPr>
                <w:rFonts w:ascii="Times New Roman" w:eastAsia="Times New Roman" w:hAnsi="Times New Roman" w:cs="Times New Roman"/>
                <w:iCs/>
                <w:color w:val="262626"/>
                <w:spacing w:val="15"/>
                <w:szCs w:val="24"/>
              </w:rPr>
              <w:t>109</w:t>
            </w:r>
          </w:p>
        </w:tc>
      </w:tr>
      <w:tr w:rsidR="0018245E" w:rsidRPr="00CA06EA" w:rsidTr="00F61BE2">
        <w:trPr>
          <w:trHeight w:val="325"/>
        </w:trPr>
        <w:tc>
          <w:tcPr>
            <w:tcW w:w="8656" w:type="dxa"/>
          </w:tcPr>
          <w:p w:rsidR="0018245E" w:rsidRPr="00CA06EA" w:rsidRDefault="0018245E" w:rsidP="00F61BE2">
            <w:pPr>
              <w:pStyle w:val="Lgende"/>
              <w:spacing w:after="0"/>
              <w:jc w:val="both"/>
              <w:rPr>
                <w:rFonts w:cs="Times New Roman"/>
                <w:b w:val="0"/>
                <w:sz w:val="24"/>
                <w:szCs w:val="24"/>
              </w:rPr>
            </w:pPr>
            <w:r w:rsidRPr="00E25255">
              <w:rPr>
                <w:rFonts w:cs="Times New Roman"/>
                <w:b w:val="0"/>
                <w:sz w:val="24"/>
                <w:szCs w:val="24"/>
              </w:rPr>
              <w:t>Tableau (12) : Impact global du SCF sur les résultats</w:t>
            </w:r>
          </w:p>
        </w:tc>
        <w:tc>
          <w:tcPr>
            <w:tcW w:w="950" w:type="dxa"/>
            <w:vAlign w:val="center"/>
          </w:tcPr>
          <w:p w:rsidR="0018245E" w:rsidRPr="00CA06EA" w:rsidRDefault="0018245E" w:rsidP="00F61BE2">
            <w:pPr>
              <w:numPr>
                <w:ilvl w:val="1"/>
                <w:numId w:val="0"/>
              </w:numPr>
              <w:jc w:val="center"/>
              <w:rPr>
                <w:rFonts w:ascii="Times New Roman" w:eastAsia="Times New Roman" w:hAnsi="Times New Roman" w:cs="Times New Roman"/>
                <w:iCs/>
                <w:color w:val="262626"/>
                <w:spacing w:val="15"/>
                <w:szCs w:val="24"/>
              </w:rPr>
            </w:pPr>
            <w:r>
              <w:rPr>
                <w:rFonts w:ascii="Times New Roman" w:eastAsia="Times New Roman" w:hAnsi="Times New Roman" w:cs="Times New Roman"/>
                <w:iCs/>
                <w:color w:val="262626"/>
                <w:spacing w:val="15"/>
                <w:szCs w:val="24"/>
              </w:rPr>
              <w:t>109</w:t>
            </w:r>
          </w:p>
        </w:tc>
      </w:tr>
      <w:tr w:rsidR="0018245E" w:rsidRPr="00CA06EA" w:rsidTr="00F61BE2">
        <w:trPr>
          <w:trHeight w:val="325"/>
        </w:trPr>
        <w:tc>
          <w:tcPr>
            <w:tcW w:w="8656" w:type="dxa"/>
          </w:tcPr>
          <w:p w:rsidR="0018245E" w:rsidRPr="00CA06EA" w:rsidRDefault="0018245E" w:rsidP="00F61BE2">
            <w:pPr>
              <w:pStyle w:val="Lgende"/>
              <w:spacing w:after="0"/>
              <w:jc w:val="both"/>
              <w:rPr>
                <w:rFonts w:cs="Times New Roman"/>
                <w:b w:val="0"/>
                <w:sz w:val="24"/>
                <w:szCs w:val="24"/>
              </w:rPr>
            </w:pPr>
            <w:r w:rsidRPr="00E25255">
              <w:rPr>
                <w:rFonts w:cs="Times New Roman"/>
                <w:b w:val="0"/>
                <w:sz w:val="24"/>
                <w:szCs w:val="24"/>
              </w:rPr>
              <w:t xml:space="preserve">Tableau (13) : Résultats du test de </w:t>
            </w:r>
            <w:proofErr w:type="spellStart"/>
            <w:r w:rsidRPr="00E25255">
              <w:rPr>
                <w:rFonts w:cs="Times New Roman"/>
                <w:b w:val="0"/>
                <w:sz w:val="24"/>
                <w:szCs w:val="24"/>
              </w:rPr>
              <w:t>Wilcoxon</w:t>
            </w:r>
            <w:proofErr w:type="spellEnd"/>
            <w:r w:rsidRPr="00E25255">
              <w:rPr>
                <w:rFonts w:cs="Times New Roman"/>
                <w:b w:val="0"/>
                <w:sz w:val="24"/>
                <w:szCs w:val="24"/>
              </w:rPr>
              <w:t xml:space="preserve"> concernant la variation des résultats</w:t>
            </w:r>
          </w:p>
        </w:tc>
        <w:tc>
          <w:tcPr>
            <w:tcW w:w="950" w:type="dxa"/>
            <w:vAlign w:val="center"/>
          </w:tcPr>
          <w:p w:rsidR="0018245E" w:rsidRPr="00CA06EA" w:rsidRDefault="0018245E" w:rsidP="00F61BE2">
            <w:pPr>
              <w:numPr>
                <w:ilvl w:val="1"/>
                <w:numId w:val="0"/>
              </w:numPr>
              <w:jc w:val="center"/>
              <w:rPr>
                <w:rFonts w:ascii="Times New Roman" w:eastAsia="Times New Roman" w:hAnsi="Times New Roman" w:cs="Times New Roman"/>
                <w:iCs/>
                <w:color w:val="262626"/>
                <w:spacing w:val="15"/>
                <w:szCs w:val="24"/>
              </w:rPr>
            </w:pPr>
            <w:r>
              <w:rPr>
                <w:rFonts w:ascii="Times New Roman" w:eastAsia="Times New Roman" w:hAnsi="Times New Roman" w:cs="Times New Roman"/>
                <w:iCs/>
                <w:color w:val="262626"/>
                <w:spacing w:val="15"/>
                <w:szCs w:val="24"/>
              </w:rPr>
              <w:t>110</w:t>
            </w:r>
          </w:p>
        </w:tc>
      </w:tr>
      <w:tr w:rsidR="0018245E" w:rsidRPr="00CA06EA" w:rsidTr="00F61BE2">
        <w:trPr>
          <w:trHeight w:val="325"/>
        </w:trPr>
        <w:tc>
          <w:tcPr>
            <w:tcW w:w="8656" w:type="dxa"/>
          </w:tcPr>
          <w:p w:rsidR="0018245E" w:rsidRPr="00CA06EA" w:rsidRDefault="0018245E" w:rsidP="00F61BE2">
            <w:pPr>
              <w:pStyle w:val="Lgende"/>
              <w:spacing w:after="0"/>
              <w:jc w:val="both"/>
              <w:rPr>
                <w:rFonts w:cs="Times New Roman"/>
                <w:b w:val="0"/>
                <w:sz w:val="24"/>
                <w:szCs w:val="24"/>
              </w:rPr>
            </w:pPr>
            <w:r w:rsidRPr="00E25255">
              <w:rPr>
                <w:rFonts w:cs="Times New Roman"/>
                <w:b w:val="0"/>
                <w:sz w:val="24"/>
                <w:szCs w:val="24"/>
              </w:rPr>
              <w:t>Tableau (14) : analyse de l’impact du SCF sur les résultats</w:t>
            </w:r>
          </w:p>
        </w:tc>
        <w:tc>
          <w:tcPr>
            <w:tcW w:w="950" w:type="dxa"/>
            <w:vAlign w:val="center"/>
          </w:tcPr>
          <w:p w:rsidR="0018245E" w:rsidRPr="00CA06EA" w:rsidRDefault="0018245E" w:rsidP="00F61BE2">
            <w:pPr>
              <w:numPr>
                <w:ilvl w:val="1"/>
                <w:numId w:val="0"/>
              </w:numPr>
              <w:jc w:val="center"/>
              <w:rPr>
                <w:rFonts w:ascii="Times New Roman" w:eastAsia="Times New Roman" w:hAnsi="Times New Roman" w:cs="Times New Roman"/>
                <w:iCs/>
                <w:color w:val="262626"/>
                <w:spacing w:val="15"/>
                <w:szCs w:val="24"/>
              </w:rPr>
            </w:pPr>
            <w:r>
              <w:rPr>
                <w:rFonts w:ascii="Times New Roman" w:eastAsia="Times New Roman" w:hAnsi="Times New Roman" w:cs="Times New Roman"/>
                <w:iCs/>
                <w:color w:val="262626"/>
                <w:spacing w:val="15"/>
                <w:szCs w:val="24"/>
              </w:rPr>
              <w:t>111</w:t>
            </w:r>
          </w:p>
        </w:tc>
      </w:tr>
    </w:tbl>
    <w:p w:rsidR="0018245E" w:rsidRDefault="0018245E" w:rsidP="00ED6B49">
      <w:pPr>
        <w:spacing w:before="0" w:beforeAutospacing="0" w:after="0" w:afterAutospacing="0" w:line="276" w:lineRule="auto"/>
        <w:rPr>
          <w:rFonts w:ascii="Times New Roman" w:hAnsi="Times New Roman" w:cs="Times New Roman"/>
          <w:b/>
          <w:i/>
          <w:sz w:val="24"/>
        </w:rPr>
      </w:pPr>
    </w:p>
    <w:p w:rsidR="0018245E" w:rsidRPr="0018245E" w:rsidRDefault="0018245E" w:rsidP="0018245E">
      <w:pPr>
        <w:rPr>
          <w:rFonts w:ascii="Times New Roman" w:hAnsi="Times New Roman" w:cs="Times New Roman"/>
          <w:sz w:val="24"/>
        </w:rPr>
      </w:pPr>
    </w:p>
    <w:p w:rsidR="0018245E" w:rsidRPr="0018245E" w:rsidRDefault="0018245E" w:rsidP="0018245E">
      <w:pPr>
        <w:rPr>
          <w:rFonts w:ascii="Times New Roman" w:hAnsi="Times New Roman" w:cs="Times New Roman"/>
          <w:sz w:val="24"/>
        </w:rPr>
      </w:pPr>
    </w:p>
    <w:p w:rsidR="0018245E" w:rsidRPr="0018245E" w:rsidRDefault="0018245E" w:rsidP="0018245E">
      <w:pPr>
        <w:rPr>
          <w:rFonts w:ascii="Times New Roman" w:hAnsi="Times New Roman" w:cs="Times New Roman"/>
          <w:sz w:val="24"/>
        </w:rPr>
      </w:pPr>
    </w:p>
    <w:p w:rsidR="0018245E" w:rsidRDefault="0018245E" w:rsidP="0018245E">
      <w:pPr>
        <w:tabs>
          <w:tab w:val="left" w:pos="2310"/>
          <w:tab w:val="center" w:pos="4251"/>
        </w:tabs>
        <w:jc w:val="left"/>
        <w:rPr>
          <w:rFonts w:ascii="Times New Roman" w:hAnsi="Times New Roman" w:cs="Times New Roman"/>
          <w:sz w:val="24"/>
        </w:rPr>
      </w:pPr>
      <w:r>
        <w:rPr>
          <w:rFonts w:ascii="Times New Roman" w:hAnsi="Times New Roman" w:cs="Times New Roman"/>
          <w:sz w:val="24"/>
        </w:rPr>
        <w:tab/>
      </w:r>
    </w:p>
    <w:p w:rsidR="0018245E" w:rsidRDefault="0018245E" w:rsidP="0018245E">
      <w:pPr>
        <w:tabs>
          <w:tab w:val="left" w:pos="2310"/>
          <w:tab w:val="center" w:pos="4251"/>
        </w:tabs>
        <w:jc w:val="left"/>
        <w:rPr>
          <w:rFonts w:ascii="Times New Roman" w:hAnsi="Times New Roman" w:cs="Times New Roman"/>
          <w:sz w:val="24"/>
        </w:rPr>
      </w:pPr>
    </w:p>
    <w:p w:rsidR="0018245E" w:rsidRDefault="0018245E" w:rsidP="0018245E">
      <w:pPr>
        <w:tabs>
          <w:tab w:val="left" w:pos="2310"/>
          <w:tab w:val="center" w:pos="4251"/>
        </w:tabs>
        <w:jc w:val="left"/>
        <w:rPr>
          <w:rFonts w:ascii="Times New Roman" w:hAnsi="Times New Roman" w:cs="Times New Roman"/>
          <w:sz w:val="24"/>
        </w:rPr>
      </w:pPr>
    </w:p>
    <w:p w:rsidR="0018245E" w:rsidRDefault="0018245E" w:rsidP="0018245E">
      <w:pPr>
        <w:tabs>
          <w:tab w:val="left" w:pos="2310"/>
          <w:tab w:val="center" w:pos="4251"/>
        </w:tabs>
        <w:jc w:val="left"/>
        <w:rPr>
          <w:rFonts w:ascii="Times New Roman" w:hAnsi="Times New Roman" w:cs="Times New Roman"/>
          <w:sz w:val="24"/>
        </w:rPr>
      </w:pPr>
    </w:p>
    <w:p w:rsidR="0018245E" w:rsidRDefault="0018245E" w:rsidP="0018245E">
      <w:pPr>
        <w:tabs>
          <w:tab w:val="left" w:pos="2310"/>
          <w:tab w:val="center" w:pos="4251"/>
        </w:tabs>
        <w:jc w:val="left"/>
        <w:rPr>
          <w:rFonts w:ascii="Times New Roman" w:hAnsi="Times New Roman" w:cs="Times New Roman"/>
          <w:sz w:val="24"/>
        </w:rPr>
      </w:pPr>
    </w:p>
    <w:p w:rsidR="0018245E" w:rsidRDefault="0018245E" w:rsidP="0018245E">
      <w:pPr>
        <w:tabs>
          <w:tab w:val="left" w:pos="2310"/>
          <w:tab w:val="center" w:pos="4251"/>
        </w:tabs>
        <w:jc w:val="left"/>
        <w:rPr>
          <w:rFonts w:ascii="Times New Roman" w:hAnsi="Times New Roman" w:cs="Times New Roman"/>
          <w:sz w:val="24"/>
        </w:rPr>
      </w:pPr>
    </w:p>
    <w:p w:rsidR="0018245E" w:rsidRDefault="0018245E" w:rsidP="0018245E">
      <w:pPr>
        <w:tabs>
          <w:tab w:val="left" w:pos="2310"/>
          <w:tab w:val="center" w:pos="4251"/>
        </w:tabs>
        <w:jc w:val="left"/>
        <w:rPr>
          <w:rFonts w:ascii="Times New Roman" w:hAnsi="Times New Roman" w:cs="Times New Roman"/>
          <w:sz w:val="24"/>
        </w:rPr>
      </w:pPr>
    </w:p>
    <w:p w:rsidR="0018245E" w:rsidRDefault="0018245E" w:rsidP="0018245E">
      <w:pPr>
        <w:tabs>
          <w:tab w:val="left" w:pos="2310"/>
          <w:tab w:val="center" w:pos="4251"/>
        </w:tabs>
        <w:jc w:val="left"/>
        <w:rPr>
          <w:rFonts w:ascii="Times New Roman" w:hAnsi="Times New Roman" w:cs="Times New Roman"/>
          <w:sz w:val="24"/>
        </w:rPr>
      </w:pPr>
    </w:p>
    <w:p w:rsidR="0018245E" w:rsidRDefault="0018245E" w:rsidP="0018245E">
      <w:pPr>
        <w:tabs>
          <w:tab w:val="left" w:pos="2310"/>
          <w:tab w:val="center" w:pos="4251"/>
        </w:tabs>
        <w:jc w:val="left"/>
        <w:rPr>
          <w:rFonts w:ascii="Times New Roman" w:hAnsi="Times New Roman" w:cs="Times New Roman"/>
          <w:sz w:val="24"/>
        </w:rPr>
      </w:pPr>
    </w:p>
    <w:p w:rsidR="0018245E" w:rsidRDefault="0018245E" w:rsidP="0018245E">
      <w:pPr>
        <w:tabs>
          <w:tab w:val="left" w:pos="2310"/>
          <w:tab w:val="center" w:pos="4251"/>
        </w:tabs>
        <w:jc w:val="left"/>
        <w:rPr>
          <w:rFonts w:ascii="Times New Roman" w:hAnsi="Times New Roman" w:cs="Times New Roman"/>
          <w:sz w:val="24"/>
        </w:rPr>
      </w:pPr>
    </w:p>
    <w:p w:rsidR="0018245E" w:rsidRDefault="0018245E" w:rsidP="0018245E">
      <w:pPr>
        <w:tabs>
          <w:tab w:val="left" w:pos="2310"/>
          <w:tab w:val="center" w:pos="4251"/>
        </w:tabs>
        <w:jc w:val="left"/>
        <w:rPr>
          <w:rFonts w:ascii="Times New Roman" w:hAnsi="Times New Roman" w:cs="Times New Roman"/>
          <w:sz w:val="24"/>
        </w:rPr>
        <w:sectPr w:rsidR="0018245E" w:rsidSect="0018245E">
          <w:headerReference w:type="default" r:id="rId10"/>
          <w:pgSz w:w="11906" w:h="16838"/>
          <w:pgMar w:top="1418" w:right="1418" w:bottom="1418" w:left="1418" w:header="709" w:footer="709" w:gutter="567"/>
          <w:cols w:space="708"/>
          <w:docGrid w:linePitch="360"/>
        </w:sectPr>
      </w:pPr>
    </w:p>
    <w:tbl>
      <w:tblPr>
        <w:tblStyle w:val="Grilledutableau"/>
        <w:tblpPr w:leftFromText="141" w:rightFromText="141" w:tblpY="915"/>
        <w:tblW w:w="9606" w:type="dxa"/>
        <w:tblLook w:val="04A0" w:firstRow="1" w:lastRow="0" w:firstColumn="1" w:lastColumn="0" w:noHBand="0" w:noVBand="1"/>
      </w:tblPr>
      <w:tblGrid>
        <w:gridCol w:w="8656"/>
        <w:gridCol w:w="950"/>
      </w:tblGrid>
      <w:tr w:rsidR="0018245E" w:rsidRPr="00CA06EA" w:rsidTr="00F61BE2">
        <w:trPr>
          <w:trHeight w:val="325"/>
        </w:trPr>
        <w:tc>
          <w:tcPr>
            <w:tcW w:w="8656" w:type="dxa"/>
          </w:tcPr>
          <w:p w:rsidR="0018245E" w:rsidRPr="00CA06EA" w:rsidRDefault="0018245E" w:rsidP="00F61BE2">
            <w:pPr>
              <w:jc w:val="both"/>
              <w:rPr>
                <w:rFonts w:ascii="Times New Roman" w:eastAsia="Times New Roman" w:hAnsi="Times New Roman" w:cs="Times New Roman"/>
                <w:sz w:val="24"/>
                <w:szCs w:val="24"/>
                <w:lang w:eastAsia="fr-FR"/>
              </w:rPr>
            </w:pPr>
            <w:r w:rsidRPr="00E25255">
              <w:rPr>
                <w:rFonts w:ascii="Times New Roman" w:eastAsia="Times New Roman" w:hAnsi="Times New Roman" w:cs="Times New Roman"/>
                <w:sz w:val="24"/>
                <w:szCs w:val="24"/>
                <w:lang w:eastAsia="fr-FR"/>
              </w:rPr>
              <w:lastRenderedPageBreak/>
              <w:t>Schémas (1) :</w:t>
            </w:r>
            <w:r w:rsidRPr="00F93F52">
              <w:rPr>
                <w:rFonts w:ascii="Times New Roman" w:eastAsia="Times New Roman" w:hAnsi="Times New Roman" w:cs="Times New Roman"/>
                <w:b/>
                <w:sz w:val="24"/>
                <w:szCs w:val="24"/>
                <w:lang w:eastAsia="fr-FR"/>
              </w:rPr>
              <w:t xml:space="preserve"> </w:t>
            </w:r>
            <w:r w:rsidRPr="00432CCB">
              <w:rPr>
                <w:rFonts w:ascii="Times New Roman" w:eastAsia="Times New Roman" w:hAnsi="Times New Roman" w:cs="Times New Roman"/>
                <w:sz w:val="24"/>
                <w:szCs w:val="24"/>
                <w:lang w:eastAsia="fr-FR"/>
              </w:rPr>
              <w:t>les caractéristiques de l’harmonisation, de la normalisation et de la standardisation</w:t>
            </w:r>
          </w:p>
        </w:tc>
        <w:tc>
          <w:tcPr>
            <w:tcW w:w="950" w:type="dxa"/>
            <w:vAlign w:val="center"/>
          </w:tcPr>
          <w:p w:rsidR="0018245E" w:rsidRPr="00CA06EA" w:rsidRDefault="0018245E" w:rsidP="00F61BE2">
            <w:pPr>
              <w:numPr>
                <w:ilvl w:val="1"/>
                <w:numId w:val="0"/>
              </w:numPr>
              <w:jc w:val="center"/>
              <w:rPr>
                <w:rFonts w:ascii="Times New Roman" w:eastAsia="Times New Roman" w:hAnsi="Times New Roman" w:cs="Times New Roman"/>
                <w:iCs/>
                <w:color w:val="262626"/>
                <w:spacing w:val="15"/>
                <w:szCs w:val="24"/>
              </w:rPr>
            </w:pPr>
            <w:r>
              <w:rPr>
                <w:rFonts w:ascii="Times New Roman" w:eastAsia="Times New Roman" w:hAnsi="Times New Roman" w:cs="Times New Roman"/>
                <w:iCs/>
                <w:color w:val="262626"/>
                <w:spacing w:val="15"/>
                <w:szCs w:val="24"/>
              </w:rPr>
              <w:t>15</w:t>
            </w:r>
          </w:p>
        </w:tc>
      </w:tr>
      <w:tr w:rsidR="0018245E" w:rsidRPr="00CA06EA" w:rsidTr="00F61BE2">
        <w:trPr>
          <w:trHeight w:val="325"/>
        </w:trPr>
        <w:tc>
          <w:tcPr>
            <w:tcW w:w="8656" w:type="dxa"/>
          </w:tcPr>
          <w:p w:rsidR="0018245E" w:rsidRPr="00CA06EA" w:rsidRDefault="0018245E" w:rsidP="00F61BE2">
            <w:pPr>
              <w:pStyle w:val="Lgende"/>
              <w:spacing w:after="0"/>
              <w:jc w:val="both"/>
              <w:rPr>
                <w:rFonts w:cs="Times New Roman"/>
                <w:b w:val="0"/>
                <w:sz w:val="24"/>
                <w:szCs w:val="24"/>
              </w:rPr>
            </w:pPr>
            <w:r w:rsidRPr="00E25255">
              <w:rPr>
                <w:rFonts w:cs="Times New Roman"/>
                <w:b w:val="0"/>
                <w:sz w:val="24"/>
                <w:szCs w:val="24"/>
              </w:rPr>
              <w:t>Schéma (2) : Evénements importants du processus d’harmonisation comptable internationale</w:t>
            </w:r>
          </w:p>
        </w:tc>
        <w:tc>
          <w:tcPr>
            <w:tcW w:w="950" w:type="dxa"/>
            <w:vAlign w:val="center"/>
          </w:tcPr>
          <w:p w:rsidR="0018245E" w:rsidRPr="00CA06EA" w:rsidRDefault="0018245E" w:rsidP="00F61BE2">
            <w:pPr>
              <w:numPr>
                <w:ilvl w:val="1"/>
                <w:numId w:val="0"/>
              </w:numPr>
              <w:jc w:val="center"/>
              <w:rPr>
                <w:rFonts w:ascii="Times New Roman" w:eastAsia="Times New Roman" w:hAnsi="Times New Roman" w:cs="Times New Roman"/>
                <w:iCs/>
                <w:color w:val="262626"/>
                <w:spacing w:val="15"/>
                <w:szCs w:val="24"/>
              </w:rPr>
            </w:pPr>
            <w:r>
              <w:rPr>
                <w:rFonts w:ascii="Times New Roman" w:eastAsia="Times New Roman" w:hAnsi="Times New Roman" w:cs="Times New Roman"/>
                <w:iCs/>
                <w:color w:val="262626"/>
                <w:spacing w:val="15"/>
                <w:szCs w:val="24"/>
              </w:rPr>
              <w:t>16</w:t>
            </w:r>
          </w:p>
        </w:tc>
      </w:tr>
      <w:tr w:rsidR="0018245E" w:rsidRPr="00CA06EA" w:rsidTr="00F61BE2">
        <w:trPr>
          <w:trHeight w:val="325"/>
        </w:trPr>
        <w:tc>
          <w:tcPr>
            <w:tcW w:w="8656" w:type="dxa"/>
          </w:tcPr>
          <w:p w:rsidR="0018245E" w:rsidRPr="00CA06EA" w:rsidRDefault="0018245E" w:rsidP="00F61BE2">
            <w:pPr>
              <w:pStyle w:val="Lgende"/>
              <w:spacing w:after="0"/>
              <w:jc w:val="both"/>
              <w:rPr>
                <w:rFonts w:cs="Times New Roman"/>
                <w:b w:val="0"/>
                <w:sz w:val="24"/>
                <w:szCs w:val="24"/>
              </w:rPr>
            </w:pPr>
            <w:r w:rsidRPr="00E25255">
              <w:rPr>
                <w:rFonts w:cs="Times New Roman"/>
                <w:b w:val="0"/>
                <w:sz w:val="24"/>
                <w:szCs w:val="24"/>
              </w:rPr>
              <w:t>Figure 1 :</w:t>
            </w:r>
            <w:r>
              <w:rPr>
                <w:rFonts w:cs="Times New Roman"/>
                <w:b w:val="0"/>
                <w:sz w:val="24"/>
                <w:szCs w:val="24"/>
              </w:rPr>
              <w:t xml:space="preserve"> </w:t>
            </w:r>
            <w:r w:rsidRPr="00E25255">
              <w:rPr>
                <w:rFonts w:cs="Times New Roman"/>
                <w:b w:val="0"/>
                <w:sz w:val="24"/>
                <w:szCs w:val="24"/>
              </w:rPr>
              <w:t>Carte de l’IASB sur l’utilisation des normes IFRS dans le monde</w:t>
            </w:r>
          </w:p>
        </w:tc>
        <w:tc>
          <w:tcPr>
            <w:tcW w:w="950" w:type="dxa"/>
            <w:vAlign w:val="center"/>
          </w:tcPr>
          <w:p w:rsidR="0018245E" w:rsidRPr="00CA06EA" w:rsidRDefault="0018245E" w:rsidP="00F61BE2">
            <w:pPr>
              <w:numPr>
                <w:ilvl w:val="1"/>
                <w:numId w:val="0"/>
              </w:numPr>
              <w:jc w:val="center"/>
              <w:rPr>
                <w:rFonts w:ascii="Times New Roman" w:eastAsia="Times New Roman" w:hAnsi="Times New Roman" w:cs="Times New Roman"/>
                <w:iCs/>
                <w:color w:val="262626"/>
                <w:spacing w:val="15"/>
                <w:szCs w:val="24"/>
              </w:rPr>
            </w:pPr>
            <w:r>
              <w:rPr>
                <w:rFonts w:ascii="Times New Roman" w:eastAsia="Times New Roman" w:hAnsi="Times New Roman" w:cs="Times New Roman"/>
                <w:iCs/>
                <w:color w:val="262626"/>
                <w:spacing w:val="15"/>
                <w:szCs w:val="24"/>
              </w:rPr>
              <w:t>19</w:t>
            </w:r>
          </w:p>
        </w:tc>
      </w:tr>
      <w:tr w:rsidR="0018245E" w:rsidRPr="00CA06EA" w:rsidTr="00F61BE2">
        <w:trPr>
          <w:trHeight w:val="325"/>
        </w:trPr>
        <w:tc>
          <w:tcPr>
            <w:tcW w:w="8656" w:type="dxa"/>
          </w:tcPr>
          <w:p w:rsidR="0018245E" w:rsidRPr="00CA06EA" w:rsidRDefault="0018245E" w:rsidP="00F61BE2">
            <w:pPr>
              <w:pStyle w:val="Lgende"/>
              <w:spacing w:after="0"/>
              <w:jc w:val="both"/>
              <w:rPr>
                <w:rFonts w:cs="Times New Roman"/>
                <w:b w:val="0"/>
                <w:sz w:val="24"/>
                <w:szCs w:val="24"/>
              </w:rPr>
            </w:pPr>
            <w:r w:rsidRPr="00E25255">
              <w:rPr>
                <w:rFonts w:cs="Times New Roman"/>
                <w:b w:val="0"/>
                <w:sz w:val="24"/>
                <w:szCs w:val="24"/>
              </w:rPr>
              <w:t>Schéma (3) : Structure de l'IASB</w:t>
            </w:r>
          </w:p>
        </w:tc>
        <w:tc>
          <w:tcPr>
            <w:tcW w:w="950" w:type="dxa"/>
            <w:vAlign w:val="center"/>
          </w:tcPr>
          <w:p w:rsidR="0018245E" w:rsidRPr="00CA06EA" w:rsidRDefault="0018245E" w:rsidP="00F61BE2">
            <w:pPr>
              <w:numPr>
                <w:ilvl w:val="1"/>
                <w:numId w:val="0"/>
              </w:numPr>
              <w:jc w:val="center"/>
              <w:rPr>
                <w:rFonts w:ascii="Times New Roman" w:eastAsia="Times New Roman" w:hAnsi="Times New Roman" w:cs="Times New Roman"/>
                <w:iCs/>
                <w:color w:val="262626"/>
                <w:spacing w:val="15"/>
                <w:szCs w:val="24"/>
              </w:rPr>
            </w:pPr>
            <w:r>
              <w:rPr>
                <w:rFonts w:ascii="Times New Roman" w:eastAsia="Times New Roman" w:hAnsi="Times New Roman" w:cs="Times New Roman"/>
                <w:iCs/>
                <w:color w:val="262626"/>
                <w:spacing w:val="15"/>
                <w:szCs w:val="24"/>
              </w:rPr>
              <w:t>26</w:t>
            </w:r>
          </w:p>
        </w:tc>
      </w:tr>
      <w:tr w:rsidR="0018245E" w:rsidRPr="00CA06EA" w:rsidTr="00F61BE2">
        <w:trPr>
          <w:trHeight w:val="325"/>
        </w:trPr>
        <w:tc>
          <w:tcPr>
            <w:tcW w:w="8656" w:type="dxa"/>
          </w:tcPr>
          <w:p w:rsidR="0018245E" w:rsidRPr="00CA06EA" w:rsidRDefault="0018245E" w:rsidP="00F61BE2">
            <w:pPr>
              <w:pStyle w:val="Lgende"/>
              <w:spacing w:after="0"/>
              <w:jc w:val="both"/>
              <w:rPr>
                <w:rFonts w:cs="Times New Roman"/>
                <w:b w:val="0"/>
                <w:sz w:val="24"/>
                <w:szCs w:val="24"/>
              </w:rPr>
            </w:pPr>
            <w:r w:rsidRPr="00E25255">
              <w:rPr>
                <w:rFonts w:cs="Times New Roman"/>
                <w:b w:val="0"/>
                <w:sz w:val="24"/>
                <w:szCs w:val="24"/>
              </w:rPr>
              <w:t>Schémas (4) : Procédure d'adoption d'une norme par l'IASB</w:t>
            </w:r>
          </w:p>
        </w:tc>
        <w:tc>
          <w:tcPr>
            <w:tcW w:w="950" w:type="dxa"/>
            <w:vAlign w:val="center"/>
          </w:tcPr>
          <w:p w:rsidR="0018245E" w:rsidRPr="00CA06EA" w:rsidRDefault="0018245E" w:rsidP="00F61BE2">
            <w:pPr>
              <w:numPr>
                <w:ilvl w:val="1"/>
                <w:numId w:val="0"/>
              </w:numPr>
              <w:jc w:val="center"/>
              <w:rPr>
                <w:rFonts w:ascii="Times New Roman" w:eastAsia="Times New Roman" w:hAnsi="Times New Roman" w:cs="Times New Roman"/>
                <w:iCs/>
                <w:color w:val="262626"/>
                <w:spacing w:val="15"/>
                <w:szCs w:val="24"/>
              </w:rPr>
            </w:pPr>
            <w:r>
              <w:rPr>
                <w:rFonts w:ascii="Times New Roman" w:eastAsia="Times New Roman" w:hAnsi="Times New Roman" w:cs="Times New Roman"/>
                <w:iCs/>
                <w:color w:val="262626"/>
                <w:spacing w:val="15"/>
                <w:szCs w:val="24"/>
              </w:rPr>
              <w:t>27</w:t>
            </w:r>
          </w:p>
        </w:tc>
      </w:tr>
      <w:tr w:rsidR="0018245E" w:rsidRPr="00CA06EA" w:rsidTr="00F61BE2">
        <w:trPr>
          <w:trHeight w:val="325"/>
        </w:trPr>
        <w:tc>
          <w:tcPr>
            <w:tcW w:w="8656" w:type="dxa"/>
          </w:tcPr>
          <w:p w:rsidR="0018245E" w:rsidRPr="00CA06EA" w:rsidRDefault="0018245E" w:rsidP="00F61BE2">
            <w:pPr>
              <w:pStyle w:val="Lgende"/>
              <w:spacing w:after="0"/>
              <w:jc w:val="both"/>
              <w:rPr>
                <w:rFonts w:cs="Times New Roman"/>
                <w:b w:val="0"/>
                <w:sz w:val="24"/>
                <w:szCs w:val="24"/>
              </w:rPr>
            </w:pPr>
            <w:r w:rsidRPr="00E25255">
              <w:rPr>
                <w:rFonts w:cs="Times New Roman"/>
                <w:b w:val="0"/>
                <w:sz w:val="24"/>
                <w:szCs w:val="24"/>
              </w:rPr>
              <w:t>Diagramme (1) : Variation relative des capitaux propres</w:t>
            </w:r>
          </w:p>
        </w:tc>
        <w:tc>
          <w:tcPr>
            <w:tcW w:w="950" w:type="dxa"/>
            <w:vAlign w:val="center"/>
          </w:tcPr>
          <w:p w:rsidR="0018245E" w:rsidRPr="00CA06EA" w:rsidRDefault="0018245E" w:rsidP="00F61BE2">
            <w:pPr>
              <w:numPr>
                <w:ilvl w:val="1"/>
                <w:numId w:val="0"/>
              </w:numPr>
              <w:jc w:val="center"/>
              <w:rPr>
                <w:rFonts w:ascii="Times New Roman" w:eastAsia="Times New Roman" w:hAnsi="Times New Roman" w:cs="Times New Roman"/>
                <w:iCs/>
                <w:color w:val="262626"/>
                <w:spacing w:val="15"/>
                <w:szCs w:val="24"/>
              </w:rPr>
            </w:pPr>
            <w:r>
              <w:rPr>
                <w:rFonts w:ascii="Times New Roman" w:eastAsia="Times New Roman" w:hAnsi="Times New Roman" w:cs="Times New Roman"/>
                <w:iCs/>
                <w:color w:val="262626"/>
                <w:spacing w:val="15"/>
                <w:szCs w:val="24"/>
              </w:rPr>
              <w:t>105</w:t>
            </w:r>
          </w:p>
        </w:tc>
      </w:tr>
    </w:tbl>
    <w:p w:rsidR="0018245E" w:rsidRPr="0018245E" w:rsidRDefault="0018245E" w:rsidP="0018245E">
      <w:pPr>
        <w:tabs>
          <w:tab w:val="left" w:pos="2310"/>
          <w:tab w:val="center" w:pos="4251"/>
        </w:tabs>
        <w:jc w:val="left"/>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18245E" w:rsidRDefault="0018245E" w:rsidP="0018245E">
      <w:pPr>
        <w:rPr>
          <w:rFonts w:ascii="Times New Roman" w:hAnsi="Times New Roman" w:cs="Times New Roman"/>
          <w:sz w:val="24"/>
        </w:rPr>
      </w:pPr>
    </w:p>
    <w:p w:rsidR="0018245E" w:rsidRDefault="0018245E" w:rsidP="0018245E">
      <w:pPr>
        <w:rPr>
          <w:rFonts w:ascii="Times New Roman" w:hAnsi="Times New Roman" w:cs="Times New Roman"/>
          <w:sz w:val="24"/>
        </w:rPr>
      </w:pPr>
    </w:p>
    <w:p w:rsidR="0018245E" w:rsidRDefault="0018245E" w:rsidP="0018245E">
      <w:pPr>
        <w:rPr>
          <w:rFonts w:ascii="Times New Roman" w:hAnsi="Times New Roman" w:cs="Times New Roman"/>
          <w:sz w:val="24"/>
        </w:rPr>
      </w:pPr>
    </w:p>
    <w:p w:rsidR="0018245E" w:rsidRDefault="0018245E" w:rsidP="0018245E">
      <w:pPr>
        <w:rPr>
          <w:rFonts w:ascii="Times New Roman" w:hAnsi="Times New Roman" w:cs="Times New Roman"/>
          <w:sz w:val="24"/>
        </w:rPr>
      </w:pPr>
    </w:p>
    <w:p w:rsidR="0018245E" w:rsidRDefault="0018245E" w:rsidP="0018245E">
      <w:pPr>
        <w:rPr>
          <w:rFonts w:ascii="Times New Roman" w:hAnsi="Times New Roman" w:cs="Times New Roman"/>
          <w:sz w:val="24"/>
        </w:rPr>
      </w:pPr>
    </w:p>
    <w:p w:rsidR="0018245E" w:rsidRDefault="0018245E" w:rsidP="0018245E">
      <w:pPr>
        <w:rPr>
          <w:rFonts w:ascii="Times New Roman" w:hAnsi="Times New Roman" w:cs="Times New Roman"/>
          <w:sz w:val="24"/>
        </w:rPr>
      </w:pPr>
    </w:p>
    <w:p w:rsidR="0018245E" w:rsidRDefault="0018245E" w:rsidP="0018245E">
      <w:pPr>
        <w:rPr>
          <w:rFonts w:ascii="Times New Roman" w:hAnsi="Times New Roman" w:cs="Times New Roman"/>
          <w:sz w:val="24"/>
        </w:rPr>
      </w:pPr>
    </w:p>
    <w:p w:rsidR="0018245E" w:rsidRDefault="0018245E" w:rsidP="0018245E">
      <w:pPr>
        <w:rPr>
          <w:rFonts w:ascii="Times New Roman" w:hAnsi="Times New Roman" w:cs="Times New Roman"/>
          <w:sz w:val="24"/>
        </w:rPr>
      </w:pPr>
    </w:p>
    <w:p w:rsidR="0018245E" w:rsidRDefault="0018245E" w:rsidP="0018245E">
      <w:pPr>
        <w:rPr>
          <w:rFonts w:ascii="Times New Roman" w:hAnsi="Times New Roman" w:cs="Times New Roman"/>
          <w:sz w:val="24"/>
        </w:rPr>
      </w:pPr>
    </w:p>
    <w:p w:rsidR="0018245E" w:rsidRDefault="0018245E" w:rsidP="0018245E">
      <w:pPr>
        <w:rPr>
          <w:rFonts w:ascii="Times New Roman" w:hAnsi="Times New Roman" w:cs="Times New Roman"/>
          <w:sz w:val="24"/>
        </w:rPr>
      </w:pPr>
    </w:p>
    <w:p w:rsidR="0018245E" w:rsidRDefault="0018245E" w:rsidP="0018245E">
      <w:pPr>
        <w:rPr>
          <w:rFonts w:ascii="Times New Roman" w:hAnsi="Times New Roman" w:cs="Times New Roman"/>
          <w:sz w:val="24"/>
        </w:rPr>
      </w:pPr>
    </w:p>
    <w:p w:rsidR="0018245E" w:rsidRDefault="0018245E" w:rsidP="0018245E">
      <w:pPr>
        <w:rPr>
          <w:rFonts w:ascii="Times New Roman" w:hAnsi="Times New Roman" w:cs="Times New Roman"/>
          <w:sz w:val="24"/>
        </w:rPr>
      </w:pPr>
    </w:p>
    <w:p w:rsidR="0018245E" w:rsidRDefault="0018245E" w:rsidP="0018245E">
      <w:pPr>
        <w:rPr>
          <w:rFonts w:ascii="Times New Roman" w:hAnsi="Times New Roman" w:cs="Times New Roman"/>
          <w:sz w:val="24"/>
        </w:rPr>
      </w:pPr>
    </w:p>
    <w:p w:rsidR="0018245E" w:rsidRDefault="0018245E" w:rsidP="0018245E">
      <w:pPr>
        <w:rPr>
          <w:rFonts w:ascii="Times New Roman" w:hAnsi="Times New Roman" w:cs="Times New Roman"/>
          <w:sz w:val="24"/>
        </w:rPr>
      </w:pPr>
    </w:p>
    <w:p w:rsidR="0018245E" w:rsidRDefault="0018245E" w:rsidP="0018245E">
      <w:pPr>
        <w:rPr>
          <w:rFonts w:ascii="Times New Roman" w:hAnsi="Times New Roman" w:cs="Times New Roman"/>
          <w:sz w:val="24"/>
        </w:rPr>
      </w:pPr>
    </w:p>
    <w:p w:rsidR="0018245E" w:rsidRDefault="0018245E" w:rsidP="0018245E">
      <w:pPr>
        <w:rPr>
          <w:rFonts w:ascii="Times New Roman" w:hAnsi="Times New Roman" w:cs="Times New Roman"/>
          <w:sz w:val="24"/>
        </w:rPr>
      </w:pPr>
    </w:p>
    <w:p w:rsidR="0018245E" w:rsidRDefault="0018245E" w:rsidP="0018245E">
      <w:pPr>
        <w:rPr>
          <w:rFonts w:ascii="Times New Roman" w:hAnsi="Times New Roman" w:cs="Times New Roman"/>
          <w:sz w:val="24"/>
        </w:rPr>
      </w:pPr>
    </w:p>
    <w:p w:rsidR="0018245E" w:rsidRDefault="0018245E" w:rsidP="0018245E">
      <w:pPr>
        <w:rPr>
          <w:rFonts w:ascii="Times New Roman" w:hAnsi="Times New Roman" w:cs="Times New Roman"/>
          <w:sz w:val="24"/>
        </w:rPr>
      </w:pPr>
    </w:p>
    <w:p w:rsidR="0018245E" w:rsidRDefault="0018245E" w:rsidP="0018245E">
      <w:pPr>
        <w:rPr>
          <w:rFonts w:ascii="Times New Roman" w:hAnsi="Times New Roman" w:cs="Times New Roman"/>
          <w:sz w:val="24"/>
        </w:rPr>
        <w:sectPr w:rsidR="0018245E" w:rsidSect="0018245E">
          <w:headerReference w:type="default" r:id="rId11"/>
          <w:pgSz w:w="11906" w:h="16838"/>
          <w:pgMar w:top="1418" w:right="1418" w:bottom="1418" w:left="1418" w:header="709" w:footer="709" w:gutter="567"/>
          <w:cols w:space="708"/>
          <w:docGrid w:linePitch="360"/>
        </w:sectPr>
      </w:pPr>
    </w:p>
    <w:p w:rsidR="0018245E" w:rsidRDefault="0018245E" w:rsidP="0018245E">
      <w:pPr>
        <w:rPr>
          <w:rFonts w:ascii="Times New Roman" w:hAnsi="Times New Roman" w:cs="Times New Roman"/>
          <w:sz w:val="24"/>
        </w:rPr>
      </w:pPr>
    </w:p>
    <w:p w:rsidR="0018245E" w:rsidRDefault="0018245E" w:rsidP="0018245E">
      <w:pPr>
        <w:rPr>
          <w:rFonts w:ascii="Times New Roman" w:hAnsi="Times New Roman" w:cs="Times New Roman"/>
          <w:sz w:val="24"/>
        </w:rPr>
      </w:pPr>
    </w:p>
    <w:p w:rsidR="0018245E" w:rsidRDefault="0018245E" w:rsidP="0018245E">
      <w:pPr>
        <w:rPr>
          <w:rFonts w:ascii="Times New Roman" w:hAnsi="Times New Roman" w:cs="Times New Roman"/>
          <w:sz w:val="24"/>
        </w:rPr>
      </w:pPr>
    </w:p>
    <w:p w:rsidR="0018245E" w:rsidRDefault="0018245E" w:rsidP="0018245E">
      <w:pPr>
        <w:rPr>
          <w:rFonts w:ascii="Times New Roman" w:hAnsi="Times New Roman" w:cs="Times New Roman"/>
          <w:sz w:val="24"/>
        </w:rPr>
      </w:pPr>
    </w:p>
    <w:p w:rsidR="0018245E" w:rsidRDefault="0018245E" w:rsidP="0018245E">
      <w:pPr>
        <w:rPr>
          <w:rFonts w:ascii="Times New Roman" w:hAnsi="Times New Roman" w:cs="Times New Roman"/>
          <w:sz w:val="24"/>
        </w:rPr>
      </w:pPr>
    </w:p>
    <w:p w:rsidR="0018245E" w:rsidRDefault="0018245E" w:rsidP="0018245E">
      <w:pPr>
        <w:rPr>
          <w:rFonts w:ascii="Times New Roman" w:hAnsi="Times New Roman" w:cs="Times New Roman"/>
          <w:sz w:val="24"/>
        </w:rPr>
      </w:pPr>
    </w:p>
    <w:p w:rsidR="0018245E" w:rsidRDefault="0018245E" w:rsidP="0018245E">
      <w:pPr>
        <w:rPr>
          <w:rFonts w:ascii="Times New Roman" w:hAnsi="Times New Roman" w:cs="Times New Roman"/>
          <w:sz w:val="24"/>
        </w:rPr>
      </w:pPr>
    </w:p>
    <w:p w:rsidR="0018245E" w:rsidRDefault="0018245E" w:rsidP="0018245E">
      <w:pPr>
        <w:rPr>
          <w:rFonts w:ascii="Times New Roman" w:hAnsi="Times New Roman" w:cs="Times New Roman"/>
          <w:sz w:val="24"/>
        </w:rPr>
      </w:pPr>
    </w:p>
    <w:p w:rsidR="0018245E" w:rsidRDefault="0018245E" w:rsidP="0018245E">
      <w:pPr>
        <w:rPr>
          <w:rFonts w:ascii="Times New Roman" w:hAnsi="Times New Roman" w:cs="Times New Roman"/>
          <w:sz w:val="24"/>
        </w:rPr>
      </w:pPr>
    </w:p>
    <w:p w:rsidR="0018245E" w:rsidRDefault="0018245E" w:rsidP="0018245E">
      <w:pPr>
        <w:rPr>
          <w:rFonts w:ascii="Times New Roman" w:hAnsi="Times New Roman" w:cs="Times New Roman"/>
          <w:sz w:val="24"/>
        </w:rPr>
      </w:pPr>
    </w:p>
    <w:p w:rsidR="0018245E" w:rsidRDefault="0018245E" w:rsidP="0018245E">
      <w:pPr>
        <w:rPr>
          <w:rFonts w:ascii="Times New Roman" w:hAnsi="Times New Roman" w:cs="Times New Roman"/>
          <w:sz w:val="24"/>
        </w:rPr>
      </w:pPr>
    </w:p>
    <w:p w:rsidR="0018245E" w:rsidRDefault="0018245E" w:rsidP="0018245E">
      <w:pPr>
        <w:rPr>
          <w:rFonts w:ascii="Times New Roman" w:hAnsi="Times New Roman" w:cs="Times New Roman"/>
          <w:sz w:val="24"/>
        </w:rPr>
      </w:pPr>
    </w:p>
    <w:p w:rsidR="0018245E" w:rsidRDefault="0018245E" w:rsidP="0018245E">
      <w:pPr>
        <w:rPr>
          <w:rFonts w:ascii="Times New Roman" w:hAnsi="Times New Roman" w:cs="Times New Roman"/>
          <w:sz w:val="24"/>
        </w:rPr>
      </w:pPr>
    </w:p>
    <w:p w:rsidR="0018245E" w:rsidRDefault="0018245E" w:rsidP="0018245E">
      <w:pPr>
        <w:rPr>
          <w:rFonts w:ascii="Times New Roman" w:hAnsi="Times New Roman" w:cs="Times New Roman"/>
          <w:sz w:val="24"/>
        </w:rPr>
      </w:pPr>
    </w:p>
    <w:p w:rsidR="0018245E" w:rsidRDefault="0018245E" w:rsidP="0018245E">
      <w:pPr>
        <w:rPr>
          <w:rFonts w:ascii="Times New Roman" w:hAnsi="Times New Roman" w:cs="Times New Roman"/>
          <w:sz w:val="24"/>
        </w:rPr>
      </w:pPr>
    </w:p>
    <w:p w:rsidR="0018245E" w:rsidRDefault="0018245E" w:rsidP="0018245E">
      <w:pPr>
        <w:rPr>
          <w:rFonts w:ascii="Times New Roman" w:hAnsi="Times New Roman" w:cs="Times New Roman"/>
          <w:sz w:val="24"/>
        </w:rPr>
      </w:pPr>
    </w:p>
    <w:p w:rsidR="0018245E" w:rsidRDefault="0018245E" w:rsidP="0018245E">
      <w:pPr>
        <w:rPr>
          <w:rFonts w:ascii="Times New Roman" w:hAnsi="Times New Roman" w:cs="Times New Roman"/>
          <w:sz w:val="24"/>
        </w:rPr>
      </w:pPr>
    </w:p>
    <w:p w:rsidR="0018245E" w:rsidRDefault="0018245E" w:rsidP="0018245E">
      <w:pPr>
        <w:rPr>
          <w:rFonts w:ascii="Times New Roman" w:hAnsi="Times New Roman" w:cs="Times New Roman"/>
          <w:sz w:val="24"/>
        </w:rPr>
      </w:pPr>
    </w:p>
    <w:p w:rsidR="0018245E" w:rsidRDefault="0018245E" w:rsidP="0018245E">
      <w:pPr>
        <w:rPr>
          <w:rFonts w:ascii="Times New Roman" w:hAnsi="Times New Roman" w:cs="Times New Roman"/>
          <w:sz w:val="24"/>
        </w:rPr>
      </w:pPr>
    </w:p>
    <w:p w:rsidR="0018245E" w:rsidRDefault="0018245E" w:rsidP="0018245E">
      <w:pPr>
        <w:rPr>
          <w:rFonts w:ascii="Times New Roman" w:hAnsi="Times New Roman" w:cs="Times New Roman"/>
          <w:sz w:val="24"/>
        </w:rPr>
      </w:pPr>
    </w:p>
    <w:p w:rsidR="0018245E" w:rsidRDefault="0018245E" w:rsidP="0018245E">
      <w:pPr>
        <w:rPr>
          <w:rFonts w:ascii="Times New Roman" w:hAnsi="Times New Roman" w:cs="Times New Roman"/>
          <w:sz w:val="24"/>
        </w:rPr>
      </w:pPr>
    </w:p>
    <w:p w:rsidR="0018245E" w:rsidRDefault="0018245E" w:rsidP="0018245E">
      <w:pPr>
        <w:rPr>
          <w:rFonts w:ascii="Times New Roman" w:hAnsi="Times New Roman" w:cs="Times New Roman"/>
          <w:sz w:val="24"/>
        </w:rPr>
      </w:pPr>
    </w:p>
    <w:p w:rsidR="0018245E" w:rsidRDefault="0018245E" w:rsidP="0018245E">
      <w:pPr>
        <w:rPr>
          <w:rFonts w:ascii="Times New Roman" w:hAnsi="Times New Roman" w:cs="Times New Roman"/>
          <w:sz w:val="24"/>
        </w:rPr>
      </w:pPr>
    </w:p>
    <w:p w:rsidR="0018245E" w:rsidRDefault="0018245E" w:rsidP="0018245E">
      <w:pPr>
        <w:rPr>
          <w:rFonts w:ascii="Times New Roman" w:hAnsi="Times New Roman" w:cs="Times New Roman"/>
          <w:sz w:val="24"/>
        </w:rPr>
      </w:pPr>
    </w:p>
    <w:p w:rsidR="0018245E" w:rsidRDefault="0018245E" w:rsidP="0018245E">
      <w:pPr>
        <w:rPr>
          <w:rFonts w:ascii="Times New Roman" w:hAnsi="Times New Roman" w:cs="Times New Roman"/>
          <w:sz w:val="24"/>
        </w:rPr>
      </w:pPr>
    </w:p>
    <w:p w:rsidR="0018245E" w:rsidRDefault="0018245E" w:rsidP="0018245E">
      <w:pPr>
        <w:rPr>
          <w:rFonts w:ascii="Times New Roman" w:hAnsi="Times New Roman" w:cs="Times New Roman"/>
          <w:sz w:val="24"/>
        </w:rPr>
        <w:sectPr w:rsidR="0018245E" w:rsidSect="0018245E">
          <w:headerReference w:type="default" r:id="rId12"/>
          <w:pgSz w:w="11906" w:h="16838"/>
          <w:pgMar w:top="1418" w:right="1418" w:bottom="1418" w:left="1418" w:header="709" w:footer="709" w:gutter="567"/>
          <w:cols w:space="708"/>
          <w:docGrid w:linePitch="360"/>
        </w:sectPr>
      </w:pPr>
    </w:p>
    <w:p w:rsidR="00DA0A69" w:rsidRPr="00DA0A69" w:rsidRDefault="00DA0A69" w:rsidP="00DA0A69">
      <w:pPr>
        <w:spacing w:before="0" w:beforeAutospacing="0" w:after="200" w:afterAutospacing="0" w:line="360" w:lineRule="auto"/>
        <w:ind w:firstLine="340"/>
        <w:jc w:val="both"/>
        <w:rPr>
          <w:rFonts w:ascii="Times New Roman" w:eastAsia="Calibri" w:hAnsi="Times New Roman" w:cs="Times New Roman"/>
          <w:sz w:val="24"/>
          <w:szCs w:val="20"/>
        </w:rPr>
      </w:pPr>
      <w:r w:rsidRPr="00DA0A69">
        <w:rPr>
          <w:rFonts w:ascii="Times New Roman" w:eastAsia="Calibri" w:hAnsi="Times New Roman" w:cs="Times New Roman"/>
          <w:sz w:val="24"/>
          <w:szCs w:val="20"/>
        </w:rPr>
        <w:lastRenderedPageBreak/>
        <w:t xml:space="preserve">« Une économie mondialisée ne saurait se passer de normes globalisées » un avis partagé par une large population de chercheurs et régulateurs durant cette dernière décennie. Conduisant ainsi à la mise en place d’un référentiel comptable international établit par le </w:t>
      </w:r>
      <w:r w:rsidRPr="00DA0A69">
        <w:rPr>
          <w:rFonts w:ascii="Times New Roman" w:eastAsia="Calibri" w:hAnsi="Times New Roman" w:cs="Times New Roman"/>
          <w:bCs/>
          <w:sz w:val="24"/>
          <w:szCs w:val="20"/>
        </w:rPr>
        <w:t>Bureau des standards comptables internationaux</w:t>
      </w:r>
      <w:r w:rsidRPr="00DA0A69">
        <w:rPr>
          <w:rFonts w:ascii="Times New Roman" w:eastAsia="Calibri" w:hAnsi="Times New Roman" w:cs="Times New Roman"/>
          <w:b/>
          <w:bCs/>
          <w:i/>
          <w:iCs/>
          <w:sz w:val="24"/>
          <w:szCs w:val="20"/>
        </w:rPr>
        <w:t xml:space="preserve"> (International </w:t>
      </w:r>
      <w:proofErr w:type="spellStart"/>
      <w:r w:rsidRPr="00DA0A69">
        <w:rPr>
          <w:rFonts w:ascii="Times New Roman" w:eastAsia="Calibri" w:hAnsi="Times New Roman" w:cs="Times New Roman"/>
          <w:b/>
          <w:bCs/>
          <w:i/>
          <w:iCs/>
          <w:sz w:val="24"/>
          <w:szCs w:val="20"/>
        </w:rPr>
        <w:t>Accounting</w:t>
      </w:r>
      <w:proofErr w:type="spellEnd"/>
      <w:r w:rsidRPr="00DA0A69">
        <w:rPr>
          <w:rFonts w:ascii="Times New Roman" w:eastAsia="Calibri" w:hAnsi="Times New Roman" w:cs="Times New Roman"/>
          <w:b/>
          <w:bCs/>
          <w:i/>
          <w:iCs/>
          <w:sz w:val="24"/>
          <w:szCs w:val="20"/>
        </w:rPr>
        <w:t xml:space="preserve"> Standards </w:t>
      </w:r>
      <w:proofErr w:type="spellStart"/>
      <w:r w:rsidRPr="00DA0A69">
        <w:rPr>
          <w:rFonts w:ascii="Times New Roman" w:eastAsia="Calibri" w:hAnsi="Times New Roman" w:cs="Times New Roman"/>
          <w:b/>
          <w:bCs/>
          <w:i/>
          <w:iCs/>
          <w:sz w:val="24"/>
          <w:szCs w:val="20"/>
        </w:rPr>
        <w:t>Board</w:t>
      </w:r>
      <w:proofErr w:type="spellEnd"/>
      <w:r w:rsidRPr="00DA0A69">
        <w:rPr>
          <w:rFonts w:ascii="Times New Roman" w:eastAsia="Calibri" w:hAnsi="Times New Roman" w:cs="Times New Roman"/>
          <w:sz w:val="24"/>
          <w:szCs w:val="20"/>
        </w:rPr>
        <w:t xml:space="preserve"> </w:t>
      </w:r>
      <w:r w:rsidRPr="00DA0A69">
        <w:rPr>
          <w:rFonts w:ascii="Times New Roman" w:eastAsia="Calibri" w:hAnsi="Times New Roman" w:cs="Times New Roman"/>
          <w:b/>
          <w:bCs/>
          <w:i/>
          <w:iCs/>
          <w:sz w:val="24"/>
          <w:szCs w:val="20"/>
        </w:rPr>
        <w:t>ou IASB)</w:t>
      </w:r>
      <w:r w:rsidRPr="00DA0A69">
        <w:rPr>
          <w:rFonts w:ascii="Times New Roman" w:eastAsia="Calibri" w:hAnsi="Times New Roman" w:cs="Times New Roman"/>
          <w:sz w:val="24"/>
          <w:szCs w:val="20"/>
        </w:rPr>
        <w:t xml:space="preserve">. Depuis leur adoption par l’Union européenne en 2005, plusieurs pays ont décidé de converger vers les normes IAS/IFRS ; Même le régulateur comptable Américain représenté par le FASB (Financial </w:t>
      </w:r>
      <w:proofErr w:type="spellStart"/>
      <w:r w:rsidRPr="00DA0A69">
        <w:rPr>
          <w:rFonts w:ascii="Times New Roman" w:eastAsia="Calibri" w:hAnsi="Times New Roman" w:cs="Times New Roman"/>
          <w:sz w:val="24"/>
          <w:szCs w:val="20"/>
        </w:rPr>
        <w:t>Accounting</w:t>
      </w:r>
      <w:proofErr w:type="spellEnd"/>
      <w:r w:rsidRPr="00DA0A69">
        <w:rPr>
          <w:rFonts w:ascii="Times New Roman" w:eastAsia="Calibri" w:hAnsi="Times New Roman" w:cs="Times New Roman"/>
          <w:sz w:val="24"/>
          <w:szCs w:val="20"/>
        </w:rPr>
        <w:t xml:space="preserve"> standards </w:t>
      </w:r>
      <w:proofErr w:type="spellStart"/>
      <w:r w:rsidRPr="00DA0A69">
        <w:rPr>
          <w:rFonts w:ascii="Times New Roman" w:eastAsia="Calibri" w:hAnsi="Times New Roman" w:cs="Times New Roman"/>
          <w:sz w:val="24"/>
          <w:szCs w:val="20"/>
        </w:rPr>
        <w:t>Board</w:t>
      </w:r>
      <w:proofErr w:type="spellEnd"/>
      <w:r w:rsidRPr="00DA0A69">
        <w:rPr>
          <w:rFonts w:ascii="Times New Roman" w:eastAsia="Calibri" w:hAnsi="Times New Roman" w:cs="Times New Roman"/>
          <w:sz w:val="24"/>
          <w:szCs w:val="20"/>
        </w:rPr>
        <w:t>), s’est résolu à se rapprocher de l’IASB afin de permettre le rapprochement du référentiel comptable Américain au référentiel international. A ce jour, on compte plus de 100</w:t>
      </w:r>
      <w:r w:rsidRPr="00DA0A69">
        <w:rPr>
          <w:rFonts w:ascii="Times New Roman" w:eastAsia="Calibri" w:hAnsi="Times New Roman" w:cs="Times New Roman"/>
          <w:sz w:val="24"/>
          <w:szCs w:val="20"/>
          <w:vertAlign w:val="superscript"/>
        </w:rPr>
        <w:footnoteReference w:id="1"/>
      </w:r>
      <w:r w:rsidRPr="00DA0A69">
        <w:rPr>
          <w:rFonts w:ascii="Times New Roman" w:eastAsia="Calibri" w:hAnsi="Times New Roman" w:cs="Times New Roman"/>
          <w:sz w:val="24"/>
          <w:szCs w:val="20"/>
        </w:rPr>
        <w:t xml:space="preserve"> pays qui ont soit imposé soit autorisé l’application du référentiel de l’IASB.  </w:t>
      </w:r>
    </w:p>
    <w:p w:rsidR="00DA0A69" w:rsidRPr="00DA0A69" w:rsidRDefault="00DA0A69" w:rsidP="00DA0A69">
      <w:pPr>
        <w:spacing w:before="0" w:beforeAutospacing="0" w:after="200" w:afterAutospacing="0" w:line="360" w:lineRule="auto"/>
        <w:ind w:firstLine="340"/>
        <w:jc w:val="both"/>
        <w:rPr>
          <w:rFonts w:ascii="Times New Roman" w:eastAsia="Calibri" w:hAnsi="Times New Roman" w:cs="Times New Roman"/>
          <w:sz w:val="24"/>
          <w:szCs w:val="20"/>
        </w:rPr>
      </w:pPr>
      <w:r w:rsidRPr="00DA0A69">
        <w:rPr>
          <w:rFonts w:ascii="Times New Roman" w:eastAsia="Calibri" w:hAnsi="Times New Roman" w:cs="Times New Roman"/>
          <w:sz w:val="24"/>
          <w:szCs w:val="20"/>
        </w:rPr>
        <w:t>Ce référentiel a été créé dans le but d’harmoniser les législations comptables à l’échelle mondiale et faire disparaitre les divergences qui existent entre les différents modes d’élaboration et de divulgation des informations financières publiées dans les marchés financiers internationaux. En permettant ainsi, aux investisseurs d’effectuer leur choix sur la base d’informations fiables et comparables.</w:t>
      </w:r>
    </w:p>
    <w:p w:rsidR="00DA0A69" w:rsidRPr="00DA0A69" w:rsidRDefault="00DA0A69" w:rsidP="00DA0A69">
      <w:pPr>
        <w:spacing w:before="0" w:beforeAutospacing="0" w:after="200" w:afterAutospacing="0" w:line="360" w:lineRule="auto"/>
        <w:ind w:firstLine="340"/>
        <w:jc w:val="both"/>
        <w:rPr>
          <w:rFonts w:ascii="Times New Roman" w:eastAsia="Calibri" w:hAnsi="Times New Roman" w:cs="Times New Roman"/>
          <w:color w:val="FF0000"/>
          <w:sz w:val="24"/>
          <w:szCs w:val="24"/>
        </w:rPr>
      </w:pPr>
      <w:r w:rsidRPr="00DA0A69">
        <w:rPr>
          <w:rFonts w:ascii="Times New Roman" w:eastAsia="Calibri" w:hAnsi="Times New Roman" w:cs="Times New Roman"/>
          <w:sz w:val="24"/>
          <w:szCs w:val="20"/>
        </w:rPr>
        <w:t>Parmi les nouveaux concepts, instaurés par le référentiel comptable international, demeure le concept</w:t>
      </w:r>
      <w:r w:rsidRPr="00DA0A69">
        <w:rPr>
          <w:rFonts w:ascii="Times New Roman" w:eastAsia="Calibri" w:hAnsi="Times New Roman" w:cs="Times New Roman"/>
          <w:color w:val="FF0000"/>
          <w:sz w:val="24"/>
          <w:szCs w:val="20"/>
        </w:rPr>
        <w:t xml:space="preserve"> </w:t>
      </w:r>
      <w:r w:rsidRPr="00DA0A69">
        <w:rPr>
          <w:rFonts w:ascii="Times New Roman" w:eastAsia="Calibri" w:hAnsi="Times New Roman" w:cs="Times New Roman"/>
          <w:sz w:val="24"/>
        </w:rPr>
        <w:t>«d’image fidèle ». Selon les principes de l’IASB, les informations financières publiées par les entités économiques doivent refléter une image fidèle de leurs situations financières, cette image doit être</w:t>
      </w:r>
      <w:r w:rsidRPr="00DA0A69">
        <w:rPr>
          <w:rFonts w:ascii="Times New Roman" w:eastAsia="Calibri" w:hAnsi="Times New Roman" w:cs="Times New Roman"/>
          <w:sz w:val="24"/>
          <w:szCs w:val="24"/>
        </w:rPr>
        <w:t xml:space="preserve"> aussi objective que possible de la réalité de l'entreprise afin qu'une personne de l'extérieur puisse en avoir une perception exacte, et est sensée être attribuée à travers l’application des normes internationales.</w:t>
      </w:r>
      <w:r w:rsidRPr="00DA0A69">
        <w:rPr>
          <w:rFonts w:ascii="Times New Roman" w:eastAsia="Calibri" w:hAnsi="Times New Roman" w:cs="Times New Roman"/>
          <w:color w:val="FF0000"/>
          <w:sz w:val="24"/>
          <w:szCs w:val="24"/>
        </w:rPr>
        <w:t xml:space="preserve"> </w:t>
      </w:r>
    </w:p>
    <w:p w:rsidR="00DA0A69" w:rsidRPr="00DA0A69" w:rsidRDefault="00DA0A69" w:rsidP="00DA0A69">
      <w:pPr>
        <w:spacing w:before="0" w:beforeAutospacing="0" w:after="200" w:afterAutospacing="0" w:line="360" w:lineRule="auto"/>
        <w:ind w:firstLine="340"/>
        <w:jc w:val="both"/>
        <w:rPr>
          <w:rFonts w:ascii="Times New Roman" w:eastAsia="Calibri" w:hAnsi="Times New Roman" w:cs="Times New Roman"/>
          <w:sz w:val="24"/>
          <w:szCs w:val="20"/>
        </w:rPr>
      </w:pPr>
      <w:r w:rsidRPr="00DA0A69">
        <w:rPr>
          <w:rFonts w:ascii="Times New Roman" w:eastAsia="Calibri" w:hAnsi="Times New Roman" w:cs="Times New Roman"/>
          <w:sz w:val="24"/>
          <w:szCs w:val="20"/>
        </w:rPr>
        <w:t xml:space="preserve">A cet effet, le </w:t>
      </w:r>
      <w:r w:rsidRPr="00DA0A69">
        <w:rPr>
          <w:rFonts w:ascii="Times New Roman" w:eastAsia="Calibri" w:hAnsi="Times New Roman" w:cs="Times New Roman"/>
          <w:bCs/>
          <w:sz w:val="24"/>
          <w:szCs w:val="20"/>
        </w:rPr>
        <w:t>Bureau des Standards Comptables Internationaux veille sur l’élaboration</w:t>
      </w:r>
      <w:r w:rsidRPr="00DA0A69">
        <w:rPr>
          <w:rFonts w:ascii="Times New Roman" w:eastAsia="Calibri" w:hAnsi="Times New Roman" w:cs="Times New Roman"/>
          <w:sz w:val="24"/>
          <w:szCs w:val="20"/>
        </w:rPr>
        <w:t xml:space="preserve"> des principes et normes comptables qui visent à produire des états financiers reflétant une image fidèle de la situation financière et économique des sociétés cotées dans des marchés internationaux.  </w:t>
      </w:r>
    </w:p>
    <w:p w:rsidR="00DA0A69" w:rsidRPr="00DA0A69" w:rsidRDefault="00DA0A69" w:rsidP="00DA0A69">
      <w:pPr>
        <w:spacing w:before="0" w:beforeAutospacing="0" w:after="200" w:afterAutospacing="0" w:line="360" w:lineRule="auto"/>
        <w:ind w:firstLine="340"/>
        <w:jc w:val="both"/>
        <w:rPr>
          <w:rFonts w:ascii="Times New Roman" w:eastAsia="Calibri" w:hAnsi="Times New Roman" w:cs="Times New Roman"/>
          <w:sz w:val="24"/>
          <w:szCs w:val="20"/>
        </w:rPr>
      </w:pPr>
      <w:r w:rsidRPr="00DA0A69">
        <w:rPr>
          <w:rFonts w:ascii="Times New Roman" w:eastAsia="Calibri" w:hAnsi="Times New Roman" w:cs="Times New Roman"/>
          <w:sz w:val="24"/>
          <w:szCs w:val="20"/>
        </w:rPr>
        <w:t xml:space="preserve">Influencée par cette tendance mondiale, l’Algérie a opté, en 2008 pour l’adoption  d’un Système Comptable Financier convergeant avec les Normes comptables </w:t>
      </w:r>
      <w:r w:rsidRPr="00DA0A69">
        <w:rPr>
          <w:rFonts w:ascii="Times New Roman" w:eastAsia="Calibri" w:hAnsi="Times New Roman" w:cs="Times New Roman"/>
          <w:sz w:val="24"/>
          <w:szCs w:val="20"/>
        </w:rPr>
        <w:lastRenderedPageBreak/>
        <w:t>Internationales IAS/IFRS. Dont l’application est rendue obligatoire à partir du 1</w:t>
      </w:r>
      <w:r w:rsidRPr="00DA0A69">
        <w:rPr>
          <w:rFonts w:ascii="Times New Roman" w:eastAsia="Calibri" w:hAnsi="Times New Roman" w:cs="Times New Roman"/>
          <w:sz w:val="24"/>
          <w:szCs w:val="20"/>
          <w:vertAlign w:val="superscript"/>
        </w:rPr>
        <w:t>er</w:t>
      </w:r>
      <w:r w:rsidRPr="00DA0A69">
        <w:rPr>
          <w:rFonts w:ascii="Times New Roman" w:eastAsia="Calibri" w:hAnsi="Times New Roman" w:cs="Times New Roman"/>
          <w:sz w:val="24"/>
          <w:szCs w:val="20"/>
        </w:rPr>
        <w:t xml:space="preserve"> Janvier 2010. Ce choix est synonyme d’une véritable révolution dans l’histoire de la réglementation comptable en Algérie. En outre, les entités vont passer d’une comptabilité patrimoniale vers une comptabilité à l’engagement.</w:t>
      </w:r>
    </w:p>
    <w:p w:rsidR="00DA0A69" w:rsidRPr="00DA0A69" w:rsidRDefault="00DA0A69" w:rsidP="00DA0A69">
      <w:pPr>
        <w:spacing w:before="0" w:beforeAutospacing="0" w:after="200" w:afterAutospacing="0" w:line="360" w:lineRule="auto"/>
        <w:ind w:firstLine="340"/>
        <w:jc w:val="both"/>
        <w:rPr>
          <w:rFonts w:ascii="Times New Roman" w:eastAsia="Calibri" w:hAnsi="Times New Roman" w:cs="Times New Roman"/>
          <w:b/>
          <w:sz w:val="24"/>
          <w:szCs w:val="20"/>
        </w:rPr>
      </w:pPr>
      <w:r w:rsidRPr="00DA0A69">
        <w:rPr>
          <w:rFonts w:ascii="Times New Roman" w:eastAsia="Calibri" w:hAnsi="Times New Roman" w:cs="Times New Roman"/>
          <w:sz w:val="24"/>
          <w:szCs w:val="20"/>
        </w:rPr>
        <w:t>L’objet du présent mémoire consiste justement à évaluer l’ampleur de cette révolution et son impact sur les entreprises algériennes. En particulier, l’impact des choix comptables et des changements de méthodes effectués lors du passage sur les capitaux propres et les résultats des entreprises.</w:t>
      </w:r>
      <w:r w:rsidRPr="00DA0A69">
        <w:rPr>
          <w:rFonts w:ascii="Times New Roman" w:eastAsia="Calibri" w:hAnsi="Times New Roman" w:cs="Times New Roman"/>
          <w:b/>
          <w:sz w:val="24"/>
          <w:szCs w:val="20"/>
        </w:rPr>
        <w:t xml:space="preserve"> </w:t>
      </w:r>
    </w:p>
    <w:p w:rsidR="00DA0A69" w:rsidRPr="00DA0A69" w:rsidRDefault="00DA0A69" w:rsidP="00DA0A69">
      <w:pPr>
        <w:spacing w:before="0" w:beforeAutospacing="0" w:after="200" w:afterAutospacing="0" w:line="276" w:lineRule="auto"/>
        <w:jc w:val="both"/>
        <w:rPr>
          <w:rFonts w:ascii="Times New Roman" w:eastAsia="Calibri" w:hAnsi="Times New Roman" w:cs="Times New Roman"/>
          <w:b/>
          <w:sz w:val="24"/>
          <w:szCs w:val="20"/>
        </w:rPr>
      </w:pPr>
      <w:r w:rsidRPr="00DA0A69">
        <w:rPr>
          <w:rFonts w:ascii="Times New Roman" w:eastAsia="Calibri" w:hAnsi="Times New Roman" w:cs="Times New Roman"/>
          <w:b/>
          <w:sz w:val="24"/>
          <w:szCs w:val="20"/>
        </w:rPr>
        <w:t xml:space="preserve">Problématique et hypothèses de la recherche </w:t>
      </w:r>
    </w:p>
    <w:p w:rsidR="00DA0A69" w:rsidRPr="00DA0A69" w:rsidRDefault="00DA0A69" w:rsidP="00DA0A69">
      <w:pPr>
        <w:spacing w:before="0" w:beforeAutospacing="0" w:after="200" w:afterAutospacing="0" w:line="360" w:lineRule="auto"/>
        <w:ind w:firstLine="340"/>
        <w:jc w:val="both"/>
        <w:rPr>
          <w:rFonts w:ascii="Times New Roman" w:eastAsia="Calibri" w:hAnsi="Times New Roman" w:cs="Times New Roman"/>
          <w:bCs/>
          <w:sz w:val="24"/>
          <w:szCs w:val="20"/>
        </w:rPr>
      </w:pPr>
      <w:r w:rsidRPr="00DA0A69">
        <w:rPr>
          <w:rFonts w:ascii="Times New Roman" w:eastAsia="Calibri" w:hAnsi="Times New Roman" w:cs="Times New Roman"/>
          <w:sz w:val="24"/>
          <w:szCs w:val="20"/>
        </w:rPr>
        <w:t>Afin</w:t>
      </w:r>
      <w:r w:rsidRPr="00DA0A69">
        <w:rPr>
          <w:rFonts w:ascii="Times New Roman" w:eastAsia="Calibri" w:hAnsi="Times New Roman" w:cs="Times New Roman"/>
          <w:bCs/>
          <w:sz w:val="24"/>
          <w:szCs w:val="20"/>
        </w:rPr>
        <w:t xml:space="preserve"> d’obtenir une idée plus précise sur la transition au système comptable et financier en Algérie, la présente recherche se focalise sur la question suivante :</w:t>
      </w:r>
    </w:p>
    <w:p w:rsidR="00DA0A69" w:rsidRPr="00DA0A69" w:rsidRDefault="00DA0A69" w:rsidP="00DA0A69">
      <w:pPr>
        <w:spacing w:before="0" w:beforeAutospacing="0" w:after="200" w:afterAutospacing="0" w:line="360" w:lineRule="auto"/>
        <w:rPr>
          <w:rFonts w:ascii="Times New Roman" w:eastAsia="Calibri" w:hAnsi="Times New Roman" w:cs="Times New Roman"/>
          <w:b/>
          <w:sz w:val="26"/>
          <w:szCs w:val="26"/>
        </w:rPr>
      </w:pPr>
      <w:r w:rsidRPr="00DA0A69">
        <w:rPr>
          <w:rFonts w:ascii="Times New Roman" w:eastAsia="Calibri" w:hAnsi="Times New Roman" w:cs="Times New Roman"/>
          <w:b/>
          <w:sz w:val="26"/>
          <w:szCs w:val="26"/>
        </w:rPr>
        <w:t>Quel est l’impact de la mise en place du nouveau Système Comptable Financier (SCF) sur les capitaux propres et les résultats des entreprises du Groupe SONELGAZ ?</w:t>
      </w:r>
    </w:p>
    <w:p w:rsidR="00DA0A69" w:rsidRPr="00DA0A69" w:rsidRDefault="00DA0A69" w:rsidP="00DA0A69">
      <w:pPr>
        <w:spacing w:before="0" w:beforeAutospacing="0" w:after="200" w:afterAutospacing="0" w:line="360" w:lineRule="auto"/>
        <w:ind w:firstLine="340"/>
        <w:jc w:val="both"/>
        <w:rPr>
          <w:rFonts w:ascii="Times New Roman" w:eastAsia="Calibri" w:hAnsi="Times New Roman" w:cs="Times New Roman"/>
          <w:bCs/>
          <w:sz w:val="24"/>
          <w:szCs w:val="20"/>
        </w:rPr>
      </w:pPr>
      <w:r w:rsidRPr="00DA0A69">
        <w:rPr>
          <w:rFonts w:ascii="Times New Roman" w:eastAsia="Calibri" w:hAnsi="Times New Roman" w:cs="Times New Roman"/>
          <w:bCs/>
          <w:sz w:val="24"/>
          <w:szCs w:val="20"/>
        </w:rPr>
        <w:t xml:space="preserve">Cette </w:t>
      </w:r>
      <w:r w:rsidRPr="00DA0A69">
        <w:rPr>
          <w:rFonts w:ascii="Times New Roman" w:eastAsia="Calibri" w:hAnsi="Times New Roman" w:cs="Times New Roman"/>
          <w:sz w:val="24"/>
          <w:szCs w:val="20"/>
        </w:rPr>
        <w:t>recherche</w:t>
      </w:r>
      <w:r w:rsidRPr="00DA0A69">
        <w:rPr>
          <w:rFonts w:ascii="Times New Roman" w:eastAsia="Calibri" w:hAnsi="Times New Roman" w:cs="Times New Roman"/>
          <w:bCs/>
          <w:sz w:val="24"/>
          <w:szCs w:val="20"/>
        </w:rPr>
        <w:t xml:space="preserve"> va permettre également de répondre aux questions suivantes :</w:t>
      </w:r>
    </w:p>
    <w:p w:rsidR="00DA0A69" w:rsidRPr="00DA0A69" w:rsidRDefault="00DA0A69" w:rsidP="00DA0A69">
      <w:pPr>
        <w:numPr>
          <w:ilvl w:val="0"/>
          <w:numId w:val="1"/>
        </w:numPr>
        <w:spacing w:before="0" w:beforeAutospacing="0" w:after="200" w:afterAutospacing="0" w:line="360" w:lineRule="auto"/>
        <w:contextualSpacing/>
        <w:jc w:val="both"/>
        <w:rPr>
          <w:rFonts w:ascii="Times New Roman" w:eastAsia="Calibri" w:hAnsi="Times New Roman" w:cs="Times New Roman"/>
          <w:bCs/>
          <w:sz w:val="24"/>
          <w:szCs w:val="20"/>
        </w:rPr>
      </w:pPr>
      <w:r w:rsidRPr="00DA0A69">
        <w:rPr>
          <w:rFonts w:ascii="Times New Roman" w:eastAsia="Calibri" w:hAnsi="Times New Roman" w:cs="Times New Roman"/>
          <w:bCs/>
          <w:sz w:val="24"/>
          <w:szCs w:val="20"/>
        </w:rPr>
        <w:t xml:space="preserve">Qu’est-ce qu’on entend dire par les termes «de normalisation et d’harmonisation comptable internationale» et comment la comptabilité est devenue un critère très important dans le processus de prise de décision au niveau des entreprises ainsi qu’au niveau des marchés financiers ? </w:t>
      </w:r>
    </w:p>
    <w:p w:rsidR="00DA0A69" w:rsidRPr="00DA0A69" w:rsidRDefault="00DA0A69" w:rsidP="00DA0A69">
      <w:pPr>
        <w:numPr>
          <w:ilvl w:val="0"/>
          <w:numId w:val="1"/>
        </w:numPr>
        <w:spacing w:before="0" w:beforeAutospacing="0" w:after="200" w:afterAutospacing="0" w:line="360" w:lineRule="auto"/>
        <w:contextualSpacing/>
        <w:jc w:val="both"/>
        <w:rPr>
          <w:rFonts w:ascii="Times New Roman" w:eastAsia="Calibri" w:hAnsi="Times New Roman" w:cs="Times New Roman"/>
          <w:bCs/>
          <w:sz w:val="24"/>
          <w:szCs w:val="20"/>
        </w:rPr>
      </w:pPr>
      <w:r w:rsidRPr="00DA0A69">
        <w:rPr>
          <w:rFonts w:ascii="Times New Roman" w:eastAsia="Calibri" w:hAnsi="Times New Roman" w:cs="Times New Roman"/>
          <w:bCs/>
          <w:sz w:val="24"/>
          <w:szCs w:val="20"/>
        </w:rPr>
        <w:t>Quels sont les principaux critères qui sont à l’origine de l’impact de changement de normes comptables sur les pratiques et les informations comptables des entités économiques ?</w:t>
      </w:r>
    </w:p>
    <w:p w:rsidR="00DA0A69" w:rsidRPr="00DA0A69" w:rsidRDefault="00DA0A69" w:rsidP="00DA0A69">
      <w:pPr>
        <w:numPr>
          <w:ilvl w:val="0"/>
          <w:numId w:val="1"/>
        </w:numPr>
        <w:spacing w:before="0" w:beforeAutospacing="0" w:after="200" w:afterAutospacing="0" w:line="360" w:lineRule="auto"/>
        <w:contextualSpacing/>
        <w:jc w:val="both"/>
        <w:rPr>
          <w:rFonts w:ascii="Times New Roman" w:eastAsia="Calibri" w:hAnsi="Times New Roman" w:cs="Times New Roman"/>
          <w:bCs/>
          <w:sz w:val="24"/>
          <w:szCs w:val="20"/>
        </w:rPr>
      </w:pPr>
      <w:r w:rsidRPr="00DA0A69">
        <w:rPr>
          <w:rFonts w:ascii="Times New Roman" w:eastAsia="Calibri" w:hAnsi="Times New Roman" w:cs="Times New Roman"/>
          <w:bCs/>
          <w:sz w:val="24"/>
          <w:szCs w:val="20"/>
        </w:rPr>
        <w:t xml:space="preserve">Quels sont les changements apportés par le SCF par rapport à l’ancien plan comptable, et leur impact éventuel sur les capitaux propres et résultats des entreprises ? </w:t>
      </w:r>
    </w:p>
    <w:p w:rsidR="00DA0A69" w:rsidRPr="00DA0A69" w:rsidRDefault="00DA0A69" w:rsidP="00DA0A69">
      <w:pPr>
        <w:numPr>
          <w:ilvl w:val="0"/>
          <w:numId w:val="1"/>
        </w:numPr>
        <w:spacing w:before="0" w:beforeAutospacing="0" w:after="200" w:afterAutospacing="0" w:line="360" w:lineRule="auto"/>
        <w:contextualSpacing/>
        <w:jc w:val="both"/>
        <w:rPr>
          <w:rFonts w:ascii="Times New Roman" w:eastAsia="Calibri" w:hAnsi="Times New Roman" w:cs="Times New Roman"/>
          <w:bCs/>
          <w:sz w:val="24"/>
          <w:szCs w:val="20"/>
        </w:rPr>
      </w:pPr>
      <w:r w:rsidRPr="00DA0A69">
        <w:rPr>
          <w:rFonts w:ascii="Times New Roman" w:eastAsia="Calibri" w:hAnsi="Times New Roman" w:cs="Times New Roman"/>
          <w:bCs/>
          <w:sz w:val="24"/>
          <w:szCs w:val="20"/>
        </w:rPr>
        <w:t xml:space="preserve">Et en fin, comment les normes du Système Comptable Financier (SCF) ont-elles été appliquées par les sociétés du Groupe </w:t>
      </w:r>
      <w:proofErr w:type="spellStart"/>
      <w:r w:rsidRPr="00DA0A69">
        <w:rPr>
          <w:rFonts w:ascii="Times New Roman" w:eastAsia="Calibri" w:hAnsi="Times New Roman" w:cs="Times New Roman"/>
          <w:bCs/>
          <w:sz w:val="24"/>
          <w:szCs w:val="20"/>
        </w:rPr>
        <w:t>Sonelgaz</w:t>
      </w:r>
      <w:proofErr w:type="spellEnd"/>
      <w:r w:rsidRPr="00DA0A69">
        <w:rPr>
          <w:rFonts w:ascii="Times New Roman" w:eastAsia="Calibri" w:hAnsi="Times New Roman" w:cs="Times New Roman"/>
          <w:bCs/>
          <w:sz w:val="24"/>
          <w:szCs w:val="20"/>
        </w:rPr>
        <w:t xml:space="preserve"> ?   </w:t>
      </w:r>
    </w:p>
    <w:p w:rsidR="00DA0A69" w:rsidRPr="00DA0A69" w:rsidRDefault="00DA0A69" w:rsidP="00DA0A69">
      <w:pPr>
        <w:spacing w:before="0" w:beforeAutospacing="0" w:after="200" w:afterAutospacing="0" w:line="360" w:lineRule="auto"/>
        <w:ind w:firstLine="340"/>
        <w:jc w:val="both"/>
        <w:rPr>
          <w:rFonts w:ascii="Times New Roman" w:eastAsia="Calibri" w:hAnsi="Times New Roman" w:cs="Times New Roman"/>
          <w:bCs/>
          <w:sz w:val="24"/>
          <w:szCs w:val="20"/>
        </w:rPr>
      </w:pPr>
      <w:r w:rsidRPr="00DA0A69">
        <w:rPr>
          <w:rFonts w:ascii="Times New Roman" w:eastAsia="Calibri" w:hAnsi="Times New Roman" w:cs="Times New Roman"/>
          <w:bCs/>
          <w:sz w:val="24"/>
          <w:szCs w:val="20"/>
        </w:rPr>
        <w:t xml:space="preserve">Dans l’objectif de résoudre cette problématique, l’actuelle recherche repose sur les hypothèses citées ci-après.  </w:t>
      </w:r>
    </w:p>
    <w:p w:rsidR="00DA0A69" w:rsidRPr="00DA0A69" w:rsidRDefault="00DA0A69" w:rsidP="00DA0A69">
      <w:pPr>
        <w:numPr>
          <w:ilvl w:val="0"/>
          <w:numId w:val="1"/>
        </w:numPr>
        <w:spacing w:before="0" w:beforeAutospacing="0" w:after="200" w:afterAutospacing="0" w:line="360" w:lineRule="auto"/>
        <w:contextualSpacing/>
        <w:jc w:val="both"/>
        <w:rPr>
          <w:rFonts w:ascii="Times New Roman" w:eastAsia="Calibri" w:hAnsi="Times New Roman" w:cs="Times New Roman"/>
          <w:sz w:val="24"/>
          <w:szCs w:val="20"/>
        </w:rPr>
      </w:pPr>
      <w:r w:rsidRPr="00DA0A69">
        <w:rPr>
          <w:rFonts w:ascii="Times New Roman" w:eastAsia="Calibri" w:hAnsi="Times New Roman" w:cs="Times New Roman"/>
          <w:sz w:val="24"/>
          <w:szCs w:val="20"/>
        </w:rPr>
        <w:lastRenderedPageBreak/>
        <w:t xml:space="preserve">L’impact sur les capitaux propres des entreprises est défavorable et il est dû essentiellement à la mise en application des normes du SCF. </w:t>
      </w:r>
    </w:p>
    <w:p w:rsidR="00DA0A69" w:rsidRPr="00DA0A69" w:rsidRDefault="00DA0A69" w:rsidP="00DA0A69">
      <w:pPr>
        <w:numPr>
          <w:ilvl w:val="0"/>
          <w:numId w:val="1"/>
        </w:numPr>
        <w:spacing w:before="0" w:beforeAutospacing="0" w:after="200" w:afterAutospacing="0" w:line="360" w:lineRule="auto"/>
        <w:contextualSpacing/>
        <w:jc w:val="both"/>
        <w:rPr>
          <w:rFonts w:ascii="Times New Roman" w:eastAsia="Calibri" w:hAnsi="Times New Roman" w:cs="Times New Roman"/>
          <w:sz w:val="24"/>
          <w:szCs w:val="20"/>
        </w:rPr>
      </w:pPr>
      <w:r w:rsidRPr="00DA0A69">
        <w:rPr>
          <w:rFonts w:ascii="Times New Roman" w:eastAsia="Calibri" w:hAnsi="Times New Roman" w:cs="Times New Roman"/>
          <w:sz w:val="24"/>
          <w:szCs w:val="20"/>
        </w:rPr>
        <w:t xml:space="preserve">Les entreprises optent pour les options comptables qui leur assurent la stabilité et la conservation de leurs pratiques comptables.   </w:t>
      </w:r>
    </w:p>
    <w:p w:rsidR="00DA0A69" w:rsidRPr="00DA0A69" w:rsidRDefault="00DA0A69" w:rsidP="00DA0A69">
      <w:pPr>
        <w:numPr>
          <w:ilvl w:val="0"/>
          <w:numId w:val="1"/>
        </w:numPr>
        <w:spacing w:before="0" w:beforeAutospacing="0" w:after="200" w:afterAutospacing="0" w:line="360" w:lineRule="auto"/>
        <w:contextualSpacing/>
        <w:jc w:val="both"/>
        <w:rPr>
          <w:rFonts w:ascii="Times New Roman" w:eastAsia="Calibri" w:hAnsi="Times New Roman" w:cs="Times New Roman"/>
          <w:sz w:val="24"/>
          <w:szCs w:val="20"/>
        </w:rPr>
      </w:pPr>
      <w:r w:rsidRPr="00DA0A69">
        <w:rPr>
          <w:rFonts w:ascii="Times New Roman" w:eastAsia="Calibri" w:hAnsi="Times New Roman" w:cs="Times New Roman"/>
          <w:sz w:val="24"/>
          <w:szCs w:val="20"/>
        </w:rPr>
        <w:t xml:space="preserve">L’impact sur le résultat sera relativement plus important que celui envisagé pour les capitaux propres. </w:t>
      </w:r>
    </w:p>
    <w:p w:rsidR="00DA0A69" w:rsidRPr="00DA0A69" w:rsidRDefault="00DA0A69" w:rsidP="00DA0A69">
      <w:pPr>
        <w:numPr>
          <w:ilvl w:val="0"/>
          <w:numId w:val="1"/>
        </w:numPr>
        <w:spacing w:before="0" w:beforeAutospacing="0" w:after="200" w:afterAutospacing="0" w:line="360" w:lineRule="auto"/>
        <w:contextualSpacing/>
        <w:jc w:val="both"/>
        <w:rPr>
          <w:rFonts w:ascii="Times New Roman" w:eastAsia="Calibri" w:hAnsi="Times New Roman" w:cs="Times New Roman"/>
          <w:sz w:val="24"/>
          <w:szCs w:val="20"/>
        </w:rPr>
      </w:pPr>
      <w:r w:rsidRPr="00DA0A69">
        <w:rPr>
          <w:rFonts w:ascii="Times New Roman" w:eastAsia="Calibri" w:hAnsi="Times New Roman" w:cs="Times New Roman"/>
          <w:sz w:val="24"/>
          <w:szCs w:val="20"/>
        </w:rPr>
        <w:t xml:space="preserve">L’impact de la transition diffère d’une entité à une autre selon les caractéristiques des entreprises. L’impact est relativement plus important pour les entités de grande taille. </w:t>
      </w:r>
    </w:p>
    <w:p w:rsidR="00DA0A69" w:rsidRPr="00DA0A69" w:rsidRDefault="00DA0A69" w:rsidP="00DA0A69">
      <w:pPr>
        <w:spacing w:before="0" w:beforeAutospacing="0" w:after="200" w:afterAutospacing="0" w:line="360" w:lineRule="auto"/>
        <w:jc w:val="left"/>
        <w:rPr>
          <w:rFonts w:ascii="Times New Roman" w:eastAsia="Calibri" w:hAnsi="Times New Roman" w:cs="Times New Roman"/>
          <w:b/>
          <w:sz w:val="24"/>
        </w:rPr>
      </w:pPr>
      <w:r w:rsidRPr="00DA0A69">
        <w:rPr>
          <w:rFonts w:ascii="Times New Roman" w:eastAsia="Calibri" w:hAnsi="Times New Roman" w:cs="Times New Roman"/>
          <w:b/>
          <w:sz w:val="24"/>
        </w:rPr>
        <w:t>Importance du sujet</w:t>
      </w:r>
    </w:p>
    <w:p w:rsidR="00DA0A69" w:rsidRPr="00DA0A69" w:rsidRDefault="00DA0A69" w:rsidP="00DA0A69">
      <w:pPr>
        <w:spacing w:before="0" w:beforeAutospacing="0" w:after="200" w:afterAutospacing="0" w:line="360" w:lineRule="auto"/>
        <w:ind w:firstLine="340"/>
        <w:jc w:val="both"/>
        <w:rPr>
          <w:rFonts w:ascii="Times New Roman" w:eastAsia="Calibri" w:hAnsi="Times New Roman" w:cs="Times New Roman"/>
          <w:sz w:val="24"/>
          <w:szCs w:val="20"/>
        </w:rPr>
      </w:pPr>
      <w:r w:rsidRPr="00DA0A69">
        <w:rPr>
          <w:rFonts w:ascii="Times New Roman" w:eastAsia="Calibri" w:hAnsi="Times New Roman" w:cs="Times New Roman"/>
          <w:sz w:val="24"/>
          <w:szCs w:val="20"/>
        </w:rPr>
        <w:t xml:space="preserve">A l’heure du changement actuel, étudier les principaux impacts que pourraient avoir les nouvelles dispositions apportées par le SCF, permet d’avoir une vision plus claire sur le déroulement du processus du passage au niveau des entreprises et à quel point ce passage participera-t-il au développement économique du pays. </w:t>
      </w:r>
    </w:p>
    <w:p w:rsidR="00DA0A69" w:rsidRPr="00DA0A69" w:rsidRDefault="00DA0A69" w:rsidP="00DA0A69">
      <w:pPr>
        <w:spacing w:before="0" w:beforeAutospacing="0" w:after="200" w:afterAutospacing="0" w:line="360" w:lineRule="auto"/>
        <w:ind w:firstLine="340"/>
        <w:jc w:val="both"/>
        <w:rPr>
          <w:rFonts w:ascii="Times New Roman" w:eastAsia="Calibri" w:hAnsi="Times New Roman" w:cs="Times New Roman"/>
          <w:sz w:val="24"/>
          <w:szCs w:val="20"/>
        </w:rPr>
      </w:pPr>
      <w:r w:rsidRPr="00DA0A69">
        <w:rPr>
          <w:rFonts w:ascii="Times New Roman" w:eastAsia="Calibri" w:hAnsi="Times New Roman" w:cs="Times New Roman"/>
          <w:sz w:val="24"/>
          <w:szCs w:val="20"/>
        </w:rPr>
        <w:t xml:space="preserve">En Algérie, le nombre de recherches effectuées concernant cet objet est limité. Généralement, ces recherches se limitent à des études purement théoriques qui consistent à comparer entre l’ancien plan comptable Algérien et le nouveau système comptable et financier ; ainsi que certaines études d’impact relatif à l’application d’une seule norme du système comptable et financier, tel que l’évaluation des immobilisations corporelles. Dès lors, cette étude peut fournir une vision plus globale concernant la première application du SCF.  </w:t>
      </w:r>
    </w:p>
    <w:p w:rsidR="00DA0A69" w:rsidRPr="00DA0A69" w:rsidRDefault="00DA0A69" w:rsidP="00DA0A69">
      <w:pPr>
        <w:spacing w:before="0" w:beforeAutospacing="0" w:after="200" w:afterAutospacing="0" w:line="360" w:lineRule="auto"/>
        <w:ind w:firstLine="340"/>
        <w:jc w:val="both"/>
        <w:rPr>
          <w:rFonts w:ascii="Times New Roman" w:eastAsia="Calibri" w:hAnsi="Times New Roman" w:cs="Times New Roman"/>
          <w:sz w:val="24"/>
          <w:szCs w:val="20"/>
        </w:rPr>
      </w:pPr>
      <w:r w:rsidRPr="00DA0A69">
        <w:rPr>
          <w:rFonts w:ascii="Times New Roman" w:eastAsia="Calibri" w:hAnsi="Times New Roman" w:cs="Times New Roman"/>
          <w:sz w:val="24"/>
          <w:szCs w:val="20"/>
        </w:rPr>
        <w:t xml:space="preserve">En outre, il existe un avis qui estime que le système comptable et financier dépasse le besoin des entreprises algériennes. En justifiant cela par l’absence d’une véritable pression sur ces entreprises pour publier le maximum d’informations pertinentes afin d’attirer le plus possible nombre d’investisseurs potentiels, en particulier par le biais du marché financier vu que le nombre des entreprises cotées est très faible. </w:t>
      </w:r>
    </w:p>
    <w:p w:rsidR="00DA0A69" w:rsidRPr="00DA0A69" w:rsidRDefault="00DA0A69" w:rsidP="00DA0A69">
      <w:pPr>
        <w:spacing w:before="0" w:beforeAutospacing="0" w:after="200" w:afterAutospacing="0" w:line="360" w:lineRule="auto"/>
        <w:ind w:firstLine="340"/>
        <w:jc w:val="both"/>
        <w:rPr>
          <w:rFonts w:ascii="Times New Roman" w:eastAsia="Calibri" w:hAnsi="Times New Roman" w:cs="Times New Roman"/>
          <w:sz w:val="24"/>
          <w:szCs w:val="20"/>
        </w:rPr>
      </w:pPr>
      <w:r w:rsidRPr="00DA0A69">
        <w:rPr>
          <w:rFonts w:ascii="Times New Roman" w:eastAsia="Calibri" w:hAnsi="Times New Roman" w:cs="Times New Roman"/>
          <w:sz w:val="24"/>
          <w:szCs w:val="20"/>
        </w:rPr>
        <w:t xml:space="preserve">Supposons que cet avis est vrai, alors : que pourrait être l’intérêt de la mise en place d’un tel système et est-ce que les entreprises algériennes trouvent-elles la motivation nécessaire pour réussir leurs projet de passage ? Des questions qu’on a intérêt de répondre et qui permettent d’avoir une appréciation, ou moins partielle sur le processus de transition en Algérie.   </w:t>
      </w:r>
    </w:p>
    <w:p w:rsidR="00DA0A69" w:rsidRPr="00DA0A69" w:rsidRDefault="00DA0A69" w:rsidP="00DA0A69">
      <w:pPr>
        <w:spacing w:before="0" w:beforeAutospacing="0" w:after="200" w:afterAutospacing="0" w:line="360" w:lineRule="auto"/>
        <w:ind w:firstLine="340"/>
        <w:jc w:val="both"/>
        <w:rPr>
          <w:rFonts w:ascii="Times New Roman" w:eastAsia="Calibri" w:hAnsi="Times New Roman" w:cs="Times New Roman"/>
          <w:sz w:val="24"/>
          <w:szCs w:val="20"/>
        </w:rPr>
      </w:pPr>
      <w:r w:rsidRPr="00DA0A69">
        <w:rPr>
          <w:rFonts w:ascii="Times New Roman" w:eastAsia="Calibri" w:hAnsi="Times New Roman" w:cs="Times New Roman"/>
          <w:sz w:val="24"/>
          <w:szCs w:val="20"/>
        </w:rPr>
        <w:lastRenderedPageBreak/>
        <w:t>Cette recherche va nous permettre également d’étudier l’attitude d’un échantillon d’entreprises Algériennes envers le nouveau système comptable financier. Ainsi que d’apprécier la valeur ajoutée que peut apporter ce système à ces entreprises que ce soit sur le plan national ou international.</w:t>
      </w:r>
    </w:p>
    <w:p w:rsidR="00DA0A69" w:rsidRPr="00DA0A69" w:rsidRDefault="00DA0A69" w:rsidP="00DA0A69">
      <w:pPr>
        <w:spacing w:before="0" w:beforeAutospacing="0" w:after="200" w:afterAutospacing="0" w:line="360" w:lineRule="auto"/>
        <w:jc w:val="left"/>
        <w:rPr>
          <w:rFonts w:ascii="Times New Roman" w:eastAsia="Calibri" w:hAnsi="Times New Roman" w:cs="Times New Roman"/>
          <w:b/>
          <w:sz w:val="24"/>
        </w:rPr>
      </w:pPr>
      <w:r w:rsidRPr="00DA0A69">
        <w:rPr>
          <w:rFonts w:ascii="Times New Roman" w:eastAsia="Calibri" w:hAnsi="Times New Roman" w:cs="Times New Roman"/>
          <w:b/>
          <w:sz w:val="24"/>
        </w:rPr>
        <w:t>Objectif de la recherche </w:t>
      </w:r>
    </w:p>
    <w:p w:rsidR="00DA0A69" w:rsidRPr="00DA0A69" w:rsidRDefault="00DA0A69" w:rsidP="00DA0A69">
      <w:pPr>
        <w:spacing w:before="0" w:beforeAutospacing="0" w:after="200" w:afterAutospacing="0" w:line="360" w:lineRule="auto"/>
        <w:ind w:firstLine="340"/>
        <w:jc w:val="both"/>
        <w:rPr>
          <w:rFonts w:ascii="Times New Roman" w:eastAsia="Calibri" w:hAnsi="Times New Roman" w:cs="Times New Roman"/>
          <w:bCs/>
          <w:sz w:val="24"/>
        </w:rPr>
      </w:pPr>
      <w:r w:rsidRPr="00DA0A69">
        <w:rPr>
          <w:rFonts w:ascii="Times New Roman" w:eastAsia="Calibri" w:hAnsi="Times New Roman" w:cs="Times New Roman"/>
          <w:sz w:val="24"/>
          <w:szCs w:val="20"/>
        </w:rPr>
        <w:t xml:space="preserve">Dès lors, l’objectif principal du présent mémoire est d’évaluer </w:t>
      </w:r>
      <w:r w:rsidRPr="00DA0A69">
        <w:rPr>
          <w:rFonts w:ascii="Times New Roman" w:eastAsia="Calibri" w:hAnsi="Times New Roman" w:cs="Times New Roman"/>
          <w:bCs/>
          <w:sz w:val="24"/>
        </w:rPr>
        <w:t xml:space="preserve">l’impact de l’application du nouveau Système Comptable Financier sur les capitaux propres et résultats des sociétés du Groupe </w:t>
      </w:r>
      <w:proofErr w:type="spellStart"/>
      <w:r w:rsidRPr="00DA0A69">
        <w:rPr>
          <w:rFonts w:ascii="Times New Roman" w:eastAsia="Calibri" w:hAnsi="Times New Roman" w:cs="Times New Roman"/>
          <w:bCs/>
          <w:sz w:val="24"/>
        </w:rPr>
        <w:t>Sonelgaz</w:t>
      </w:r>
      <w:proofErr w:type="spellEnd"/>
      <w:r w:rsidRPr="00DA0A69">
        <w:rPr>
          <w:rFonts w:ascii="Times New Roman" w:eastAsia="Calibri" w:hAnsi="Times New Roman" w:cs="Times New Roman"/>
          <w:bCs/>
          <w:sz w:val="24"/>
        </w:rPr>
        <w:t xml:space="preserve">. </w:t>
      </w:r>
    </w:p>
    <w:p w:rsidR="00DA0A69" w:rsidRPr="00DA0A69" w:rsidRDefault="00DA0A69" w:rsidP="00DA0A69">
      <w:pPr>
        <w:spacing w:before="0" w:beforeAutospacing="0" w:after="200" w:afterAutospacing="0" w:line="360" w:lineRule="auto"/>
        <w:jc w:val="both"/>
        <w:rPr>
          <w:rFonts w:ascii="Times New Roman" w:eastAsia="Calibri" w:hAnsi="Times New Roman" w:cs="Times New Roman"/>
          <w:b/>
          <w:sz w:val="24"/>
          <w:szCs w:val="20"/>
        </w:rPr>
      </w:pPr>
      <w:r w:rsidRPr="00DA0A69">
        <w:rPr>
          <w:rFonts w:ascii="Times New Roman" w:eastAsia="Calibri" w:hAnsi="Times New Roman" w:cs="Times New Roman"/>
          <w:b/>
          <w:sz w:val="24"/>
          <w:szCs w:val="20"/>
        </w:rPr>
        <w:t xml:space="preserve">La démarche méthodologique </w:t>
      </w:r>
    </w:p>
    <w:p w:rsidR="00DA0A69" w:rsidRPr="00DA0A69" w:rsidRDefault="00DA0A69" w:rsidP="00DA0A69">
      <w:pPr>
        <w:spacing w:before="0" w:beforeAutospacing="0" w:after="200" w:afterAutospacing="0" w:line="360" w:lineRule="auto"/>
        <w:ind w:firstLine="340"/>
        <w:jc w:val="both"/>
        <w:rPr>
          <w:rFonts w:ascii="Times New Roman" w:eastAsia="Calibri" w:hAnsi="Times New Roman" w:cs="Times New Roman"/>
          <w:sz w:val="24"/>
          <w:szCs w:val="20"/>
        </w:rPr>
      </w:pPr>
      <w:r w:rsidRPr="00DA0A69">
        <w:rPr>
          <w:rFonts w:ascii="Times New Roman" w:eastAsia="Calibri" w:hAnsi="Times New Roman" w:cs="Times New Roman"/>
          <w:sz w:val="24"/>
          <w:szCs w:val="20"/>
        </w:rPr>
        <w:t xml:space="preserve">Pour répondre aux questions qu’on a posé dans la problématique, la recherche actuelle repose sur deux approches : une approche descriptive qui consiste à décrire le processus de passage au SCF au niveau des sociétés du Groupe </w:t>
      </w:r>
      <w:proofErr w:type="spellStart"/>
      <w:r w:rsidRPr="00DA0A69">
        <w:rPr>
          <w:rFonts w:ascii="Times New Roman" w:eastAsia="Calibri" w:hAnsi="Times New Roman" w:cs="Times New Roman"/>
          <w:sz w:val="24"/>
          <w:szCs w:val="20"/>
        </w:rPr>
        <w:t>Sonelgaz</w:t>
      </w:r>
      <w:proofErr w:type="spellEnd"/>
      <w:r w:rsidRPr="00DA0A69">
        <w:rPr>
          <w:rFonts w:ascii="Times New Roman" w:eastAsia="Calibri" w:hAnsi="Times New Roman" w:cs="Times New Roman"/>
          <w:sz w:val="24"/>
          <w:szCs w:val="20"/>
        </w:rPr>
        <w:t xml:space="preserve">, et une approche comparative qui va permettre la comparaison entre les données comptables  PCN et ceux obtenues après les retraitements SCF pour l’exercice 2009. Cette étude sera menée sur un échantillon (sélectif), représentant des sociétés du Groupe SONELGAZ. </w:t>
      </w:r>
    </w:p>
    <w:p w:rsidR="00DA0A69" w:rsidRPr="00DA0A69" w:rsidRDefault="00DA0A69" w:rsidP="00DA0A69">
      <w:pPr>
        <w:spacing w:before="0" w:beforeAutospacing="0" w:after="200" w:afterAutospacing="0" w:line="360" w:lineRule="auto"/>
        <w:ind w:firstLine="340"/>
        <w:jc w:val="both"/>
        <w:rPr>
          <w:rFonts w:ascii="Times New Roman" w:eastAsia="Calibri" w:hAnsi="Times New Roman" w:cs="Times New Roman"/>
          <w:sz w:val="24"/>
          <w:szCs w:val="20"/>
        </w:rPr>
      </w:pPr>
      <w:r w:rsidRPr="00DA0A69">
        <w:rPr>
          <w:rFonts w:ascii="Times New Roman" w:eastAsia="Calibri" w:hAnsi="Times New Roman" w:cs="Times New Roman"/>
          <w:sz w:val="24"/>
          <w:szCs w:val="20"/>
        </w:rPr>
        <w:t xml:space="preserve">Le plan mis en place afin d’atteindre les objectifs tracés pour cette recherche est décomposé en quatre principaux chapitres. </w:t>
      </w:r>
    </w:p>
    <w:p w:rsidR="00DA0A69" w:rsidRPr="00DA0A69" w:rsidRDefault="00DA0A69" w:rsidP="00DA0A69">
      <w:pPr>
        <w:spacing w:before="0" w:beforeAutospacing="0" w:after="200" w:afterAutospacing="0" w:line="360" w:lineRule="auto"/>
        <w:ind w:firstLine="340"/>
        <w:jc w:val="both"/>
        <w:rPr>
          <w:rFonts w:ascii="Times New Roman" w:eastAsia="Calibri" w:hAnsi="Times New Roman" w:cs="Times New Roman"/>
          <w:sz w:val="24"/>
          <w:szCs w:val="20"/>
        </w:rPr>
      </w:pPr>
      <w:r w:rsidRPr="00DA0A69">
        <w:rPr>
          <w:rFonts w:ascii="Times New Roman" w:eastAsia="Calibri" w:hAnsi="Times New Roman" w:cs="Times New Roman"/>
          <w:sz w:val="24"/>
          <w:szCs w:val="20"/>
        </w:rPr>
        <w:t>Le premier chapitre sera consacré à la régulation comptable internationale. Il va permettre d’avoir une vision plus claire sur l’évolution de la réglementation comptable à l’échelle mondiale.</w:t>
      </w:r>
    </w:p>
    <w:p w:rsidR="00DA0A69" w:rsidRPr="00DA0A69" w:rsidRDefault="00DA0A69" w:rsidP="00DA0A69">
      <w:pPr>
        <w:spacing w:before="0" w:beforeAutospacing="0" w:after="200" w:afterAutospacing="0" w:line="360" w:lineRule="auto"/>
        <w:ind w:firstLine="340"/>
        <w:jc w:val="both"/>
        <w:rPr>
          <w:rFonts w:ascii="Times New Roman" w:eastAsia="Calibri" w:hAnsi="Times New Roman" w:cs="Times New Roman"/>
          <w:sz w:val="24"/>
          <w:szCs w:val="20"/>
        </w:rPr>
      </w:pPr>
      <w:r w:rsidRPr="00DA0A69">
        <w:rPr>
          <w:rFonts w:ascii="Times New Roman" w:eastAsia="Calibri" w:hAnsi="Times New Roman" w:cs="Times New Roman"/>
          <w:sz w:val="24"/>
          <w:szCs w:val="20"/>
        </w:rPr>
        <w:t>En parallèle, le deuxième chapitre va traiter l’aspect relatif à la recherche scientifique menée dans le domaine de la comptabilité. Ce qui permettra d’identifier les principaux critères qui sont à l’origine de l’impact relatif à la transition aux normes internationales.</w:t>
      </w:r>
    </w:p>
    <w:p w:rsidR="00DA0A69" w:rsidRPr="00DA0A69" w:rsidRDefault="00DA0A69" w:rsidP="00DA0A69">
      <w:pPr>
        <w:spacing w:before="0" w:beforeAutospacing="0" w:after="200" w:afterAutospacing="0" w:line="360" w:lineRule="auto"/>
        <w:ind w:firstLine="340"/>
        <w:jc w:val="both"/>
        <w:rPr>
          <w:rFonts w:ascii="Times New Roman" w:eastAsia="Calibri" w:hAnsi="Times New Roman" w:cs="Times New Roman"/>
          <w:sz w:val="24"/>
          <w:szCs w:val="20"/>
        </w:rPr>
      </w:pPr>
      <w:r w:rsidRPr="00DA0A69">
        <w:rPr>
          <w:rFonts w:ascii="Times New Roman" w:eastAsia="Calibri" w:hAnsi="Times New Roman" w:cs="Times New Roman"/>
          <w:sz w:val="24"/>
          <w:szCs w:val="20"/>
        </w:rPr>
        <w:t xml:space="preserve">En outre, le troisième chapitre aura comme objectif de décrire l’environnement comptable en Algérie et d’apprécier l’apport du système comptable et financier dans ce contexte. Cela en identifiant les principes et conventions du SCF ainsi que les divergences qu’il présente par rapport à l’ancien plan comptable national (PCN). </w:t>
      </w:r>
      <w:r w:rsidRPr="00DA0A69">
        <w:rPr>
          <w:rFonts w:ascii="Times New Roman" w:eastAsia="Calibri" w:hAnsi="Times New Roman" w:cs="Times New Roman"/>
          <w:sz w:val="24"/>
          <w:szCs w:val="20"/>
        </w:rPr>
        <w:lastRenderedPageBreak/>
        <w:t>D’autre part, les principales normes du SCF et leurs impacts éventuels, sur les capitaux propres et les résultats des sociétés, seront présentés.</w:t>
      </w:r>
    </w:p>
    <w:p w:rsidR="0018245E" w:rsidRDefault="00DA0A69" w:rsidP="00DA0A69">
      <w:pPr>
        <w:rPr>
          <w:rFonts w:ascii="Times New Roman" w:eastAsia="Calibri" w:hAnsi="Times New Roman" w:cs="Times New Roman"/>
          <w:sz w:val="24"/>
          <w:szCs w:val="20"/>
        </w:rPr>
      </w:pPr>
      <w:r w:rsidRPr="00DA0A69">
        <w:rPr>
          <w:rFonts w:ascii="Times New Roman" w:eastAsia="Calibri" w:hAnsi="Times New Roman" w:cs="Times New Roman"/>
          <w:sz w:val="24"/>
          <w:szCs w:val="20"/>
        </w:rPr>
        <w:t xml:space="preserve">Enfin, le quatrième chapitre sera consacré à l’étude de cas qui va être effectuée sur un échantillon de sociétés faisant partie du Groupe </w:t>
      </w:r>
      <w:proofErr w:type="spellStart"/>
      <w:r w:rsidRPr="00DA0A69">
        <w:rPr>
          <w:rFonts w:ascii="Times New Roman" w:eastAsia="Calibri" w:hAnsi="Times New Roman" w:cs="Times New Roman"/>
          <w:sz w:val="24"/>
          <w:szCs w:val="20"/>
        </w:rPr>
        <w:t>Sonelgaz</w:t>
      </w:r>
      <w:proofErr w:type="spellEnd"/>
      <w:r w:rsidRPr="00DA0A69">
        <w:rPr>
          <w:rFonts w:ascii="Times New Roman" w:eastAsia="Calibri" w:hAnsi="Times New Roman" w:cs="Times New Roman"/>
          <w:sz w:val="24"/>
          <w:szCs w:val="20"/>
        </w:rPr>
        <w:t>. Dont l’objectif est d’interpréter les aspects théoriques sur la réalité économique des sociétés du Groupe.</w:t>
      </w:r>
    </w:p>
    <w:p w:rsidR="00DA0A69" w:rsidRDefault="00DA0A69" w:rsidP="00DA0A69">
      <w:pPr>
        <w:rPr>
          <w:rFonts w:ascii="Times New Roman" w:eastAsia="Calibri" w:hAnsi="Times New Roman" w:cs="Times New Roman"/>
          <w:sz w:val="24"/>
          <w:szCs w:val="20"/>
        </w:rPr>
      </w:pPr>
    </w:p>
    <w:p w:rsidR="00DA0A69" w:rsidRDefault="00DA0A69" w:rsidP="00DA0A69">
      <w:pPr>
        <w:rPr>
          <w:rFonts w:ascii="Times New Roman" w:eastAsia="Calibri" w:hAnsi="Times New Roman" w:cs="Times New Roman"/>
          <w:sz w:val="24"/>
          <w:szCs w:val="20"/>
        </w:rPr>
      </w:pPr>
    </w:p>
    <w:p w:rsidR="00DA0A69" w:rsidRDefault="00DA0A69" w:rsidP="00DA0A69">
      <w:pPr>
        <w:rPr>
          <w:rFonts w:ascii="Times New Roman" w:eastAsia="Calibri" w:hAnsi="Times New Roman" w:cs="Times New Roman"/>
          <w:sz w:val="24"/>
          <w:szCs w:val="20"/>
        </w:rPr>
      </w:pPr>
    </w:p>
    <w:p w:rsidR="00DA0A69" w:rsidRDefault="00DA0A69" w:rsidP="00DA0A69">
      <w:pPr>
        <w:rPr>
          <w:rFonts w:ascii="Times New Roman" w:eastAsia="Calibri" w:hAnsi="Times New Roman" w:cs="Times New Roman"/>
          <w:sz w:val="24"/>
          <w:szCs w:val="20"/>
        </w:rPr>
      </w:pPr>
    </w:p>
    <w:p w:rsidR="00DA0A69" w:rsidRDefault="00DA0A69" w:rsidP="00DA0A69">
      <w:pPr>
        <w:rPr>
          <w:rFonts w:ascii="Times New Roman" w:eastAsia="Calibri" w:hAnsi="Times New Roman" w:cs="Times New Roman"/>
          <w:sz w:val="24"/>
          <w:szCs w:val="20"/>
        </w:rPr>
      </w:pPr>
    </w:p>
    <w:p w:rsidR="00DA0A69" w:rsidRDefault="00DA0A69" w:rsidP="00DA0A69">
      <w:pPr>
        <w:rPr>
          <w:rFonts w:ascii="Times New Roman" w:eastAsia="Calibri" w:hAnsi="Times New Roman" w:cs="Times New Roman"/>
          <w:sz w:val="24"/>
          <w:szCs w:val="20"/>
        </w:rPr>
      </w:pPr>
    </w:p>
    <w:p w:rsidR="00DA0A69" w:rsidRDefault="00DA0A69" w:rsidP="00DA0A69">
      <w:pPr>
        <w:rPr>
          <w:rFonts w:ascii="Times New Roman" w:eastAsia="Calibri" w:hAnsi="Times New Roman" w:cs="Times New Roman"/>
          <w:sz w:val="24"/>
          <w:szCs w:val="20"/>
        </w:rPr>
      </w:pPr>
    </w:p>
    <w:p w:rsidR="00DA0A69" w:rsidRDefault="00DA0A69" w:rsidP="00DA0A69">
      <w:pPr>
        <w:rPr>
          <w:rFonts w:ascii="Times New Roman" w:eastAsia="Calibri" w:hAnsi="Times New Roman" w:cs="Times New Roman"/>
          <w:sz w:val="24"/>
          <w:szCs w:val="20"/>
        </w:rPr>
      </w:pPr>
    </w:p>
    <w:p w:rsidR="00DA0A69" w:rsidRDefault="00DA0A69" w:rsidP="00DA0A69">
      <w:pPr>
        <w:rPr>
          <w:rFonts w:ascii="Times New Roman" w:eastAsia="Calibri" w:hAnsi="Times New Roman" w:cs="Times New Roman"/>
          <w:sz w:val="24"/>
          <w:szCs w:val="20"/>
        </w:rPr>
      </w:pPr>
    </w:p>
    <w:p w:rsidR="00DA0A69" w:rsidRDefault="00DA0A69" w:rsidP="00DA0A69">
      <w:pPr>
        <w:rPr>
          <w:rFonts w:ascii="Times New Roman" w:eastAsia="Calibri" w:hAnsi="Times New Roman" w:cs="Times New Roman"/>
          <w:sz w:val="24"/>
          <w:szCs w:val="20"/>
        </w:rPr>
      </w:pPr>
    </w:p>
    <w:p w:rsidR="00DA0A69" w:rsidRDefault="00DA0A69" w:rsidP="00DA0A69">
      <w:pPr>
        <w:rPr>
          <w:rFonts w:ascii="Times New Roman" w:eastAsia="Calibri" w:hAnsi="Times New Roman" w:cs="Times New Roman"/>
          <w:sz w:val="24"/>
          <w:szCs w:val="20"/>
        </w:rPr>
      </w:pPr>
    </w:p>
    <w:p w:rsidR="00DA0A69" w:rsidRDefault="00DA0A69" w:rsidP="00DA0A69">
      <w:pPr>
        <w:rPr>
          <w:rFonts w:ascii="Times New Roman" w:eastAsia="Calibri" w:hAnsi="Times New Roman" w:cs="Times New Roman"/>
          <w:sz w:val="24"/>
          <w:szCs w:val="20"/>
        </w:rPr>
      </w:pPr>
    </w:p>
    <w:p w:rsidR="00DA0A69" w:rsidRDefault="00DA0A69" w:rsidP="00DA0A69">
      <w:pPr>
        <w:rPr>
          <w:rFonts w:ascii="Times New Roman" w:eastAsia="Calibri" w:hAnsi="Times New Roman" w:cs="Times New Roman"/>
          <w:sz w:val="24"/>
          <w:szCs w:val="20"/>
        </w:rPr>
      </w:pPr>
    </w:p>
    <w:p w:rsidR="00DA0A69" w:rsidRDefault="00DA0A69" w:rsidP="00DA0A69">
      <w:pPr>
        <w:rPr>
          <w:rFonts w:ascii="Times New Roman" w:eastAsia="Calibri" w:hAnsi="Times New Roman" w:cs="Times New Roman"/>
          <w:sz w:val="24"/>
          <w:szCs w:val="20"/>
        </w:rPr>
      </w:pPr>
    </w:p>
    <w:p w:rsidR="00DA0A69" w:rsidRDefault="00DA0A69" w:rsidP="00DA0A69">
      <w:pPr>
        <w:rPr>
          <w:rFonts w:ascii="Times New Roman" w:eastAsia="Calibri" w:hAnsi="Times New Roman" w:cs="Times New Roman"/>
          <w:sz w:val="24"/>
          <w:szCs w:val="20"/>
        </w:rPr>
      </w:pPr>
    </w:p>
    <w:p w:rsidR="00DA0A69" w:rsidRDefault="00DA0A69" w:rsidP="00DA0A69">
      <w:pPr>
        <w:rPr>
          <w:rFonts w:ascii="Times New Roman" w:eastAsia="Calibri" w:hAnsi="Times New Roman" w:cs="Times New Roman"/>
          <w:sz w:val="24"/>
          <w:szCs w:val="20"/>
        </w:rPr>
      </w:pPr>
    </w:p>
    <w:p w:rsidR="00DA0A69" w:rsidRDefault="00DA0A69" w:rsidP="00DA0A69">
      <w:pPr>
        <w:rPr>
          <w:rFonts w:ascii="Times New Roman" w:eastAsia="Calibri" w:hAnsi="Times New Roman" w:cs="Times New Roman"/>
          <w:sz w:val="24"/>
          <w:szCs w:val="20"/>
        </w:rPr>
      </w:pPr>
    </w:p>
    <w:p w:rsidR="00DA0A69" w:rsidRDefault="00DA0A69" w:rsidP="00DA0A69">
      <w:pPr>
        <w:rPr>
          <w:rFonts w:ascii="Times New Roman" w:eastAsia="Calibri" w:hAnsi="Times New Roman" w:cs="Times New Roman"/>
          <w:sz w:val="24"/>
          <w:szCs w:val="20"/>
        </w:rPr>
      </w:pPr>
    </w:p>
    <w:p w:rsidR="00DA0A69" w:rsidRDefault="00DA0A69" w:rsidP="00DA0A69">
      <w:pPr>
        <w:rPr>
          <w:rFonts w:ascii="Times New Roman" w:eastAsia="Calibri" w:hAnsi="Times New Roman" w:cs="Times New Roman"/>
          <w:sz w:val="24"/>
          <w:szCs w:val="20"/>
        </w:rPr>
      </w:pPr>
    </w:p>
    <w:p w:rsidR="00DA0A69" w:rsidRDefault="00DA0A69" w:rsidP="00DA0A69">
      <w:pPr>
        <w:rPr>
          <w:rFonts w:ascii="Times New Roman" w:eastAsia="Calibri" w:hAnsi="Times New Roman" w:cs="Times New Roman"/>
          <w:sz w:val="24"/>
          <w:szCs w:val="20"/>
        </w:rPr>
      </w:pPr>
    </w:p>
    <w:p w:rsidR="00DA0A69" w:rsidRDefault="00DA0A69" w:rsidP="00DA0A69">
      <w:pPr>
        <w:rPr>
          <w:rFonts w:ascii="Times New Roman" w:hAnsi="Times New Roman" w:cs="Times New Roman"/>
          <w:sz w:val="24"/>
        </w:rPr>
        <w:sectPr w:rsidR="00DA0A69" w:rsidSect="0018245E">
          <w:headerReference w:type="default" r:id="rId13"/>
          <w:pgSz w:w="11906" w:h="16838"/>
          <w:pgMar w:top="1418" w:right="1418" w:bottom="1418" w:left="1418" w:header="709" w:footer="709" w:gutter="567"/>
          <w:cols w:space="708"/>
          <w:docGrid w:linePitch="360"/>
        </w:sectPr>
      </w:pPr>
    </w:p>
    <w:p w:rsidR="00DA0A69" w:rsidRDefault="00DA0A69" w:rsidP="00DA0A69">
      <w:pPr>
        <w:rPr>
          <w:rFonts w:ascii="Times New Roman" w:hAnsi="Times New Roman" w:cs="Times New Roman"/>
          <w:sz w:val="24"/>
        </w:rPr>
      </w:pPr>
    </w:p>
    <w:p w:rsidR="00DA0A69" w:rsidRDefault="00DA0A69" w:rsidP="00DA0A69">
      <w:pPr>
        <w:rPr>
          <w:rFonts w:ascii="Times New Roman" w:hAnsi="Times New Roman" w:cs="Times New Roman"/>
          <w:sz w:val="24"/>
        </w:rPr>
      </w:pPr>
    </w:p>
    <w:p w:rsidR="00DA0A69" w:rsidRPr="00DA0A69" w:rsidRDefault="00DA0A69" w:rsidP="00DA0A69">
      <w:pPr>
        <w:spacing w:before="0" w:beforeAutospacing="0" w:after="200" w:afterAutospacing="0" w:line="276" w:lineRule="auto"/>
        <w:rPr>
          <w:rFonts w:ascii="Times New Roman" w:hAnsi="Times New Roman" w:cs="Times New Roman"/>
          <w:b/>
          <w:i/>
          <w:sz w:val="36"/>
          <w:szCs w:val="24"/>
        </w:rPr>
      </w:pPr>
      <w:r w:rsidRPr="00DA0A69">
        <w:rPr>
          <w:rFonts w:ascii="Times New Roman" w:hAnsi="Times New Roman" w:cs="Times New Roman"/>
          <w:b/>
          <w:i/>
          <w:sz w:val="36"/>
          <w:szCs w:val="24"/>
        </w:rPr>
        <w:t>Chapitre 1 : Régulation et harmonisation comptable internationale</w:t>
      </w:r>
    </w:p>
    <w:p w:rsidR="00DA0A69" w:rsidRPr="00DA0A69" w:rsidRDefault="00DA0A69" w:rsidP="00DA0A69">
      <w:pPr>
        <w:spacing w:before="0" w:beforeAutospacing="0" w:after="200" w:afterAutospacing="0" w:line="276" w:lineRule="auto"/>
        <w:rPr>
          <w:b/>
          <w:i/>
          <w:sz w:val="24"/>
          <w:szCs w:val="24"/>
        </w:rPr>
      </w:pPr>
    </w:p>
    <w:p w:rsidR="00DA0A69" w:rsidRPr="00DA0A69" w:rsidRDefault="00DA0A69" w:rsidP="00DA0A69">
      <w:pPr>
        <w:spacing w:before="0" w:beforeAutospacing="0" w:after="200" w:afterAutospacing="0" w:line="276" w:lineRule="auto"/>
        <w:ind w:firstLine="284"/>
        <w:jc w:val="both"/>
        <w:rPr>
          <w:rFonts w:ascii="Times New Roman" w:hAnsi="Times New Roman" w:cs="Times New Roman"/>
          <w:sz w:val="24"/>
          <w:szCs w:val="24"/>
        </w:rPr>
      </w:pPr>
      <w:r w:rsidRPr="00DA0A69">
        <w:rPr>
          <w:rFonts w:ascii="Times New Roman" w:hAnsi="Times New Roman" w:cs="Times New Roman"/>
          <w:sz w:val="24"/>
          <w:szCs w:val="24"/>
        </w:rPr>
        <w:t>Partant du principe que l’Algérie fait partie d’un environnement économique international et que la mise en place du nouveau système comptable s’inscrit dans une perspective d’intégration au contexte mondial, il était nécessaire de traiter en premier lieu le contexte d’évolution de la régulation comptable au niveau international. Vu que cet aspect va nous aider à constituer une vision plus claire sur les finalités de l’harmonisation comptable internationale ainsi que leur influence sur l’évolution de la réglementation et les pratiques comptables en Algérie.</w:t>
      </w:r>
    </w:p>
    <w:p w:rsidR="00DA0A69" w:rsidRPr="00DA0A69" w:rsidRDefault="00DA0A69" w:rsidP="00DA0A69">
      <w:pPr>
        <w:spacing w:before="0" w:beforeAutospacing="0" w:after="200" w:afterAutospacing="0" w:line="276" w:lineRule="auto"/>
        <w:ind w:firstLine="284"/>
        <w:jc w:val="both"/>
        <w:rPr>
          <w:rFonts w:ascii="Times New Roman" w:hAnsi="Times New Roman" w:cs="Times New Roman"/>
          <w:sz w:val="24"/>
          <w:szCs w:val="24"/>
        </w:rPr>
      </w:pPr>
      <w:r w:rsidRPr="00DA0A69">
        <w:rPr>
          <w:rFonts w:ascii="Times New Roman" w:hAnsi="Times New Roman" w:cs="Times New Roman"/>
          <w:sz w:val="24"/>
          <w:szCs w:val="24"/>
        </w:rPr>
        <w:t xml:space="preserve">En outre, l’objectif de ce chapitre est de présenter l’importance de la comptabilité et définir un cadre d’analyse concernant l’évolution de la régulation comptable au niveau international. De plus, définir l’importance des processus de normalisation et d’harmonisation comptables pour les différentes économies et les difficultés qui se confrontent à leur mise en place. </w:t>
      </w:r>
    </w:p>
    <w:p w:rsidR="00DA0A69" w:rsidRPr="00DA0A69" w:rsidRDefault="00DA0A69" w:rsidP="00DA0A69">
      <w:pPr>
        <w:spacing w:before="0" w:beforeAutospacing="0" w:after="200" w:afterAutospacing="0" w:line="276" w:lineRule="auto"/>
        <w:ind w:firstLine="284"/>
        <w:jc w:val="both"/>
        <w:rPr>
          <w:rFonts w:ascii="Times New Roman" w:hAnsi="Times New Roman" w:cs="Times New Roman"/>
          <w:sz w:val="24"/>
          <w:szCs w:val="24"/>
        </w:rPr>
      </w:pPr>
      <w:r w:rsidRPr="00DA0A69">
        <w:rPr>
          <w:rFonts w:ascii="Times New Roman" w:hAnsi="Times New Roman" w:cs="Times New Roman"/>
          <w:sz w:val="24"/>
          <w:szCs w:val="24"/>
        </w:rPr>
        <w:t>En conséquence, ce chapitre va mettre l’accent sur le rôle de la comptabilité, la régulation comptable et sa relation avec l’évolution de l’environnement économique mondial, ainsi que la classification des différents systèmes comptables mondiaux. En conclusion, on présentera les finalités et l’historique du processus d’harmonisation comptable internationale tout en soulignant les difficultés qui bloquent à la réussite de ce processus.</w:t>
      </w:r>
    </w:p>
    <w:p w:rsidR="00DA0A69" w:rsidRDefault="00DA0A69" w:rsidP="00DA0A69">
      <w:pPr>
        <w:rPr>
          <w:rFonts w:ascii="Times New Roman" w:hAnsi="Times New Roman" w:cs="Times New Roman"/>
          <w:sz w:val="24"/>
        </w:rPr>
      </w:pPr>
    </w:p>
    <w:p w:rsidR="00DA0A69" w:rsidRDefault="00DA0A69" w:rsidP="00DA0A69">
      <w:pPr>
        <w:rPr>
          <w:rFonts w:ascii="Times New Roman" w:hAnsi="Times New Roman" w:cs="Times New Roman"/>
          <w:sz w:val="24"/>
        </w:rPr>
      </w:pPr>
    </w:p>
    <w:p w:rsidR="00DA0A69" w:rsidRDefault="00DA0A69" w:rsidP="00DA0A69">
      <w:pPr>
        <w:rPr>
          <w:rFonts w:ascii="Times New Roman" w:hAnsi="Times New Roman" w:cs="Times New Roman"/>
          <w:sz w:val="24"/>
        </w:rPr>
      </w:pPr>
    </w:p>
    <w:p w:rsidR="00DA0A69" w:rsidRDefault="00DA0A69" w:rsidP="00DA0A69">
      <w:pPr>
        <w:rPr>
          <w:rFonts w:ascii="Times New Roman" w:hAnsi="Times New Roman" w:cs="Times New Roman"/>
          <w:sz w:val="24"/>
        </w:rPr>
      </w:pPr>
    </w:p>
    <w:p w:rsidR="00DA0A69" w:rsidRDefault="00DA0A69" w:rsidP="00DA0A69">
      <w:pPr>
        <w:rPr>
          <w:rFonts w:ascii="Times New Roman" w:hAnsi="Times New Roman" w:cs="Times New Roman"/>
          <w:sz w:val="24"/>
        </w:rPr>
      </w:pPr>
    </w:p>
    <w:p w:rsidR="00DA0A69" w:rsidRDefault="00DA0A69" w:rsidP="00DA0A69">
      <w:pPr>
        <w:rPr>
          <w:rFonts w:ascii="Times New Roman" w:hAnsi="Times New Roman" w:cs="Times New Roman"/>
          <w:sz w:val="24"/>
        </w:rPr>
      </w:pPr>
    </w:p>
    <w:p w:rsidR="00DA0A69" w:rsidRDefault="00DA0A69" w:rsidP="00DA0A69">
      <w:pPr>
        <w:rPr>
          <w:rFonts w:ascii="Times New Roman" w:hAnsi="Times New Roman" w:cs="Times New Roman"/>
          <w:sz w:val="24"/>
        </w:rPr>
      </w:pPr>
    </w:p>
    <w:p w:rsidR="00DA0A69" w:rsidRDefault="00DA0A69" w:rsidP="00DA0A69">
      <w:pPr>
        <w:rPr>
          <w:rFonts w:ascii="Times New Roman" w:hAnsi="Times New Roman" w:cs="Times New Roman"/>
          <w:sz w:val="24"/>
        </w:rPr>
      </w:pPr>
    </w:p>
    <w:p w:rsidR="00D41BD8" w:rsidRPr="00D41BD8" w:rsidRDefault="00D41BD8" w:rsidP="00D41BD8">
      <w:pPr>
        <w:spacing w:before="0" w:beforeAutospacing="0" w:after="200" w:afterAutospacing="0" w:line="276" w:lineRule="auto"/>
        <w:rPr>
          <w:rFonts w:asciiTheme="majorBidi" w:hAnsiTheme="majorBidi" w:cstheme="majorBidi"/>
          <w:b/>
          <w:i/>
          <w:sz w:val="26"/>
          <w:szCs w:val="26"/>
        </w:rPr>
      </w:pPr>
      <w:r w:rsidRPr="00D41BD8">
        <w:rPr>
          <w:rFonts w:asciiTheme="majorBidi" w:hAnsiTheme="majorBidi" w:cstheme="majorBidi"/>
          <w:b/>
          <w:i/>
          <w:sz w:val="26"/>
          <w:szCs w:val="26"/>
        </w:rPr>
        <w:lastRenderedPageBreak/>
        <w:t>Section 1 : l’environnement économique et son influence sur les pratiques et la régulation comptable internationale</w:t>
      </w:r>
    </w:p>
    <w:p w:rsidR="00D41BD8" w:rsidRPr="00D41BD8" w:rsidRDefault="00D41BD8" w:rsidP="00D41BD8">
      <w:pPr>
        <w:spacing w:before="0" w:beforeAutospacing="0" w:after="200" w:afterAutospacing="0" w:line="276" w:lineRule="auto"/>
        <w:ind w:firstLine="284"/>
        <w:jc w:val="both"/>
        <w:rPr>
          <w:rFonts w:ascii="Times New Roman" w:hAnsi="Times New Roman" w:cs="Times New Roman"/>
          <w:sz w:val="24"/>
        </w:rPr>
      </w:pPr>
      <w:r w:rsidRPr="00D41BD8">
        <w:rPr>
          <w:rFonts w:ascii="Times New Roman" w:hAnsi="Times New Roman" w:cs="Times New Roman"/>
          <w:sz w:val="24"/>
        </w:rPr>
        <w:t xml:space="preserve">Il y a quelques années, la comptabilité rimait quasiment avec simplicité et facilité. C’est loin d’être encore le cas. A l’heure actuelle, l’environnement économique dans lequel évoluent les entreprises est devenu un environnement de plus en plus complexe et instable. </w:t>
      </w:r>
    </w:p>
    <w:p w:rsidR="00D41BD8" w:rsidRPr="00D41BD8" w:rsidRDefault="00D41BD8" w:rsidP="00D41BD8">
      <w:pPr>
        <w:spacing w:before="0" w:beforeAutospacing="0" w:after="200" w:afterAutospacing="0" w:line="276" w:lineRule="auto"/>
        <w:ind w:firstLine="284"/>
        <w:jc w:val="both"/>
        <w:rPr>
          <w:rFonts w:ascii="Times New Roman" w:hAnsi="Times New Roman" w:cs="Times New Roman"/>
          <w:b/>
          <w:bCs/>
          <w:sz w:val="28"/>
          <w:szCs w:val="24"/>
        </w:rPr>
      </w:pPr>
      <w:r w:rsidRPr="00D41BD8">
        <w:rPr>
          <w:rFonts w:ascii="Times New Roman" w:hAnsi="Times New Roman" w:cs="Times New Roman"/>
          <w:sz w:val="24"/>
        </w:rPr>
        <w:t xml:space="preserve">En conséquence, l’information financière et comptable est devenue un critère déterminant dans le processus de prise de décision des différents acteurs économiques. Désormais, la comptabilité occupe un rôle plus important dans l’économie mondiale chose qui peut être constatée à travers l’évolution de la régulation comptable internationale.  </w:t>
      </w:r>
    </w:p>
    <w:p w:rsidR="00D41BD8" w:rsidRPr="00D41BD8" w:rsidRDefault="00D41BD8" w:rsidP="00D41BD8">
      <w:pPr>
        <w:spacing w:before="0" w:beforeAutospacing="0" w:after="200" w:afterAutospacing="0" w:line="276" w:lineRule="auto"/>
        <w:jc w:val="left"/>
        <w:rPr>
          <w:rFonts w:ascii="Times New Roman" w:hAnsi="Times New Roman" w:cs="Times New Roman"/>
          <w:b/>
          <w:bCs/>
          <w:sz w:val="26"/>
          <w:szCs w:val="26"/>
        </w:rPr>
      </w:pPr>
      <w:r w:rsidRPr="00D41BD8">
        <w:rPr>
          <w:rFonts w:ascii="Times New Roman" w:hAnsi="Times New Roman" w:cs="Times New Roman"/>
          <w:b/>
          <w:bCs/>
          <w:sz w:val="26"/>
          <w:szCs w:val="26"/>
        </w:rPr>
        <w:t>1.1. Le rôle de la comptabilité</w:t>
      </w:r>
    </w:p>
    <w:p w:rsidR="00D41BD8" w:rsidRPr="00D41BD8" w:rsidRDefault="00D41BD8" w:rsidP="00D41BD8">
      <w:pPr>
        <w:spacing w:before="0" w:beforeAutospacing="0" w:after="200" w:afterAutospacing="0" w:line="276" w:lineRule="auto"/>
        <w:ind w:firstLine="284"/>
        <w:jc w:val="both"/>
        <w:rPr>
          <w:rFonts w:ascii="Times New Roman" w:eastAsia="Times New Roman" w:hAnsi="Times New Roman" w:cs="Times New Roman"/>
          <w:sz w:val="24"/>
          <w:szCs w:val="24"/>
          <w:lang w:eastAsia="fr-FR"/>
        </w:rPr>
      </w:pPr>
      <w:r w:rsidRPr="00D41BD8">
        <w:rPr>
          <w:rFonts w:ascii="Times New Roman" w:hAnsi="Times New Roman" w:cs="Times New Roman"/>
          <w:sz w:val="24"/>
        </w:rPr>
        <w:t>Avant de traiter la question relative au rôle de la comptabilité, il est important de définir la nature de cette dernière. Selon une optique réglementaire, l</w:t>
      </w:r>
      <w:r w:rsidRPr="00D41BD8">
        <w:rPr>
          <w:rFonts w:ascii="Times New Roman" w:eastAsia="Times New Roman" w:hAnsi="Times New Roman" w:cs="Times New Roman"/>
          <w:sz w:val="24"/>
          <w:szCs w:val="24"/>
          <w:lang w:eastAsia="fr-FR"/>
        </w:rPr>
        <w:t>a comptabilité peut être perçue comme «un ensemble des comptes établis et tenus selon des règles. Elle est donc un système d'information obéissant à des conventions et des normes socialement définies et ne peut exister et se développer que dans des sociétés humaines complexes ayant atteint un assez haut degré d'organisation »</w:t>
      </w:r>
      <w:r w:rsidRPr="00D41BD8">
        <w:rPr>
          <w:rFonts w:ascii="Times New Roman" w:eastAsia="Times New Roman" w:hAnsi="Times New Roman" w:cs="Times New Roman"/>
          <w:sz w:val="24"/>
          <w:szCs w:val="24"/>
          <w:vertAlign w:val="superscript"/>
          <w:lang w:eastAsia="fr-FR"/>
        </w:rPr>
        <w:footnoteReference w:id="2"/>
      </w:r>
      <w:r w:rsidRPr="00D41BD8">
        <w:rPr>
          <w:rFonts w:ascii="Times New Roman" w:eastAsia="Times New Roman" w:hAnsi="Times New Roman" w:cs="Times New Roman"/>
          <w:sz w:val="24"/>
          <w:szCs w:val="24"/>
          <w:lang w:eastAsia="fr-FR"/>
        </w:rPr>
        <w:t>.En outre, la comptabilité peut être considérée comme étant une « technique qui, par le rassemblement de données numériques et leur organisation en un ensemble cohérent, permet de rendre compte de l'activité et des résultats d'une entreprise et, plus généralement, d'une organisation »</w:t>
      </w:r>
      <w:r w:rsidRPr="00D41BD8">
        <w:rPr>
          <w:rFonts w:ascii="Times New Roman" w:eastAsia="Times New Roman" w:hAnsi="Times New Roman" w:cs="Times New Roman"/>
          <w:sz w:val="24"/>
          <w:szCs w:val="24"/>
          <w:vertAlign w:val="superscript"/>
          <w:lang w:eastAsia="fr-FR"/>
        </w:rPr>
        <w:footnoteReference w:id="3"/>
      </w:r>
      <w:r w:rsidRPr="00D41BD8">
        <w:rPr>
          <w:rFonts w:ascii="Times New Roman" w:eastAsia="Times New Roman" w:hAnsi="Times New Roman" w:cs="Times New Roman"/>
          <w:sz w:val="24"/>
          <w:szCs w:val="24"/>
          <w:lang w:eastAsia="fr-FR"/>
        </w:rPr>
        <w:t>.</w:t>
      </w:r>
    </w:p>
    <w:p w:rsidR="00D41BD8" w:rsidRPr="00D41BD8" w:rsidRDefault="00D41BD8" w:rsidP="00D41BD8">
      <w:pPr>
        <w:spacing w:before="0" w:beforeAutospacing="0" w:after="200" w:afterAutospacing="0" w:line="276" w:lineRule="auto"/>
        <w:ind w:firstLine="284"/>
        <w:jc w:val="both"/>
        <w:rPr>
          <w:rFonts w:ascii="Times New Roman" w:eastAsia="Times New Roman" w:hAnsi="Times New Roman" w:cs="Times New Roman"/>
          <w:sz w:val="24"/>
          <w:szCs w:val="24"/>
          <w:lang w:eastAsia="fr-FR"/>
        </w:rPr>
      </w:pPr>
      <w:r w:rsidRPr="00D41BD8">
        <w:rPr>
          <w:rFonts w:ascii="Times New Roman" w:eastAsia="Times New Roman" w:hAnsi="Times New Roman" w:cs="Times New Roman"/>
          <w:sz w:val="24"/>
          <w:szCs w:val="24"/>
          <w:lang w:eastAsia="fr-FR"/>
        </w:rPr>
        <w:t xml:space="preserve">A partir de ces définitions, on peut conclure que l’objectif de la comptabilité consiste à refléter la réalité économique des activités de l’entreprise en se basant sur des conventions et règles définies par la société. En revanche, la nature de la comptabilité a toujours fait objet de débat, entre une science une technique ou un langage les avis des scientifiques se croisent. </w:t>
      </w:r>
    </w:p>
    <w:p w:rsidR="00D41BD8" w:rsidRPr="00D41BD8" w:rsidRDefault="00D41BD8" w:rsidP="002A3F16">
      <w:pPr>
        <w:numPr>
          <w:ilvl w:val="0"/>
          <w:numId w:val="2"/>
        </w:numPr>
        <w:spacing w:before="120" w:beforeAutospacing="0" w:after="120" w:afterAutospacing="0" w:line="276" w:lineRule="auto"/>
        <w:ind w:left="357" w:hanging="357"/>
        <w:contextualSpacing/>
        <w:jc w:val="both"/>
        <w:rPr>
          <w:rFonts w:ascii="Times New Roman" w:eastAsia="Times New Roman" w:hAnsi="Times New Roman" w:cs="Times New Roman"/>
          <w:sz w:val="24"/>
          <w:szCs w:val="24"/>
          <w:lang w:eastAsia="fr-FR"/>
        </w:rPr>
      </w:pPr>
      <w:r w:rsidRPr="00D41BD8">
        <w:rPr>
          <w:rFonts w:ascii="Times New Roman" w:eastAsia="Times New Roman" w:hAnsi="Times New Roman" w:cs="Times New Roman"/>
          <w:b/>
          <w:bCs/>
          <w:sz w:val="24"/>
          <w:szCs w:val="24"/>
          <w:lang w:eastAsia="fr-FR"/>
        </w:rPr>
        <w:t>La comptabilité : une science, une technique ou un langage</w:t>
      </w:r>
    </w:p>
    <w:p w:rsidR="00D41BD8" w:rsidRPr="00D41BD8" w:rsidRDefault="00D41BD8" w:rsidP="00D41BD8">
      <w:pPr>
        <w:spacing w:before="0" w:beforeAutospacing="0" w:after="200" w:afterAutospacing="0" w:line="276" w:lineRule="auto"/>
        <w:ind w:firstLine="284"/>
        <w:jc w:val="both"/>
        <w:rPr>
          <w:rFonts w:ascii="Times New Roman" w:eastAsia="Times New Roman" w:hAnsi="Times New Roman" w:cs="Times New Roman"/>
          <w:sz w:val="24"/>
          <w:szCs w:val="24"/>
          <w:lang w:eastAsia="fr-FR"/>
        </w:rPr>
      </w:pPr>
      <w:r w:rsidRPr="00D41BD8">
        <w:rPr>
          <w:rFonts w:ascii="Times New Roman" w:eastAsia="Times New Roman" w:hAnsi="Times New Roman" w:cs="Times New Roman"/>
          <w:sz w:val="24"/>
          <w:szCs w:val="24"/>
          <w:lang w:eastAsia="fr-FR"/>
        </w:rPr>
        <w:t>La comptabilité est généralement définie comme étant une science appliquée</w:t>
      </w:r>
      <w:r w:rsidRPr="00D41BD8">
        <w:rPr>
          <w:rFonts w:ascii="Times New Roman" w:eastAsia="Times New Roman" w:hAnsi="Times New Roman" w:cs="Times New Roman"/>
          <w:sz w:val="24"/>
          <w:szCs w:val="24"/>
          <w:vertAlign w:val="superscript"/>
          <w:lang w:eastAsia="fr-FR"/>
        </w:rPr>
        <w:footnoteReference w:id="4"/>
      </w:r>
      <w:r w:rsidRPr="00D41BD8">
        <w:rPr>
          <w:rFonts w:ascii="Times New Roman" w:eastAsia="Times New Roman" w:hAnsi="Times New Roman" w:cs="Times New Roman"/>
          <w:sz w:val="24"/>
          <w:szCs w:val="24"/>
          <w:lang w:eastAsia="fr-FR"/>
        </w:rPr>
        <w:t xml:space="preserve"> ou une technique quantitative de collecte, de traitement et d'analyse de l'information appliquée aux événements économiques et juridiques des entreprises. Cependant, le classement de la comptabilité comme discipline scientifique fait l'objet d'un débat qui est loin d'être clos. Si on se réfère à une définition de la science qui est plutôt orientée vers les sciences physiques et naturelles, et qui considère que la science est « un ensemble de connaissances théoriques ou d'études d'une valeur universelle, caractérisées par un objet </w:t>
      </w:r>
      <w:r w:rsidRPr="00D41BD8">
        <w:rPr>
          <w:rFonts w:ascii="Times New Roman" w:eastAsia="Times New Roman" w:hAnsi="Times New Roman" w:cs="Times New Roman"/>
          <w:sz w:val="24"/>
          <w:szCs w:val="24"/>
          <w:lang w:eastAsia="fr-FR"/>
        </w:rPr>
        <w:lastRenderedPageBreak/>
        <w:t>et une méthode déterminés, fondées sur des relations objectives et exprimées par des lois, vérifiables ou falsifiables »</w:t>
      </w:r>
      <w:r w:rsidRPr="00D41BD8">
        <w:rPr>
          <w:rFonts w:ascii="Times New Roman" w:eastAsia="Times New Roman" w:hAnsi="Times New Roman" w:cs="Times New Roman"/>
          <w:sz w:val="24"/>
          <w:szCs w:val="24"/>
          <w:vertAlign w:val="superscript"/>
          <w:lang w:eastAsia="fr-FR"/>
        </w:rPr>
        <w:footnoteReference w:id="5"/>
      </w:r>
      <w:r w:rsidRPr="00D41BD8">
        <w:rPr>
          <w:rFonts w:ascii="Times New Roman" w:eastAsia="Times New Roman" w:hAnsi="Times New Roman" w:cs="Times New Roman"/>
          <w:sz w:val="24"/>
          <w:szCs w:val="24"/>
          <w:lang w:eastAsia="fr-FR"/>
        </w:rPr>
        <w:t xml:space="preserve">, la comptabilité est loin d’être une science vu qu’elle n’a pas une portée et une valeur universelles et ses méthodes de mesure ou d'évaluation ne sont pas fondées sur des relations objectives. Les systèmes comptables sont multiples et dépendent  du contexte économique et social de chaque pays. </w:t>
      </w:r>
    </w:p>
    <w:p w:rsidR="00D41BD8" w:rsidRPr="00D41BD8" w:rsidRDefault="00D41BD8" w:rsidP="00D41BD8">
      <w:pPr>
        <w:spacing w:before="0" w:beforeAutospacing="0" w:after="200" w:afterAutospacing="0" w:line="276" w:lineRule="auto"/>
        <w:ind w:firstLine="284"/>
        <w:jc w:val="both"/>
        <w:rPr>
          <w:rFonts w:ascii="Times New Roman" w:eastAsia="Times New Roman" w:hAnsi="Times New Roman" w:cs="Times New Roman"/>
          <w:sz w:val="24"/>
          <w:szCs w:val="24"/>
          <w:lang w:eastAsia="fr-FR"/>
        </w:rPr>
      </w:pPr>
      <w:r w:rsidRPr="00D41BD8">
        <w:rPr>
          <w:rFonts w:ascii="Times New Roman" w:eastAsia="Times New Roman" w:hAnsi="Times New Roman" w:cs="Times New Roman"/>
          <w:sz w:val="24"/>
          <w:szCs w:val="24"/>
          <w:lang w:eastAsia="fr-FR"/>
        </w:rPr>
        <w:t>En revanche, selon B. COLASSE, la recherche universitaire menée dans le domaine comptable représente une science, «c'est-à-dire un savoir lié à la comptabilité »</w:t>
      </w:r>
      <w:r w:rsidRPr="00D41BD8">
        <w:rPr>
          <w:rFonts w:ascii="Times New Roman" w:eastAsia="Times New Roman" w:hAnsi="Times New Roman" w:cs="Times New Roman"/>
          <w:sz w:val="24"/>
          <w:szCs w:val="24"/>
          <w:vertAlign w:val="superscript"/>
          <w:lang w:eastAsia="fr-FR"/>
        </w:rPr>
        <w:footnoteReference w:id="6"/>
      </w:r>
      <w:r w:rsidRPr="00D41BD8">
        <w:rPr>
          <w:rFonts w:ascii="Times New Roman" w:eastAsia="Times New Roman" w:hAnsi="Times New Roman" w:cs="Times New Roman"/>
          <w:sz w:val="24"/>
          <w:szCs w:val="24"/>
          <w:lang w:eastAsia="fr-FR"/>
        </w:rPr>
        <w:t>. Les résultats de cette science comptable contribuent à faire de la comptabilité une technique de plus en plus scientifique, de plus en plus rationnelle comme disait WEBER</w:t>
      </w:r>
      <w:r w:rsidRPr="00D41BD8">
        <w:rPr>
          <w:rFonts w:ascii="Times New Roman" w:eastAsia="Times New Roman" w:hAnsi="Times New Roman" w:cs="Times New Roman"/>
          <w:sz w:val="24"/>
          <w:szCs w:val="24"/>
          <w:vertAlign w:val="superscript"/>
          <w:lang w:eastAsia="fr-FR"/>
        </w:rPr>
        <w:footnoteReference w:id="7"/>
      </w:r>
      <w:r w:rsidRPr="00D41BD8">
        <w:rPr>
          <w:rFonts w:ascii="Times New Roman" w:eastAsia="Times New Roman" w:hAnsi="Times New Roman" w:cs="Times New Roman"/>
          <w:sz w:val="24"/>
          <w:szCs w:val="24"/>
          <w:lang w:eastAsia="fr-FR"/>
        </w:rPr>
        <w:t>, ce que la philosophie des sciences contemporaines appelle une techno-science, une discipline nourrie à la fois de connaissances issues de la pratique et de connaissances théoriques issues de la recherche.</w:t>
      </w:r>
    </w:p>
    <w:p w:rsidR="00D41BD8" w:rsidRPr="00D41BD8" w:rsidRDefault="00D41BD8" w:rsidP="00D41BD8">
      <w:pPr>
        <w:spacing w:before="0" w:beforeAutospacing="0" w:after="0" w:afterAutospacing="0" w:line="276" w:lineRule="auto"/>
        <w:ind w:firstLine="284"/>
        <w:jc w:val="both"/>
        <w:rPr>
          <w:rFonts w:ascii="Times New Roman" w:eastAsia="Times New Roman" w:hAnsi="Times New Roman" w:cs="Times New Roman"/>
          <w:sz w:val="24"/>
          <w:szCs w:val="24"/>
          <w:lang w:eastAsia="fr-FR"/>
        </w:rPr>
      </w:pPr>
      <w:r w:rsidRPr="00D41BD8">
        <w:rPr>
          <w:rFonts w:ascii="Times New Roman" w:eastAsia="Times New Roman" w:hAnsi="Times New Roman" w:cs="Times New Roman"/>
          <w:sz w:val="24"/>
          <w:szCs w:val="24"/>
          <w:lang w:eastAsia="fr-FR"/>
        </w:rPr>
        <w:t>D’autre part, il existe un avis qui considère que la comptabilité ne représente qu’un langage qui traduit les faits économiques d’une entreprise et présente trois aspects fondamentaux : l'aspect syntaxique, l'aspect sémantique et l'aspect pragmatique</w:t>
      </w:r>
      <w:r w:rsidRPr="00D41BD8">
        <w:rPr>
          <w:rFonts w:ascii="Times New Roman" w:eastAsia="Times New Roman" w:hAnsi="Times New Roman" w:cs="Times New Roman"/>
          <w:sz w:val="24"/>
          <w:szCs w:val="24"/>
          <w:vertAlign w:val="superscript"/>
          <w:lang w:eastAsia="fr-FR"/>
        </w:rPr>
        <w:footnoteReference w:id="8"/>
      </w:r>
      <w:r w:rsidRPr="00D41BD8">
        <w:rPr>
          <w:rFonts w:ascii="Times New Roman" w:eastAsia="Times New Roman" w:hAnsi="Times New Roman" w:cs="Times New Roman"/>
          <w:sz w:val="24"/>
          <w:szCs w:val="24"/>
          <w:lang w:eastAsia="fr-FR"/>
        </w:rPr>
        <w:t xml:space="preserve">. </w:t>
      </w:r>
    </w:p>
    <w:p w:rsidR="00D41BD8" w:rsidRPr="00D41BD8" w:rsidRDefault="00D41BD8" w:rsidP="00D41BD8">
      <w:pPr>
        <w:spacing w:before="0" w:beforeAutospacing="0" w:after="0" w:afterAutospacing="0" w:line="276" w:lineRule="auto"/>
        <w:jc w:val="both"/>
        <w:rPr>
          <w:rFonts w:ascii="Times New Roman" w:eastAsia="Times New Roman" w:hAnsi="Times New Roman" w:cs="Times New Roman"/>
          <w:sz w:val="24"/>
          <w:szCs w:val="24"/>
          <w:lang w:eastAsia="fr-FR"/>
        </w:rPr>
      </w:pPr>
      <w:r w:rsidRPr="00D41BD8">
        <w:rPr>
          <w:rFonts w:ascii="Times New Roman" w:eastAsia="Times New Roman" w:hAnsi="Times New Roman" w:cs="Times New Roman"/>
          <w:sz w:val="24"/>
          <w:szCs w:val="24"/>
          <w:lang w:eastAsia="fr-FR"/>
        </w:rPr>
        <w:t>La syntaxe comptable peut être définie comme l'ensemble des règles et procédures qui doivent être suivies pour enregistrer les transactions et élaborer les états financiers à partir de symboles formant le vocabulaire comptable. Comme la grammaire pour le langage naturel, elle organise la structure de la comptabilité. Les symboles du langage comptable présentent la particularité d'être composés de chiffres et de mots tels que débit, crédit, actif ou passif ...etc.</w:t>
      </w:r>
    </w:p>
    <w:p w:rsidR="00D41BD8" w:rsidRPr="00D41BD8" w:rsidRDefault="00D41BD8" w:rsidP="00D41BD8">
      <w:pPr>
        <w:spacing w:before="0" w:beforeAutospacing="0" w:after="0" w:afterAutospacing="0" w:line="276" w:lineRule="auto"/>
        <w:jc w:val="both"/>
        <w:rPr>
          <w:rFonts w:ascii="Times New Roman" w:eastAsia="Times New Roman" w:hAnsi="Times New Roman" w:cs="Times New Roman"/>
          <w:sz w:val="24"/>
          <w:szCs w:val="24"/>
          <w:lang w:eastAsia="fr-FR"/>
        </w:rPr>
      </w:pPr>
      <w:r w:rsidRPr="00D41BD8">
        <w:rPr>
          <w:rFonts w:ascii="Times New Roman" w:eastAsia="Times New Roman" w:hAnsi="Times New Roman" w:cs="Times New Roman"/>
          <w:sz w:val="24"/>
          <w:szCs w:val="24"/>
          <w:lang w:eastAsia="fr-FR"/>
        </w:rPr>
        <w:t>L'aspect sémantique a trait à la signification des signes transmis par la comptabilité et porte sur la correspondance être l'objet décrit (l'entreprise) et le modèle qui le représente (comptabilité). L'aspect pragmatique rend compte du contexte de la communication et se rapporte ici aux finalités ou utilisations de la comptabilité.</w:t>
      </w:r>
    </w:p>
    <w:p w:rsidR="00D41BD8" w:rsidRPr="00D41BD8" w:rsidRDefault="00D41BD8" w:rsidP="002A3F16">
      <w:pPr>
        <w:numPr>
          <w:ilvl w:val="0"/>
          <w:numId w:val="2"/>
        </w:numPr>
        <w:spacing w:before="120" w:beforeAutospacing="0" w:after="120" w:afterAutospacing="0" w:line="276" w:lineRule="auto"/>
        <w:ind w:left="357" w:hanging="357"/>
        <w:contextualSpacing/>
        <w:jc w:val="both"/>
        <w:rPr>
          <w:rFonts w:ascii="Times New Roman" w:eastAsia="Times New Roman" w:hAnsi="Times New Roman" w:cs="Times New Roman"/>
          <w:sz w:val="24"/>
          <w:szCs w:val="24"/>
          <w:lang w:eastAsia="fr-FR"/>
        </w:rPr>
      </w:pPr>
      <w:r w:rsidRPr="00D41BD8">
        <w:rPr>
          <w:rFonts w:ascii="Times New Roman" w:eastAsia="Times New Roman" w:hAnsi="Times New Roman" w:cs="Times New Roman"/>
          <w:b/>
          <w:bCs/>
          <w:sz w:val="24"/>
          <w:szCs w:val="24"/>
          <w:lang w:eastAsia="fr-FR"/>
        </w:rPr>
        <w:t>Rôles et finalités de la comptabilité</w:t>
      </w:r>
    </w:p>
    <w:p w:rsidR="00D41BD8" w:rsidRPr="00D41BD8" w:rsidRDefault="00D41BD8" w:rsidP="00D41BD8">
      <w:pPr>
        <w:spacing w:before="0" w:beforeAutospacing="0" w:after="200" w:afterAutospacing="0" w:line="276" w:lineRule="auto"/>
        <w:ind w:firstLine="284"/>
        <w:jc w:val="both"/>
        <w:rPr>
          <w:rFonts w:ascii="Times New Roman" w:eastAsia="Times New Roman" w:hAnsi="Times New Roman" w:cs="Times New Roman"/>
          <w:sz w:val="24"/>
          <w:szCs w:val="24"/>
          <w:lang w:eastAsia="fr-FR"/>
        </w:rPr>
      </w:pPr>
      <w:r w:rsidRPr="00D41BD8">
        <w:rPr>
          <w:rFonts w:ascii="Times New Roman" w:eastAsia="Times New Roman" w:hAnsi="Times New Roman" w:cs="Times New Roman"/>
          <w:sz w:val="24"/>
          <w:szCs w:val="24"/>
          <w:lang w:eastAsia="fr-FR"/>
        </w:rPr>
        <w:t>La comptabilité, dont les origines remontent à la naissance de l'écriture et du calcul, répond à des besoins sociaux qui ont évolué au cours de l'histoire en fonction des changements de l'organisation économique et sociale. Avec le développement du commerce et des échanges internationaux ainsi que du crédit à partir du XII° siècle, la comptabilité servira de moyen de preuve dans la vie des affaires.</w:t>
      </w:r>
    </w:p>
    <w:p w:rsidR="00D41BD8" w:rsidRPr="00D41BD8" w:rsidRDefault="00D41BD8" w:rsidP="00D41BD8">
      <w:pPr>
        <w:spacing w:before="0" w:beforeAutospacing="0" w:after="200" w:afterAutospacing="0" w:line="276" w:lineRule="auto"/>
        <w:ind w:firstLine="284"/>
        <w:jc w:val="both"/>
        <w:rPr>
          <w:rFonts w:ascii="Times New Roman" w:eastAsia="Times New Roman" w:hAnsi="Times New Roman" w:cs="Times New Roman"/>
          <w:sz w:val="24"/>
          <w:szCs w:val="24"/>
          <w:lang w:eastAsia="fr-FR"/>
        </w:rPr>
      </w:pPr>
      <w:r w:rsidRPr="00D41BD8">
        <w:rPr>
          <w:rFonts w:ascii="Times New Roman" w:eastAsia="Times New Roman" w:hAnsi="Times New Roman" w:cs="Times New Roman"/>
          <w:sz w:val="24"/>
          <w:szCs w:val="24"/>
          <w:lang w:eastAsia="fr-FR"/>
        </w:rPr>
        <w:t>Actuellement, la comptabilité représente la plus importante source d’information pour les différents utilisateurs, si ça n’est pas la source unique d’information. Dès lors, le rôle informationnel accordé à la comptabilité demeure de plus en plus important et déterminant dans le processus de prise de décision, du contrôle de partage de la richesse et de surveillance pour les différents utilisateurs des états financiers.</w:t>
      </w:r>
    </w:p>
    <w:p w:rsidR="00D41BD8" w:rsidRPr="00D41BD8" w:rsidRDefault="00D41BD8" w:rsidP="00D41BD8">
      <w:pPr>
        <w:spacing w:before="0" w:beforeAutospacing="0" w:after="200" w:afterAutospacing="0" w:line="276" w:lineRule="auto"/>
        <w:ind w:firstLine="284"/>
        <w:jc w:val="both"/>
        <w:rPr>
          <w:rFonts w:ascii="Times New Roman" w:eastAsia="Times New Roman" w:hAnsi="Times New Roman" w:cs="Times New Roman"/>
          <w:sz w:val="24"/>
          <w:szCs w:val="24"/>
          <w:lang w:eastAsia="fr-FR"/>
        </w:rPr>
      </w:pPr>
      <w:r w:rsidRPr="00D41BD8">
        <w:rPr>
          <w:rFonts w:ascii="Times New Roman" w:eastAsia="Times New Roman" w:hAnsi="Times New Roman" w:cs="Times New Roman"/>
          <w:sz w:val="24"/>
          <w:szCs w:val="24"/>
          <w:lang w:eastAsia="fr-FR"/>
        </w:rPr>
        <w:lastRenderedPageBreak/>
        <w:t>Dans cette perspective, la comptabilité représente une source d’enjeux entre quatre grandes catégories d’acteurs qui ont des attentes et des rôles différents par rapport à l’information comptable</w:t>
      </w:r>
      <w:r w:rsidRPr="00D41BD8">
        <w:rPr>
          <w:rFonts w:ascii="Times New Roman" w:eastAsia="Times New Roman" w:hAnsi="Times New Roman" w:cs="Times New Roman"/>
          <w:sz w:val="24"/>
          <w:szCs w:val="24"/>
          <w:vertAlign w:val="superscript"/>
          <w:lang w:eastAsia="fr-FR"/>
        </w:rPr>
        <w:footnoteReference w:id="9"/>
      </w:r>
      <w:r w:rsidRPr="00D41BD8">
        <w:rPr>
          <w:rFonts w:ascii="Times New Roman" w:eastAsia="Times New Roman" w:hAnsi="Times New Roman" w:cs="Times New Roman"/>
          <w:sz w:val="24"/>
          <w:szCs w:val="24"/>
          <w:lang w:eastAsia="fr-FR"/>
        </w:rPr>
        <w:t xml:space="preserve">, à savoir les producteurs et les utilisateurs de l’information comptable, les auditeurs et les normalisateurs. Chaque catégorie utilise l’information comptable pour satisfaire ses propres intérêts. </w:t>
      </w:r>
    </w:p>
    <w:p w:rsidR="00D41BD8" w:rsidRPr="00D41BD8" w:rsidRDefault="00D41BD8" w:rsidP="002A3F16">
      <w:pPr>
        <w:numPr>
          <w:ilvl w:val="0"/>
          <w:numId w:val="3"/>
        </w:numPr>
        <w:spacing w:before="0" w:beforeAutospacing="0" w:after="200" w:afterAutospacing="0" w:line="276" w:lineRule="auto"/>
        <w:contextualSpacing/>
        <w:jc w:val="both"/>
        <w:rPr>
          <w:rFonts w:ascii="Times New Roman" w:eastAsia="Times New Roman" w:hAnsi="Times New Roman" w:cs="Times New Roman"/>
          <w:b/>
          <w:i/>
          <w:sz w:val="24"/>
          <w:szCs w:val="24"/>
          <w:lang w:eastAsia="fr-FR"/>
        </w:rPr>
      </w:pPr>
      <w:r w:rsidRPr="00D41BD8">
        <w:rPr>
          <w:rFonts w:ascii="Times New Roman" w:eastAsia="Times New Roman" w:hAnsi="Times New Roman" w:cs="Times New Roman"/>
          <w:b/>
          <w:i/>
          <w:sz w:val="24"/>
          <w:szCs w:val="24"/>
          <w:lang w:eastAsia="fr-FR"/>
        </w:rPr>
        <w:t xml:space="preserve">La comptabilité comme moyen de preuve et de légitimation </w:t>
      </w:r>
    </w:p>
    <w:p w:rsidR="00D41BD8" w:rsidRPr="00D41BD8" w:rsidRDefault="00D41BD8" w:rsidP="00D41BD8">
      <w:pPr>
        <w:spacing w:before="0" w:beforeAutospacing="0" w:after="200" w:afterAutospacing="0" w:line="276" w:lineRule="auto"/>
        <w:ind w:firstLine="284"/>
        <w:jc w:val="both"/>
        <w:rPr>
          <w:rFonts w:ascii="Times New Roman" w:eastAsia="Times New Roman" w:hAnsi="Times New Roman" w:cs="Times New Roman"/>
          <w:sz w:val="24"/>
          <w:szCs w:val="24"/>
          <w:lang w:eastAsia="fr-FR"/>
        </w:rPr>
      </w:pPr>
      <w:r w:rsidRPr="00D41BD8">
        <w:rPr>
          <w:rFonts w:ascii="Times New Roman" w:eastAsia="Times New Roman" w:hAnsi="Times New Roman" w:cs="Times New Roman"/>
          <w:sz w:val="24"/>
          <w:szCs w:val="24"/>
          <w:lang w:eastAsia="fr-FR"/>
        </w:rPr>
        <w:t>Pour les producteurs des états financiers, la comptabilité est un moyen de preuve et de légitimation qui leur permet d’apporter des éléments de nature à donner confiance aux tiers. Donc, la comptabilité a un rôle qui permet d’apporter de la confiance dans les différents relations d’échanges liées à une transaction, et ce en favorisant le dialogue social. Cette fonction est soutenue par le travail des auditeurs (troisième catégorie d’acteurs selon Capron), qui, grâce à leurs compétences et leur probité présumée, viennent garantir et crédibiliser les comptes présentés.</w:t>
      </w:r>
    </w:p>
    <w:p w:rsidR="00D41BD8" w:rsidRPr="00D41BD8" w:rsidRDefault="00D41BD8" w:rsidP="002A3F16">
      <w:pPr>
        <w:numPr>
          <w:ilvl w:val="0"/>
          <w:numId w:val="3"/>
        </w:numPr>
        <w:spacing w:before="0" w:beforeAutospacing="0" w:after="200" w:afterAutospacing="0" w:line="276" w:lineRule="auto"/>
        <w:contextualSpacing/>
        <w:jc w:val="both"/>
        <w:rPr>
          <w:rFonts w:ascii="Times New Roman" w:eastAsia="Times New Roman" w:hAnsi="Times New Roman" w:cs="Times New Roman"/>
          <w:b/>
          <w:i/>
          <w:sz w:val="24"/>
          <w:szCs w:val="24"/>
          <w:lang w:eastAsia="fr-FR"/>
        </w:rPr>
      </w:pPr>
      <w:r w:rsidRPr="00D41BD8">
        <w:rPr>
          <w:rFonts w:ascii="Times New Roman" w:eastAsia="Times New Roman" w:hAnsi="Times New Roman" w:cs="Times New Roman"/>
          <w:b/>
          <w:i/>
          <w:sz w:val="24"/>
          <w:szCs w:val="24"/>
          <w:lang w:eastAsia="fr-FR"/>
        </w:rPr>
        <w:t>La comptabilité comme outil de prise de décision</w:t>
      </w:r>
    </w:p>
    <w:p w:rsidR="00D41BD8" w:rsidRPr="00D41BD8" w:rsidRDefault="00D41BD8" w:rsidP="00D41BD8">
      <w:pPr>
        <w:spacing w:before="0" w:beforeAutospacing="0" w:after="200" w:afterAutospacing="0" w:line="276" w:lineRule="auto"/>
        <w:ind w:firstLine="284"/>
        <w:jc w:val="both"/>
        <w:rPr>
          <w:rFonts w:ascii="Times New Roman" w:eastAsia="Times New Roman" w:hAnsi="Times New Roman" w:cs="Times New Roman"/>
          <w:sz w:val="24"/>
          <w:szCs w:val="24"/>
          <w:lang w:eastAsia="fr-FR"/>
        </w:rPr>
      </w:pPr>
      <w:r w:rsidRPr="00D41BD8">
        <w:rPr>
          <w:rFonts w:ascii="Times New Roman" w:eastAsia="Times New Roman" w:hAnsi="Times New Roman" w:cs="Times New Roman"/>
          <w:sz w:val="24"/>
          <w:szCs w:val="24"/>
          <w:lang w:eastAsia="fr-FR"/>
        </w:rPr>
        <w:t>D’autre part, les utilisateurs des informations comptables voient en cette technique un outil très important pour la prise de décision. Considérée comme étant une principale source d'information chiffrée, la comptabilité contribue à la préparation des décisions de l'entreprise et de ses partenaires.</w:t>
      </w:r>
    </w:p>
    <w:p w:rsidR="00D41BD8" w:rsidRPr="00D41BD8" w:rsidRDefault="00D41BD8" w:rsidP="00D41BD8">
      <w:pPr>
        <w:spacing w:before="0" w:beforeAutospacing="0" w:after="200" w:afterAutospacing="0" w:line="276" w:lineRule="auto"/>
        <w:ind w:firstLine="284"/>
        <w:jc w:val="both"/>
        <w:rPr>
          <w:rFonts w:ascii="Times New Roman" w:eastAsia="Times New Roman" w:hAnsi="Times New Roman" w:cs="Times New Roman"/>
          <w:sz w:val="24"/>
          <w:szCs w:val="24"/>
          <w:lang w:eastAsia="fr-FR"/>
        </w:rPr>
      </w:pPr>
      <w:r w:rsidRPr="00D41BD8">
        <w:rPr>
          <w:rFonts w:ascii="Times New Roman" w:eastAsia="Times New Roman" w:hAnsi="Times New Roman" w:cs="Times New Roman"/>
          <w:sz w:val="24"/>
          <w:szCs w:val="24"/>
          <w:lang w:eastAsia="fr-FR"/>
        </w:rPr>
        <w:t>A titre d’exemple, la séparation entre la propriété et le management a fait naître une nouvelle catégorie d’utilisateurs de l’information financière qui sont les actionnaires ou investisseurs. Et qui utilisent cette information pour prendre des décisions relatives à l’investissement telles que l’achat ou la cession d’action.</w:t>
      </w:r>
    </w:p>
    <w:p w:rsidR="00D41BD8" w:rsidRPr="00D41BD8" w:rsidRDefault="00D41BD8" w:rsidP="00D41BD8">
      <w:pPr>
        <w:spacing w:before="0" w:beforeAutospacing="0" w:after="200" w:afterAutospacing="0" w:line="276" w:lineRule="auto"/>
        <w:ind w:firstLine="284"/>
        <w:jc w:val="both"/>
        <w:rPr>
          <w:rFonts w:ascii="Times New Roman" w:eastAsia="Times New Roman" w:hAnsi="Times New Roman" w:cs="Times New Roman"/>
          <w:sz w:val="24"/>
          <w:szCs w:val="24"/>
          <w:lang w:eastAsia="fr-FR"/>
        </w:rPr>
      </w:pPr>
      <w:r w:rsidRPr="00D41BD8">
        <w:rPr>
          <w:rFonts w:ascii="Times New Roman" w:eastAsia="Times New Roman" w:hAnsi="Times New Roman" w:cs="Times New Roman"/>
          <w:sz w:val="24"/>
          <w:szCs w:val="24"/>
          <w:lang w:eastAsia="fr-FR"/>
        </w:rPr>
        <w:t>D'autres partenaires de l'entreprise que les actionnaires actuels ou potentiels font recours aux informations financières pour élaborer leur décision. C’est le cas par exemple, du banquier qui les utilise pour décider de l'octroi d'un crédit, les pouvoirs publics pour accorder ou refuser une subvention, le fournisseur pour consentir des délais de paiements etc...</w:t>
      </w:r>
    </w:p>
    <w:p w:rsidR="00D41BD8" w:rsidRPr="00D41BD8" w:rsidRDefault="00D41BD8" w:rsidP="002A3F16">
      <w:pPr>
        <w:numPr>
          <w:ilvl w:val="0"/>
          <w:numId w:val="3"/>
        </w:numPr>
        <w:spacing w:before="0" w:beforeAutospacing="0" w:after="120" w:afterAutospacing="0" w:line="276" w:lineRule="auto"/>
        <w:contextualSpacing/>
        <w:jc w:val="both"/>
        <w:rPr>
          <w:rFonts w:ascii="Times New Roman" w:eastAsia="Times New Roman" w:hAnsi="Times New Roman" w:cs="Times New Roman"/>
          <w:b/>
          <w:i/>
          <w:sz w:val="24"/>
          <w:szCs w:val="24"/>
          <w:lang w:eastAsia="fr-FR"/>
        </w:rPr>
      </w:pPr>
      <w:r w:rsidRPr="00D41BD8">
        <w:rPr>
          <w:rFonts w:ascii="Times New Roman" w:eastAsia="Times New Roman" w:hAnsi="Times New Roman" w:cs="Times New Roman"/>
          <w:b/>
          <w:i/>
          <w:sz w:val="24"/>
          <w:szCs w:val="24"/>
          <w:lang w:eastAsia="fr-FR"/>
        </w:rPr>
        <w:t>La comptabilité comme moyen de contrôle</w:t>
      </w:r>
    </w:p>
    <w:p w:rsidR="00D41BD8" w:rsidRPr="00D41BD8" w:rsidRDefault="00D41BD8" w:rsidP="00D41BD8">
      <w:pPr>
        <w:spacing w:before="0" w:beforeAutospacing="0" w:after="200" w:afterAutospacing="0" w:line="276" w:lineRule="auto"/>
        <w:ind w:firstLine="284"/>
        <w:jc w:val="both"/>
        <w:rPr>
          <w:rFonts w:ascii="Times New Roman" w:eastAsia="Times New Roman" w:hAnsi="Times New Roman" w:cs="Times New Roman"/>
          <w:sz w:val="24"/>
          <w:szCs w:val="24"/>
          <w:lang w:eastAsia="fr-FR"/>
        </w:rPr>
      </w:pPr>
      <w:r w:rsidRPr="00D41BD8">
        <w:rPr>
          <w:rFonts w:ascii="Times New Roman" w:eastAsia="Times New Roman" w:hAnsi="Times New Roman" w:cs="Times New Roman"/>
          <w:sz w:val="24"/>
          <w:szCs w:val="24"/>
          <w:lang w:eastAsia="fr-FR"/>
        </w:rPr>
        <w:t>D’autres utilisateurs se servent de la comptabilité pour exercer leur contrôle. C’est le cas, pour le contrôle de l’assiette d’impôts qui est calculée sur la base du résultat comptable. Ou encore, le contrôle exercé dans le cadre de la prévention et la détection des fraudes. Tout de même, la comptabilité procure des informations permettant aux actionnaires de contrôler les dirigeants de l'entreprise. Ils peuvent ainsi apprécier l'incidence des décisions d'investissement et de financement prises par les dirigeants sur la situation financière et le résultat distribuable de l'entreprise et vérifier qu'elles n'ont pas été contraires à leur intérêt.</w:t>
      </w:r>
    </w:p>
    <w:p w:rsidR="00D41BD8" w:rsidRPr="00D41BD8" w:rsidRDefault="00D41BD8" w:rsidP="00D41BD8">
      <w:pPr>
        <w:spacing w:before="0" w:beforeAutospacing="0" w:after="200" w:afterAutospacing="0" w:line="276" w:lineRule="auto"/>
        <w:ind w:firstLine="284"/>
        <w:jc w:val="both"/>
        <w:rPr>
          <w:rFonts w:ascii="Times New Roman" w:eastAsia="Times New Roman" w:hAnsi="Times New Roman" w:cs="Times New Roman"/>
          <w:sz w:val="24"/>
          <w:szCs w:val="24"/>
          <w:lang w:eastAsia="fr-FR"/>
        </w:rPr>
      </w:pPr>
    </w:p>
    <w:p w:rsidR="00D41BD8" w:rsidRPr="00D41BD8" w:rsidRDefault="00D41BD8" w:rsidP="00D41BD8">
      <w:pPr>
        <w:spacing w:before="120" w:beforeAutospacing="0" w:after="120" w:afterAutospacing="0" w:line="276" w:lineRule="auto"/>
        <w:jc w:val="both"/>
        <w:rPr>
          <w:rFonts w:ascii="Times New Roman" w:hAnsi="Times New Roman" w:cs="Times New Roman"/>
          <w:b/>
          <w:bCs/>
          <w:sz w:val="26"/>
          <w:szCs w:val="26"/>
        </w:rPr>
      </w:pPr>
      <w:r w:rsidRPr="00D41BD8">
        <w:rPr>
          <w:rFonts w:ascii="Times New Roman" w:hAnsi="Times New Roman" w:cs="Times New Roman"/>
          <w:b/>
          <w:bCs/>
          <w:sz w:val="26"/>
          <w:szCs w:val="26"/>
        </w:rPr>
        <w:t xml:space="preserve">1.2. L’environnement économique et social et son influence sur la comptabilité  </w:t>
      </w:r>
    </w:p>
    <w:p w:rsidR="00D41BD8" w:rsidRPr="00D41BD8" w:rsidRDefault="00D41BD8" w:rsidP="00D41BD8">
      <w:pPr>
        <w:spacing w:before="0" w:beforeAutospacing="0" w:after="200" w:afterAutospacing="0" w:line="276" w:lineRule="auto"/>
        <w:ind w:firstLine="284"/>
        <w:jc w:val="both"/>
        <w:rPr>
          <w:rFonts w:ascii="Times New Roman" w:eastAsia="Times New Roman" w:hAnsi="Times New Roman" w:cs="Times New Roman"/>
          <w:sz w:val="24"/>
          <w:szCs w:val="24"/>
          <w:lang w:eastAsia="fr-FR"/>
        </w:rPr>
      </w:pPr>
      <w:r w:rsidRPr="00D41BD8">
        <w:rPr>
          <w:rFonts w:ascii="Times New Roman" w:eastAsia="Times New Roman" w:hAnsi="Times New Roman" w:cs="Times New Roman"/>
          <w:sz w:val="24"/>
          <w:szCs w:val="24"/>
          <w:lang w:eastAsia="fr-FR"/>
        </w:rPr>
        <w:t>« La comptabilité fonctionne au milieu d’un système économique, financier et politique, dans une société ayant une culture propre »</w:t>
      </w:r>
      <w:r w:rsidRPr="00D41BD8">
        <w:rPr>
          <w:rFonts w:ascii="Times New Roman" w:eastAsia="Times New Roman" w:hAnsi="Times New Roman" w:cs="Times New Roman"/>
          <w:sz w:val="24"/>
          <w:szCs w:val="24"/>
          <w:vertAlign w:val="superscript"/>
          <w:lang w:eastAsia="fr-FR"/>
        </w:rPr>
        <w:footnoteReference w:id="10"/>
      </w:r>
      <w:r w:rsidRPr="00D41BD8">
        <w:rPr>
          <w:rFonts w:ascii="Times New Roman" w:eastAsia="Times New Roman" w:hAnsi="Times New Roman" w:cs="Times New Roman"/>
          <w:sz w:val="24"/>
          <w:szCs w:val="24"/>
          <w:lang w:eastAsia="fr-FR"/>
        </w:rPr>
        <w:t>. Dès lors, l</w:t>
      </w:r>
      <w:r w:rsidRPr="00D41BD8">
        <w:rPr>
          <w:rFonts w:ascii="Times New Roman" w:eastAsia="Times New Roman" w:hAnsi="Times New Roman" w:cs="Times New Roman"/>
          <w:bCs/>
          <w:sz w:val="24"/>
          <w:szCs w:val="24"/>
          <w:lang w:eastAsia="fr-FR"/>
        </w:rPr>
        <w:t xml:space="preserve">’environnement comptable </w:t>
      </w:r>
      <w:r w:rsidRPr="00D41BD8">
        <w:rPr>
          <w:rFonts w:ascii="Times New Roman" w:eastAsia="Times New Roman" w:hAnsi="Times New Roman" w:cs="Times New Roman"/>
          <w:sz w:val="24"/>
          <w:szCs w:val="24"/>
          <w:lang w:eastAsia="fr-FR"/>
        </w:rPr>
        <w:t>représente l’ensemble des facteurs qui influencent la comptabilité. Il s’agit des facteurs économiques, financiers, politiques, sociaux, culturels, etc. Ces facteurs sont observables à travers l’impact décisionnel des acteurs agissant dans ces différents domaines.</w:t>
      </w:r>
    </w:p>
    <w:p w:rsidR="00D41BD8" w:rsidRPr="00D41BD8" w:rsidRDefault="00D41BD8" w:rsidP="00D41BD8">
      <w:pPr>
        <w:spacing w:before="0" w:beforeAutospacing="0" w:after="60" w:afterAutospacing="0" w:line="276" w:lineRule="auto"/>
        <w:jc w:val="both"/>
        <w:rPr>
          <w:rFonts w:ascii="Times New Roman" w:eastAsia="Times New Roman" w:hAnsi="Times New Roman" w:cs="Times New Roman"/>
          <w:sz w:val="24"/>
          <w:szCs w:val="24"/>
          <w:lang w:eastAsia="fr-FR"/>
        </w:rPr>
      </w:pPr>
      <w:r w:rsidRPr="00D41BD8">
        <w:rPr>
          <w:rFonts w:ascii="Times New Roman" w:eastAsia="Times New Roman" w:hAnsi="Times New Roman" w:cs="Times New Roman"/>
          <w:sz w:val="24"/>
          <w:szCs w:val="24"/>
          <w:lang w:eastAsia="fr-FR"/>
        </w:rPr>
        <w:t>Plusieurs facteurs ont été identifiés dans la littérature et la doctrine comptable comme ayant une influence sur le choix et le développement de système comptable propre à un pays donné ; il s’agit notamment des facteurs économiques, sociaux, juridiques, culturels et politiques.</w:t>
      </w:r>
    </w:p>
    <w:p w:rsidR="00D41BD8" w:rsidRPr="00D41BD8" w:rsidRDefault="00D41BD8" w:rsidP="002A3F16">
      <w:pPr>
        <w:numPr>
          <w:ilvl w:val="0"/>
          <w:numId w:val="2"/>
        </w:numPr>
        <w:spacing w:before="0" w:beforeAutospacing="0" w:after="60" w:afterAutospacing="0" w:line="276" w:lineRule="auto"/>
        <w:contextualSpacing/>
        <w:jc w:val="left"/>
        <w:rPr>
          <w:rFonts w:ascii="Times New Roman" w:hAnsi="Times New Roman" w:cs="Times New Roman"/>
          <w:b/>
          <w:bCs/>
          <w:sz w:val="24"/>
          <w:szCs w:val="24"/>
        </w:rPr>
      </w:pPr>
      <w:r w:rsidRPr="00D41BD8">
        <w:rPr>
          <w:rFonts w:ascii="Times New Roman" w:eastAsia="Times New Roman" w:hAnsi="Times New Roman" w:cs="Times New Roman"/>
          <w:b/>
          <w:sz w:val="24"/>
          <w:szCs w:val="24"/>
          <w:lang w:eastAsia="fr-FR"/>
        </w:rPr>
        <w:t>Les facteurs économiques</w:t>
      </w:r>
    </w:p>
    <w:p w:rsidR="00D41BD8" w:rsidRPr="00D41BD8" w:rsidRDefault="00D41BD8" w:rsidP="00D41BD8">
      <w:pPr>
        <w:spacing w:before="0" w:beforeAutospacing="0" w:after="60" w:afterAutospacing="0" w:line="276" w:lineRule="auto"/>
        <w:ind w:firstLine="284"/>
        <w:jc w:val="both"/>
        <w:rPr>
          <w:rFonts w:ascii="Times New Roman" w:eastAsia="Times New Roman" w:hAnsi="Times New Roman" w:cs="Times New Roman"/>
          <w:sz w:val="24"/>
          <w:szCs w:val="24"/>
          <w:lang w:eastAsia="fr-FR"/>
        </w:rPr>
      </w:pPr>
      <w:r w:rsidRPr="00D41BD8">
        <w:rPr>
          <w:rFonts w:ascii="Times New Roman" w:eastAsia="Times New Roman" w:hAnsi="Times New Roman" w:cs="Times New Roman"/>
          <w:sz w:val="24"/>
          <w:szCs w:val="24"/>
          <w:lang w:eastAsia="fr-FR"/>
        </w:rPr>
        <w:t>« La comptabilité est un langage utilisé pour révéler les réalités économiques dont elle est l’instrument de communication et d’information. Une interrelation existe donc entre l’environnement économique et la comptabilité »</w:t>
      </w:r>
      <w:r w:rsidRPr="00D41BD8">
        <w:rPr>
          <w:rFonts w:ascii="Times New Roman" w:eastAsia="Times New Roman" w:hAnsi="Times New Roman" w:cs="Times New Roman"/>
          <w:sz w:val="24"/>
          <w:szCs w:val="24"/>
          <w:vertAlign w:val="superscript"/>
          <w:lang w:eastAsia="fr-FR"/>
        </w:rPr>
        <w:footnoteReference w:id="11"/>
      </w:r>
      <w:r w:rsidRPr="00D41BD8">
        <w:rPr>
          <w:rFonts w:ascii="Times New Roman" w:eastAsia="Times New Roman" w:hAnsi="Times New Roman" w:cs="Times New Roman"/>
          <w:sz w:val="24"/>
          <w:szCs w:val="24"/>
          <w:lang w:eastAsia="fr-FR"/>
        </w:rPr>
        <w:t>. Dans la littérature comptable, plusieurs recherches ont étudié la relation entre les facteurs économiques et l’évolution de la comptabilité. Parmi ces facteurs, on peut citer :</w:t>
      </w:r>
    </w:p>
    <w:p w:rsidR="00D41BD8" w:rsidRPr="00D41BD8" w:rsidRDefault="00D41BD8" w:rsidP="002A3F16">
      <w:pPr>
        <w:numPr>
          <w:ilvl w:val="0"/>
          <w:numId w:val="3"/>
        </w:numPr>
        <w:spacing w:before="0" w:beforeAutospacing="0" w:after="60" w:afterAutospacing="0" w:line="276" w:lineRule="auto"/>
        <w:contextualSpacing/>
        <w:jc w:val="both"/>
        <w:rPr>
          <w:rFonts w:ascii="Times New Roman" w:eastAsia="Times New Roman" w:hAnsi="Times New Roman" w:cs="Times New Roman"/>
          <w:b/>
          <w:i/>
          <w:sz w:val="24"/>
          <w:szCs w:val="24"/>
          <w:lang w:eastAsia="fr-FR"/>
        </w:rPr>
      </w:pPr>
      <w:r w:rsidRPr="00D41BD8">
        <w:rPr>
          <w:rFonts w:ascii="Times New Roman" w:eastAsia="Times New Roman" w:hAnsi="Times New Roman" w:cs="Times New Roman"/>
          <w:b/>
          <w:i/>
          <w:sz w:val="24"/>
          <w:szCs w:val="24"/>
          <w:lang w:eastAsia="fr-FR"/>
        </w:rPr>
        <w:t xml:space="preserve">Le niveau de développement et le type du système économique du pays </w:t>
      </w:r>
    </w:p>
    <w:p w:rsidR="00D41BD8" w:rsidRPr="00D41BD8" w:rsidRDefault="00D41BD8" w:rsidP="00D41BD8">
      <w:pPr>
        <w:spacing w:before="0" w:beforeAutospacing="0" w:after="60" w:afterAutospacing="0" w:line="276" w:lineRule="auto"/>
        <w:ind w:firstLine="284"/>
        <w:jc w:val="both"/>
        <w:rPr>
          <w:rFonts w:ascii="Times New Roman" w:eastAsia="Times New Roman" w:hAnsi="Times New Roman" w:cs="Times New Roman"/>
          <w:sz w:val="24"/>
          <w:szCs w:val="24"/>
          <w:lang w:eastAsia="fr-FR"/>
        </w:rPr>
      </w:pPr>
      <w:r w:rsidRPr="00D41BD8">
        <w:rPr>
          <w:rFonts w:ascii="Times New Roman" w:eastAsia="Times New Roman" w:hAnsi="Times New Roman" w:cs="Times New Roman"/>
          <w:sz w:val="24"/>
          <w:szCs w:val="24"/>
          <w:lang w:eastAsia="fr-FR"/>
        </w:rPr>
        <w:t>Selon Roberts et autres</w:t>
      </w:r>
      <w:r w:rsidRPr="00D41BD8">
        <w:rPr>
          <w:rFonts w:ascii="Times New Roman" w:eastAsia="Times New Roman" w:hAnsi="Times New Roman" w:cs="Times New Roman"/>
          <w:sz w:val="24"/>
          <w:szCs w:val="24"/>
          <w:vertAlign w:val="superscript"/>
          <w:lang w:eastAsia="fr-FR"/>
        </w:rPr>
        <w:footnoteReference w:id="12"/>
      </w:r>
      <w:r w:rsidRPr="00D41BD8">
        <w:rPr>
          <w:rFonts w:ascii="Times New Roman" w:eastAsia="Times New Roman" w:hAnsi="Times New Roman" w:cs="Times New Roman"/>
          <w:sz w:val="24"/>
          <w:szCs w:val="24"/>
          <w:lang w:eastAsia="fr-FR"/>
        </w:rPr>
        <w:t xml:space="preserve">, le développement des activités économiques fait naître de nouveaux besoins en information comptable pour les preneurs de décision. Du fait que beaucoup de problèmes s’accentuent dans un tel environnement, tels que : le problème du contrôle, l’évaluation de la performance…etc. Tout de même, la complexité des activités économiques et financières est plus importante dans les économies développées que dans d’autres. À titre d’exemple, les droits de propriété occupent une place importante dans les économies développées contrairement aux autres ; c’est le cas également des produits de  l’engineering financiers. Ce qui nécessite de mettre en place un traitement particulier à ces notions. Dès lors, la comptabilité doit suivre ce développement et produire de nouveaux outils pour la résolution de tout problème potentiel même avant son apparition. </w:t>
      </w:r>
    </w:p>
    <w:p w:rsidR="00D41BD8" w:rsidRPr="00D41BD8" w:rsidRDefault="00D41BD8" w:rsidP="00D41BD8">
      <w:pPr>
        <w:spacing w:before="0" w:beforeAutospacing="0" w:after="60" w:afterAutospacing="0" w:line="276" w:lineRule="auto"/>
        <w:jc w:val="both"/>
        <w:rPr>
          <w:rFonts w:ascii="Times New Roman" w:eastAsia="Times New Roman" w:hAnsi="Times New Roman" w:cs="Times New Roman"/>
          <w:sz w:val="24"/>
          <w:szCs w:val="24"/>
          <w:lang w:eastAsia="fr-FR"/>
        </w:rPr>
      </w:pPr>
      <w:r w:rsidRPr="00D41BD8">
        <w:rPr>
          <w:rFonts w:ascii="Times New Roman" w:eastAsia="Times New Roman" w:hAnsi="Times New Roman" w:cs="Times New Roman"/>
          <w:sz w:val="24"/>
          <w:szCs w:val="24"/>
          <w:lang w:eastAsia="fr-FR"/>
        </w:rPr>
        <w:t xml:space="preserve">En revanche, dans des systèmes moins développés, le niveau de complexité des activités économiques est moins important que celui constaté dans les systèmes développés, donc </w:t>
      </w:r>
      <w:r w:rsidRPr="00D41BD8">
        <w:rPr>
          <w:rFonts w:ascii="Times New Roman" w:eastAsia="Times New Roman" w:hAnsi="Times New Roman" w:cs="Times New Roman"/>
          <w:sz w:val="24"/>
          <w:szCs w:val="24"/>
          <w:lang w:eastAsia="fr-FR"/>
        </w:rPr>
        <w:lastRenderedPageBreak/>
        <w:t xml:space="preserve">les techniques comptables sont moins compliqués et la réflexion comptable est moins importante.  </w:t>
      </w:r>
    </w:p>
    <w:p w:rsidR="00D41BD8" w:rsidRPr="00D41BD8" w:rsidRDefault="00D41BD8" w:rsidP="00D41BD8">
      <w:pPr>
        <w:spacing w:before="0" w:beforeAutospacing="0" w:after="60" w:afterAutospacing="0" w:line="276" w:lineRule="auto"/>
        <w:ind w:firstLine="284"/>
        <w:jc w:val="both"/>
        <w:rPr>
          <w:rFonts w:ascii="Times New Roman" w:eastAsia="Times New Roman" w:hAnsi="Times New Roman" w:cs="Times New Roman"/>
          <w:sz w:val="24"/>
          <w:szCs w:val="24"/>
          <w:lang w:eastAsia="fr-FR"/>
        </w:rPr>
      </w:pPr>
      <w:r w:rsidRPr="00D41BD8">
        <w:rPr>
          <w:rFonts w:ascii="Times New Roman" w:eastAsia="Times New Roman" w:hAnsi="Times New Roman" w:cs="Times New Roman"/>
          <w:sz w:val="24"/>
          <w:szCs w:val="24"/>
          <w:lang w:eastAsia="fr-FR"/>
        </w:rPr>
        <w:t>Le deuxième aspect qui peut influencer le rôle et les objectifs de la comptabilité dans un pays, c’est le type du système économique adopté par ce dernier. Dans un système capitaliste, le principe selon lequel les marchés fonctionnent c’est la liberté des échanges, ce qui veut dire que la concurrence occupe une place très importante dans la régulation des marchés. En conséquence, le rôle de la comptabilité consiste à refléter une image fidèle de la performance des différentes entreprises afin de permettre aux agents économiques de prendre leur décision.</w:t>
      </w:r>
    </w:p>
    <w:p w:rsidR="00D41BD8" w:rsidRPr="00D41BD8" w:rsidRDefault="00D41BD8" w:rsidP="00D41BD8">
      <w:pPr>
        <w:spacing w:before="0" w:beforeAutospacing="0" w:after="60" w:afterAutospacing="0" w:line="276" w:lineRule="auto"/>
        <w:jc w:val="both"/>
        <w:rPr>
          <w:rFonts w:ascii="Times New Roman" w:eastAsia="Times New Roman" w:hAnsi="Times New Roman" w:cs="Times New Roman"/>
          <w:sz w:val="24"/>
          <w:szCs w:val="24"/>
          <w:lang w:eastAsia="fr-FR"/>
        </w:rPr>
      </w:pPr>
      <w:r w:rsidRPr="00D41BD8">
        <w:rPr>
          <w:rFonts w:ascii="Times New Roman" w:eastAsia="Times New Roman" w:hAnsi="Times New Roman" w:cs="Times New Roman"/>
          <w:sz w:val="24"/>
          <w:szCs w:val="24"/>
          <w:lang w:eastAsia="fr-FR"/>
        </w:rPr>
        <w:t>Hors que, dans un système planifié la comptabilité est utilisée par l’état comme un outil qui permet de réguler le marché (les prix, l’offre et la demande sont arrêtés par l’état).</w:t>
      </w:r>
    </w:p>
    <w:p w:rsidR="00D41BD8" w:rsidRPr="00D41BD8" w:rsidRDefault="00D41BD8" w:rsidP="002A3F16">
      <w:pPr>
        <w:numPr>
          <w:ilvl w:val="0"/>
          <w:numId w:val="3"/>
        </w:numPr>
        <w:spacing w:before="0" w:beforeAutospacing="0" w:after="60" w:afterAutospacing="0" w:line="276" w:lineRule="auto"/>
        <w:contextualSpacing/>
        <w:jc w:val="both"/>
        <w:rPr>
          <w:rFonts w:ascii="Times New Roman" w:eastAsia="Times New Roman" w:hAnsi="Times New Roman" w:cs="Times New Roman"/>
          <w:b/>
          <w:i/>
          <w:sz w:val="24"/>
          <w:szCs w:val="24"/>
          <w:lang w:eastAsia="fr-FR"/>
        </w:rPr>
      </w:pPr>
      <w:r w:rsidRPr="00D41BD8">
        <w:rPr>
          <w:rFonts w:ascii="Times New Roman" w:eastAsia="Times New Roman" w:hAnsi="Times New Roman" w:cs="Times New Roman"/>
          <w:b/>
          <w:i/>
          <w:sz w:val="24"/>
          <w:szCs w:val="24"/>
          <w:lang w:eastAsia="fr-FR"/>
        </w:rPr>
        <w:t>Le mode de financement</w:t>
      </w:r>
    </w:p>
    <w:p w:rsidR="00D41BD8" w:rsidRPr="00D41BD8" w:rsidRDefault="00D41BD8" w:rsidP="00D41BD8">
      <w:pPr>
        <w:spacing w:before="0" w:beforeAutospacing="0" w:after="120" w:afterAutospacing="0" w:line="276" w:lineRule="auto"/>
        <w:ind w:firstLine="284"/>
        <w:jc w:val="both"/>
        <w:rPr>
          <w:rFonts w:ascii="Times New Roman" w:eastAsia="Times New Roman" w:hAnsi="Times New Roman" w:cs="Times New Roman"/>
          <w:sz w:val="24"/>
          <w:szCs w:val="24"/>
          <w:lang w:eastAsia="fr-FR"/>
        </w:rPr>
      </w:pPr>
      <w:r w:rsidRPr="00D41BD8">
        <w:rPr>
          <w:rFonts w:ascii="Times New Roman" w:eastAsia="Times New Roman" w:hAnsi="Times New Roman" w:cs="Times New Roman"/>
          <w:sz w:val="24"/>
          <w:szCs w:val="24"/>
          <w:lang w:eastAsia="fr-FR"/>
        </w:rPr>
        <w:t>La structure du capital dans une entreprise est composée de deux parties : les capitaux propres qui représentent l’apport des propriétaires, et les dettes. De ce fait, si le financement d’une économie est fondé sur le système bancaire, les entités vont chercher à divulguer une information qui diminue leurs résultats. Tandis que, dans un système fondé sur le financement à travers les marchés financiers les informations divulguées vont être moins préservatrices et les entreprises auront tendance à mettre l’accent sur leurs résultats futures.</w:t>
      </w:r>
    </w:p>
    <w:p w:rsidR="00D41BD8" w:rsidRPr="00D41BD8" w:rsidRDefault="00D41BD8" w:rsidP="002A3F16">
      <w:pPr>
        <w:numPr>
          <w:ilvl w:val="0"/>
          <w:numId w:val="3"/>
        </w:numPr>
        <w:spacing w:before="0" w:beforeAutospacing="0" w:after="120" w:afterAutospacing="0" w:line="276" w:lineRule="auto"/>
        <w:contextualSpacing/>
        <w:jc w:val="both"/>
        <w:rPr>
          <w:rFonts w:ascii="Times New Roman" w:eastAsia="Times New Roman" w:hAnsi="Times New Roman" w:cs="Times New Roman"/>
          <w:b/>
          <w:i/>
          <w:sz w:val="24"/>
          <w:szCs w:val="24"/>
          <w:lang w:eastAsia="fr-FR"/>
        </w:rPr>
      </w:pPr>
      <w:r w:rsidRPr="00D41BD8">
        <w:rPr>
          <w:rFonts w:ascii="Times New Roman" w:eastAsia="Times New Roman" w:hAnsi="Times New Roman" w:cs="Times New Roman"/>
          <w:b/>
          <w:i/>
          <w:sz w:val="24"/>
          <w:szCs w:val="24"/>
          <w:lang w:eastAsia="fr-FR"/>
        </w:rPr>
        <w:t>Le niveau d’inflation </w:t>
      </w:r>
    </w:p>
    <w:p w:rsidR="00D41BD8" w:rsidRPr="00D41BD8" w:rsidRDefault="00D41BD8" w:rsidP="00D41BD8">
      <w:pPr>
        <w:spacing w:before="0" w:beforeAutospacing="0" w:after="60" w:afterAutospacing="0" w:line="276" w:lineRule="auto"/>
        <w:ind w:firstLine="284"/>
        <w:jc w:val="both"/>
        <w:rPr>
          <w:rFonts w:ascii="Times New Roman" w:eastAsia="Times New Roman" w:hAnsi="Times New Roman" w:cs="Times New Roman"/>
          <w:sz w:val="24"/>
          <w:szCs w:val="24"/>
          <w:lang w:eastAsia="fr-FR"/>
        </w:rPr>
      </w:pPr>
      <w:r w:rsidRPr="00D41BD8">
        <w:rPr>
          <w:rFonts w:ascii="Times New Roman" w:eastAsia="Times New Roman" w:hAnsi="Times New Roman" w:cs="Times New Roman"/>
          <w:sz w:val="24"/>
          <w:szCs w:val="24"/>
          <w:lang w:eastAsia="fr-FR"/>
        </w:rPr>
        <w:t>Le taux d’inflation à une influence directe sur la valeur des biens des entreprises. En admettant cela, et selon les objectifs tracés pour la réglementation comptable, cette dernière va chercher à ajuster les règles comptables afin de se rapprocher le plus à la réalité économique des entreprises. Le meilleur exemple qui peut traduire cet aspect, est celui produit aux Etats Unis en 1979. Suite à l’inflation que connaissaient les Etats Unis à cette époque, le FASB</w:t>
      </w:r>
      <w:r w:rsidRPr="00D41BD8">
        <w:rPr>
          <w:rFonts w:ascii="Times New Roman" w:eastAsia="Times New Roman" w:hAnsi="Times New Roman" w:cs="Times New Roman"/>
          <w:sz w:val="24"/>
          <w:szCs w:val="24"/>
          <w:vertAlign w:val="superscript"/>
          <w:lang w:eastAsia="fr-FR"/>
        </w:rPr>
        <w:footnoteReference w:id="13"/>
      </w:r>
      <w:r w:rsidRPr="00D41BD8">
        <w:rPr>
          <w:rFonts w:ascii="Times New Roman" w:eastAsia="Times New Roman" w:hAnsi="Times New Roman" w:cs="Times New Roman"/>
          <w:sz w:val="24"/>
          <w:szCs w:val="24"/>
          <w:lang w:eastAsia="fr-FR"/>
        </w:rPr>
        <w:t xml:space="preserve"> avait établi la norme 33 portant sur « les rapports financiers et la variation des prix », selon cette norme les entreprises ont été tenues de divulguer dans des états annexes, les valeurs courantes de certains comptes calculées selon les prix de marché et sur la base du pouvoir d’achat. Cette norme était remplacée en 1984 par la norme n°2, suite à la diminution du taux d’inflation dans cette période, et qui a éliminé la majorité des règles de la norme 33, mise à part celles relatives aux valeurs courantes des biens. A travers cet exemple, on peut conclure l’impact que peut avoir la variation du taux d’inflation dans une économie sur la régulation comptable. </w:t>
      </w:r>
    </w:p>
    <w:p w:rsidR="00D41BD8" w:rsidRPr="00D41BD8" w:rsidRDefault="00D41BD8" w:rsidP="002A3F16">
      <w:pPr>
        <w:numPr>
          <w:ilvl w:val="0"/>
          <w:numId w:val="2"/>
        </w:numPr>
        <w:spacing w:before="0" w:beforeAutospacing="0" w:after="60" w:afterAutospacing="0" w:line="276" w:lineRule="auto"/>
        <w:contextualSpacing/>
        <w:jc w:val="left"/>
        <w:rPr>
          <w:rFonts w:ascii="Times New Roman" w:eastAsia="Times New Roman" w:hAnsi="Times New Roman" w:cs="Times New Roman"/>
          <w:b/>
          <w:sz w:val="24"/>
          <w:szCs w:val="24"/>
          <w:lang w:eastAsia="fr-FR"/>
        </w:rPr>
      </w:pPr>
      <w:r w:rsidRPr="00D41BD8">
        <w:rPr>
          <w:rFonts w:ascii="Times New Roman" w:eastAsia="Times New Roman" w:hAnsi="Times New Roman" w:cs="Times New Roman"/>
          <w:b/>
          <w:sz w:val="24"/>
          <w:szCs w:val="24"/>
          <w:lang w:eastAsia="fr-FR"/>
        </w:rPr>
        <w:t>Les facteurs sociaux</w:t>
      </w:r>
    </w:p>
    <w:p w:rsidR="00D41BD8" w:rsidRPr="00D41BD8" w:rsidRDefault="00D41BD8" w:rsidP="00D41BD8">
      <w:pPr>
        <w:spacing w:before="0" w:beforeAutospacing="0" w:after="60" w:afterAutospacing="0" w:line="276" w:lineRule="auto"/>
        <w:ind w:firstLine="284"/>
        <w:jc w:val="both"/>
        <w:rPr>
          <w:rFonts w:ascii="Times New Roman" w:eastAsia="Times New Roman" w:hAnsi="Times New Roman" w:cs="Times New Roman"/>
          <w:sz w:val="24"/>
          <w:szCs w:val="24"/>
          <w:lang w:eastAsia="fr-FR"/>
        </w:rPr>
      </w:pPr>
      <w:r w:rsidRPr="00D41BD8">
        <w:rPr>
          <w:rFonts w:ascii="Times New Roman" w:eastAsia="Times New Roman" w:hAnsi="Times New Roman" w:cs="Times New Roman"/>
          <w:sz w:val="24"/>
          <w:szCs w:val="24"/>
          <w:lang w:eastAsia="fr-FR"/>
        </w:rPr>
        <w:t xml:space="preserve">Les facteurs sociaux ont toujours marqué la configuration des pratiques comptables observées dans un pays. En effet, le niveau de scolarité, la philosophie et les principales orientations du système éducatif, la nature de la propriété des entreprises et du capital, les pressions des syndicats et des autres groupes sociaux et la notoriété de la profession </w:t>
      </w:r>
      <w:r w:rsidRPr="00D41BD8">
        <w:rPr>
          <w:rFonts w:ascii="Times New Roman" w:eastAsia="Times New Roman" w:hAnsi="Times New Roman" w:cs="Times New Roman"/>
          <w:sz w:val="24"/>
          <w:szCs w:val="24"/>
          <w:lang w:eastAsia="fr-FR"/>
        </w:rPr>
        <w:lastRenderedPageBreak/>
        <w:t>comptable déterminent l’essentiel du référentiel social à considérer lors de la confection des normes comptables</w:t>
      </w:r>
      <w:r w:rsidRPr="00D41BD8">
        <w:rPr>
          <w:rFonts w:ascii="Times New Roman" w:eastAsia="Times New Roman" w:hAnsi="Times New Roman" w:cs="Times New Roman"/>
          <w:sz w:val="24"/>
          <w:szCs w:val="24"/>
          <w:vertAlign w:val="superscript"/>
          <w:lang w:eastAsia="fr-FR"/>
        </w:rPr>
        <w:footnoteReference w:id="14"/>
      </w:r>
      <w:r w:rsidRPr="00D41BD8">
        <w:rPr>
          <w:rFonts w:ascii="Times New Roman" w:eastAsia="Times New Roman" w:hAnsi="Times New Roman" w:cs="Times New Roman"/>
          <w:sz w:val="24"/>
          <w:szCs w:val="24"/>
          <w:lang w:eastAsia="fr-FR"/>
        </w:rPr>
        <w:t xml:space="preserve">. </w:t>
      </w:r>
    </w:p>
    <w:p w:rsidR="00D41BD8" w:rsidRPr="00D41BD8" w:rsidRDefault="00D41BD8" w:rsidP="002A3F16">
      <w:pPr>
        <w:numPr>
          <w:ilvl w:val="0"/>
          <w:numId w:val="2"/>
        </w:numPr>
        <w:spacing w:before="0" w:beforeAutospacing="0" w:after="60" w:afterAutospacing="0" w:line="276" w:lineRule="auto"/>
        <w:ind w:left="357" w:hanging="357"/>
        <w:contextualSpacing/>
        <w:jc w:val="left"/>
        <w:rPr>
          <w:rFonts w:ascii="Times New Roman" w:eastAsia="Times New Roman" w:hAnsi="Times New Roman" w:cs="Times New Roman"/>
          <w:b/>
          <w:sz w:val="24"/>
          <w:szCs w:val="24"/>
          <w:lang w:eastAsia="fr-FR"/>
        </w:rPr>
      </w:pPr>
      <w:r w:rsidRPr="00D41BD8">
        <w:rPr>
          <w:rFonts w:ascii="Times New Roman" w:eastAsia="Times New Roman" w:hAnsi="Times New Roman" w:cs="Times New Roman"/>
          <w:b/>
          <w:sz w:val="24"/>
          <w:szCs w:val="24"/>
          <w:lang w:eastAsia="fr-FR"/>
        </w:rPr>
        <w:t>Le facteur politique</w:t>
      </w:r>
    </w:p>
    <w:p w:rsidR="00D41BD8" w:rsidRPr="00D41BD8" w:rsidRDefault="00D41BD8" w:rsidP="00D41BD8">
      <w:pPr>
        <w:spacing w:before="0" w:beforeAutospacing="0" w:after="60" w:afterAutospacing="0" w:line="276" w:lineRule="auto"/>
        <w:ind w:firstLine="284"/>
        <w:jc w:val="both"/>
        <w:rPr>
          <w:rFonts w:ascii="Times New Roman" w:eastAsia="Times New Roman" w:hAnsi="Times New Roman" w:cs="Times New Roman"/>
          <w:sz w:val="24"/>
          <w:szCs w:val="24"/>
          <w:lang w:eastAsia="fr-FR"/>
        </w:rPr>
      </w:pPr>
      <w:r w:rsidRPr="00D41BD8">
        <w:rPr>
          <w:rFonts w:ascii="Times New Roman" w:eastAsia="Times New Roman" w:hAnsi="Times New Roman" w:cs="Times New Roman"/>
          <w:sz w:val="24"/>
          <w:szCs w:val="24"/>
          <w:lang w:eastAsia="fr-FR"/>
        </w:rPr>
        <w:t>« Le processus de création de normes comptables (ou d’acceptation de ces normes dans un pays) a été traversé par les conflits politiques entre les organismes privés, les organisations comptables professionnelles et le gouvernement, chacun en essayant de dominer le processus. Depuis 1973, les recherches réalisées sur le facteur politique d’influence – reconnu comme l’un des plus influents – montrent que la régulation comptable présente des enjeux politiques importants »</w:t>
      </w:r>
      <w:r w:rsidRPr="00D41BD8">
        <w:rPr>
          <w:rFonts w:ascii="Times New Roman" w:eastAsia="Times New Roman" w:hAnsi="Times New Roman" w:cs="Times New Roman"/>
          <w:sz w:val="24"/>
          <w:szCs w:val="24"/>
          <w:vertAlign w:val="superscript"/>
          <w:lang w:eastAsia="fr-FR"/>
        </w:rPr>
        <w:footnoteReference w:id="15"/>
      </w:r>
      <w:r w:rsidRPr="00D41BD8">
        <w:rPr>
          <w:rFonts w:ascii="Times New Roman" w:eastAsia="Times New Roman" w:hAnsi="Times New Roman" w:cs="Times New Roman"/>
          <w:sz w:val="24"/>
          <w:szCs w:val="24"/>
          <w:lang w:eastAsia="fr-FR"/>
        </w:rPr>
        <w:t xml:space="preserve">. Dans ce contexte, </w:t>
      </w:r>
      <w:proofErr w:type="spellStart"/>
      <w:r w:rsidRPr="00D41BD8">
        <w:rPr>
          <w:rFonts w:ascii="Times New Roman" w:eastAsia="Times New Roman" w:hAnsi="Times New Roman" w:cs="Times New Roman"/>
          <w:sz w:val="24"/>
          <w:szCs w:val="24"/>
          <w:lang w:eastAsia="fr-FR"/>
        </w:rPr>
        <w:t>Horngren</w:t>
      </w:r>
      <w:proofErr w:type="spellEnd"/>
      <w:r w:rsidRPr="00D41BD8">
        <w:rPr>
          <w:rFonts w:ascii="Times New Roman" w:eastAsia="Times New Roman" w:hAnsi="Times New Roman" w:cs="Times New Roman"/>
          <w:sz w:val="24"/>
          <w:szCs w:val="24"/>
          <w:lang w:eastAsia="fr-FR"/>
        </w:rPr>
        <w:t xml:space="preserve"> affirme que : « la création des normes comptables est le produit de l’action politique tout autant que l’application d’une logique impeccable ou de découvertes empiriques »</w:t>
      </w:r>
      <w:r w:rsidRPr="00D41BD8">
        <w:rPr>
          <w:rFonts w:ascii="Times New Roman" w:eastAsia="Times New Roman" w:hAnsi="Times New Roman" w:cs="Times New Roman"/>
          <w:sz w:val="24"/>
          <w:szCs w:val="24"/>
          <w:vertAlign w:val="superscript"/>
          <w:lang w:eastAsia="fr-FR"/>
        </w:rPr>
        <w:footnoteReference w:id="16"/>
      </w:r>
      <w:r w:rsidRPr="00D41BD8">
        <w:rPr>
          <w:rFonts w:ascii="Times New Roman" w:eastAsia="Times New Roman" w:hAnsi="Times New Roman" w:cs="Times New Roman"/>
          <w:sz w:val="24"/>
          <w:szCs w:val="24"/>
          <w:lang w:eastAsia="fr-FR"/>
        </w:rPr>
        <w:t xml:space="preserve">. En effet, le type du système politique adopté, la stabilité de ce système et le niveau de bureaucratie peuvent avoir un impact sur le développement économique d’un pays et ainsi ils impacteront l’évolution de la réglementation et les pratiques comptables dans ce dernier.   </w:t>
      </w:r>
    </w:p>
    <w:p w:rsidR="00D41BD8" w:rsidRPr="00D41BD8" w:rsidRDefault="00D41BD8" w:rsidP="002A3F16">
      <w:pPr>
        <w:numPr>
          <w:ilvl w:val="0"/>
          <w:numId w:val="2"/>
        </w:numPr>
        <w:spacing w:before="0" w:beforeAutospacing="0" w:after="60" w:afterAutospacing="0" w:line="276" w:lineRule="auto"/>
        <w:contextualSpacing/>
        <w:jc w:val="left"/>
        <w:rPr>
          <w:rFonts w:ascii="Times New Roman" w:eastAsia="Times New Roman" w:hAnsi="Times New Roman" w:cs="Times New Roman"/>
          <w:b/>
          <w:sz w:val="24"/>
          <w:szCs w:val="24"/>
          <w:lang w:eastAsia="fr-FR"/>
        </w:rPr>
      </w:pPr>
      <w:r w:rsidRPr="00D41BD8">
        <w:rPr>
          <w:rFonts w:ascii="Times New Roman" w:eastAsia="Times New Roman" w:hAnsi="Times New Roman" w:cs="Times New Roman"/>
          <w:b/>
          <w:sz w:val="24"/>
          <w:szCs w:val="24"/>
          <w:lang w:eastAsia="fr-FR"/>
        </w:rPr>
        <w:t>Les fondements du système juridique</w:t>
      </w:r>
    </w:p>
    <w:p w:rsidR="00D41BD8" w:rsidRPr="00D41BD8" w:rsidRDefault="00D41BD8" w:rsidP="00D41BD8">
      <w:pPr>
        <w:spacing w:before="0" w:beforeAutospacing="0" w:after="60" w:afterAutospacing="0" w:line="276" w:lineRule="auto"/>
        <w:ind w:firstLine="284"/>
        <w:jc w:val="both"/>
        <w:rPr>
          <w:rFonts w:ascii="Times New Roman" w:eastAsia="Times New Roman" w:hAnsi="Times New Roman" w:cs="Times New Roman"/>
          <w:sz w:val="24"/>
          <w:szCs w:val="24"/>
          <w:lang w:eastAsia="fr-FR"/>
        </w:rPr>
      </w:pPr>
      <w:r w:rsidRPr="00D41BD8">
        <w:rPr>
          <w:rFonts w:ascii="Times New Roman" w:eastAsia="Times New Roman" w:hAnsi="Times New Roman" w:cs="Times New Roman"/>
          <w:sz w:val="24"/>
          <w:szCs w:val="24"/>
          <w:lang w:eastAsia="fr-FR"/>
        </w:rPr>
        <w:t xml:space="preserve">Les lois commerciales et fiscales et les autres réglementations relatives aux transactions économiques et financières donnent au cadre institutionnel ou conventionnel sa véritable substance. En effet, dans les pays de droit écrit, la réglementation comptable a été le plus souvent influencée par la fiscalité et la prééminence de la forme juridique sur le fond économique. Alors que, dans les pays qui s’appuyant sur le droit coutumier, le consensus conduit à une plus grande flexibilité dans la confection et la mise à jour des normes et règles comptables sont opérées par les professionnels du métier sans l’intervention directe des pouvoirs publics. </w:t>
      </w:r>
    </w:p>
    <w:p w:rsidR="00D41BD8" w:rsidRPr="00D41BD8" w:rsidRDefault="00D41BD8" w:rsidP="002A3F16">
      <w:pPr>
        <w:numPr>
          <w:ilvl w:val="0"/>
          <w:numId w:val="2"/>
        </w:numPr>
        <w:spacing w:before="0" w:beforeAutospacing="0" w:after="60" w:afterAutospacing="0" w:line="276" w:lineRule="auto"/>
        <w:contextualSpacing/>
        <w:jc w:val="left"/>
        <w:rPr>
          <w:rFonts w:ascii="Times New Roman" w:eastAsia="Times New Roman" w:hAnsi="Times New Roman" w:cs="Times New Roman"/>
          <w:b/>
          <w:sz w:val="24"/>
          <w:szCs w:val="24"/>
          <w:lang w:eastAsia="fr-FR"/>
        </w:rPr>
      </w:pPr>
      <w:r w:rsidRPr="00D41BD8">
        <w:rPr>
          <w:rFonts w:ascii="Times New Roman" w:eastAsia="Times New Roman" w:hAnsi="Times New Roman" w:cs="Times New Roman"/>
          <w:b/>
          <w:sz w:val="24"/>
          <w:szCs w:val="24"/>
          <w:lang w:eastAsia="fr-FR"/>
        </w:rPr>
        <w:t>Les facteurs culturels</w:t>
      </w:r>
    </w:p>
    <w:p w:rsidR="00D41BD8" w:rsidRPr="00D41BD8" w:rsidRDefault="00D41BD8" w:rsidP="00D41BD8">
      <w:pPr>
        <w:spacing w:before="0" w:beforeAutospacing="0" w:after="60" w:afterAutospacing="0" w:line="276" w:lineRule="auto"/>
        <w:ind w:firstLine="284"/>
        <w:jc w:val="both"/>
        <w:rPr>
          <w:rFonts w:ascii="Times New Roman" w:eastAsia="Times New Roman" w:hAnsi="Times New Roman" w:cs="Times New Roman"/>
          <w:sz w:val="24"/>
          <w:szCs w:val="24"/>
          <w:lang w:eastAsia="fr-FR"/>
        </w:rPr>
      </w:pPr>
      <w:r w:rsidRPr="00D41BD8">
        <w:rPr>
          <w:rFonts w:ascii="Times New Roman" w:eastAsia="Times New Roman" w:hAnsi="Times New Roman" w:cs="Times New Roman"/>
          <w:sz w:val="24"/>
          <w:szCs w:val="24"/>
          <w:lang w:eastAsia="fr-FR"/>
        </w:rPr>
        <w:t>« Le monde, dans sa complexité, est divisé en plusieurs zones culturelles. La culture est un facteur qui influence les comportements des groupes humains et leurs interactions. C’est le cas également des pratiques comptables. De ce fait, les facteurs culturels agissent aussi sur le système et les pratiques comptables d’un pays. Ainsi, le degré de conservatisme, les attitudes vis-à-vis du monde des affaires et l’importance accordée à l’information en général et à la communication financière en particulier agissent sur le langage comptable emprunté dans un pays »</w:t>
      </w:r>
      <w:r w:rsidRPr="00D41BD8">
        <w:rPr>
          <w:rFonts w:ascii="Times New Roman" w:eastAsia="Times New Roman" w:hAnsi="Times New Roman" w:cs="Times New Roman"/>
          <w:sz w:val="24"/>
          <w:szCs w:val="24"/>
          <w:vertAlign w:val="superscript"/>
          <w:lang w:eastAsia="fr-FR"/>
        </w:rPr>
        <w:footnoteReference w:id="17"/>
      </w:r>
      <w:r w:rsidRPr="00D41BD8">
        <w:rPr>
          <w:rFonts w:ascii="Times New Roman" w:eastAsia="Times New Roman" w:hAnsi="Times New Roman" w:cs="Times New Roman"/>
          <w:sz w:val="24"/>
          <w:szCs w:val="24"/>
          <w:lang w:eastAsia="fr-FR"/>
        </w:rPr>
        <w:t xml:space="preserve">. </w:t>
      </w:r>
    </w:p>
    <w:p w:rsidR="00D41BD8" w:rsidRPr="00D41BD8" w:rsidRDefault="00D41BD8" w:rsidP="00D41BD8">
      <w:pPr>
        <w:spacing w:before="0" w:beforeAutospacing="0" w:after="200" w:afterAutospacing="0" w:line="276" w:lineRule="auto"/>
        <w:jc w:val="both"/>
        <w:rPr>
          <w:b/>
          <w:i/>
          <w:sz w:val="24"/>
          <w:szCs w:val="24"/>
        </w:rPr>
      </w:pPr>
    </w:p>
    <w:p w:rsidR="00D41BD8" w:rsidRPr="00D41BD8" w:rsidRDefault="00D41BD8" w:rsidP="00D41BD8">
      <w:pPr>
        <w:spacing w:before="0" w:beforeAutospacing="0" w:after="200" w:afterAutospacing="0" w:line="276" w:lineRule="auto"/>
        <w:jc w:val="both"/>
        <w:rPr>
          <w:b/>
          <w:i/>
          <w:sz w:val="24"/>
          <w:szCs w:val="24"/>
        </w:rPr>
      </w:pPr>
    </w:p>
    <w:p w:rsidR="00D41BD8" w:rsidRDefault="00D41BD8" w:rsidP="00D41BD8">
      <w:pPr>
        <w:spacing w:before="0" w:beforeAutospacing="0" w:after="200" w:afterAutospacing="0" w:line="276" w:lineRule="auto"/>
        <w:jc w:val="both"/>
        <w:rPr>
          <w:b/>
          <w:i/>
          <w:sz w:val="24"/>
          <w:szCs w:val="24"/>
        </w:rPr>
      </w:pPr>
    </w:p>
    <w:p w:rsidR="00D41BD8" w:rsidRPr="00D41BD8" w:rsidRDefault="00D41BD8" w:rsidP="00D41BD8">
      <w:pPr>
        <w:spacing w:before="0" w:beforeAutospacing="0" w:after="200" w:afterAutospacing="0" w:line="276" w:lineRule="auto"/>
        <w:rPr>
          <w:rFonts w:ascii="Times New Roman" w:eastAsia="Times New Roman" w:hAnsi="Times New Roman" w:cs="Times New Roman"/>
          <w:sz w:val="26"/>
          <w:szCs w:val="26"/>
          <w:lang w:eastAsia="fr-FR"/>
        </w:rPr>
      </w:pPr>
      <w:r w:rsidRPr="00D41BD8">
        <w:rPr>
          <w:rFonts w:ascii="Times New Roman" w:hAnsi="Times New Roman" w:cs="Times New Roman"/>
          <w:b/>
          <w:i/>
          <w:sz w:val="26"/>
          <w:szCs w:val="26"/>
        </w:rPr>
        <w:lastRenderedPageBreak/>
        <w:t>Section 2 : La régulation comptable : cadre théorique et classification des systèmes comptables dans le monde</w:t>
      </w:r>
    </w:p>
    <w:p w:rsidR="00D41BD8" w:rsidRPr="00D41BD8" w:rsidRDefault="00D41BD8" w:rsidP="00D41BD8">
      <w:pPr>
        <w:spacing w:before="0" w:beforeAutospacing="0" w:after="120" w:afterAutospacing="0" w:line="276" w:lineRule="auto"/>
        <w:ind w:firstLine="284"/>
        <w:jc w:val="both"/>
        <w:rPr>
          <w:rFonts w:ascii="Times New Roman" w:eastAsia="Times New Roman" w:hAnsi="Times New Roman" w:cs="Times New Roman"/>
          <w:color w:val="FF0000"/>
          <w:sz w:val="24"/>
          <w:szCs w:val="24"/>
          <w:lang w:eastAsia="fr-FR"/>
        </w:rPr>
      </w:pPr>
      <w:r w:rsidRPr="00D41BD8">
        <w:rPr>
          <w:rFonts w:ascii="Times New Roman" w:eastAsia="Times New Roman" w:hAnsi="Times New Roman" w:cs="Times New Roman"/>
          <w:sz w:val="24"/>
          <w:szCs w:val="24"/>
          <w:lang w:eastAsia="fr-FR"/>
        </w:rPr>
        <w:t>Tel qu’on a démontré antérieurement, la comptabilité occupe un rôle social très important. Dans une optique de développement économique et social, la comptabilité doit être envisagée comme un système beaucoup plus large, aux dimensions multiples : juridique, économique, mais aussi sociale et politique</w:t>
      </w:r>
      <w:r w:rsidRPr="00D41BD8">
        <w:rPr>
          <w:rFonts w:ascii="Times New Roman" w:eastAsia="Times New Roman" w:hAnsi="Times New Roman" w:cs="Times New Roman"/>
          <w:sz w:val="24"/>
          <w:szCs w:val="24"/>
          <w:vertAlign w:val="superscript"/>
          <w:lang w:eastAsia="fr-FR"/>
        </w:rPr>
        <w:footnoteReference w:id="18"/>
      </w:r>
      <w:r w:rsidRPr="00D41BD8">
        <w:rPr>
          <w:rFonts w:ascii="Times New Roman" w:eastAsia="Times New Roman" w:hAnsi="Times New Roman" w:cs="Times New Roman"/>
          <w:sz w:val="24"/>
          <w:szCs w:val="24"/>
          <w:lang w:eastAsia="fr-FR"/>
        </w:rPr>
        <w:t>. Ce qui donne lieu à la nécessité de réguler la profession comptable afin d’assurer son rôle social. De ce fait, l’objectif de l’actuelle section consiste à déterminer un cadre théorique pour la régulation comptable.</w:t>
      </w:r>
    </w:p>
    <w:p w:rsidR="00D41BD8" w:rsidRPr="00D41BD8" w:rsidRDefault="00D41BD8" w:rsidP="00D41BD8">
      <w:pPr>
        <w:spacing w:before="120" w:beforeAutospacing="0" w:after="120" w:afterAutospacing="0" w:line="276" w:lineRule="auto"/>
        <w:jc w:val="both"/>
        <w:rPr>
          <w:rFonts w:ascii="Times New Roman" w:hAnsi="Times New Roman" w:cs="Times New Roman"/>
          <w:b/>
          <w:iCs/>
          <w:sz w:val="26"/>
          <w:szCs w:val="26"/>
        </w:rPr>
      </w:pPr>
      <w:r w:rsidRPr="00D41BD8">
        <w:rPr>
          <w:rFonts w:ascii="Times New Roman" w:hAnsi="Times New Roman" w:cs="Times New Roman"/>
          <w:b/>
          <w:sz w:val="26"/>
          <w:szCs w:val="26"/>
        </w:rPr>
        <w:t>2.1</w:t>
      </w:r>
      <w:r w:rsidRPr="00D41BD8">
        <w:rPr>
          <w:rFonts w:ascii="Times New Roman" w:hAnsi="Times New Roman" w:cs="Times New Roman"/>
          <w:b/>
          <w:i/>
          <w:sz w:val="26"/>
          <w:szCs w:val="26"/>
        </w:rPr>
        <w:t xml:space="preserve">. </w:t>
      </w:r>
      <w:r w:rsidRPr="00D41BD8">
        <w:rPr>
          <w:rFonts w:ascii="Times New Roman" w:hAnsi="Times New Roman" w:cs="Times New Roman"/>
          <w:b/>
          <w:iCs/>
          <w:sz w:val="26"/>
          <w:szCs w:val="26"/>
        </w:rPr>
        <w:t xml:space="preserve">Définition de la régulation comptable </w:t>
      </w:r>
    </w:p>
    <w:p w:rsidR="00D41BD8" w:rsidRPr="00D41BD8" w:rsidRDefault="00D41BD8" w:rsidP="00D41BD8">
      <w:pPr>
        <w:autoSpaceDE w:val="0"/>
        <w:autoSpaceDN w:val="0"/>
        <w:adjustRightInd w:val="0"/>
        <w:spacing w:before="0" w:beforeAutospacing="0" w:after="60" w:afterAutospacing="0"/>
        <w:jc w:val="both"/>
        <w:rPr>
          <w:rFonts w:ascii="Times#20New#20Roman,Italic" w:hAnsi="Times#20New#20Roman,Italic" w:cs="Times#20New#20Roman,Italic"/>
          <w:i/>
          <w:iCs/>
          <w:color w:val="0F0F0F"/>
          <w:sz w:val="24"/>
          <w:szCs w:val="24"/>
        </w:rPr>
      </w:pPr>
      <w:r w:rsidRPr="00D41BD8">
        <w:rPr>
          <w:rFonts w:ascii="TimesNewRomanPSMT" w:hAnsi="TimesNewRomanPSMT" w:cs="TimesNewRomanPSMT"/>
          <w:color w:val="0F0F0F"/>
          <w:sz w:val="24"/>
          <w:szCs w:val="24"/>
        </w:rPr>
        <w:t xml:space="preserve">« </w:t>
      </w:r>
      <w:r w:rsidRPr="00D41BD8">
        <w:rPr>
          <w:rFonts w:ascii="TimesNewRomanPS-ItalicMT" w:hAnsi="TimesNewRomanPS-ItalicMT" w:cs="TimesNewRomanPS-ItalicMT"/>
          <w:i/>
          <w:iCs/>
          <w:color w:val="0F0F0F"/>
          <w:sz w:val="24"/>
          <w:szCs w:val="24"/>
        </w:rPr>
        <w:t xml:space="preserve">Par </w:t>
      </w:r>
      <w:r w:rsidRPr="00D41BD8">
        <w:rPr>
          <w:rFonts w:ascii="TimesNewRomanPS-BoldItalicMT" w:hAnsi="TimesNewRomanPS-BoldItalicMT" w:cs="TimesNewRomanPS-BoldItalicMT"/>
          <w:b/>
          <w:bCs/>
          <w:i/>
          <w:iCs/>
          <w:color w:val="0F0F0F"/>
          <w:sz w:val="24"/>
          <w:szCs w:val="24"/>
        </w:rPr>
        <w:t>régulation comptable</w:t>
      </w:r>
      <w:r w:rsidRPr="00D41BD8">
        <w:rPr>
          <w:rFonts w:ascii="Times#20New#20Roman,Italic" w:hAnsi="Times#20New#20Roman,Italic" w:cs="Times#20New#20Roman,Italic"/>
          <w:i/>
          <w:iCs/>
          <w:color w:val="0F0F0F"/>
          <w:sz w:val="24"/>
          <w:szCs w:val="24"/>
        </w:rPr>
        <w:t xml:space="preserve">, entendons le processus de production, de mise en œuvre et de contrôle de l’application des normes comptables </w:t>
      </w:r>
      <w:r w:rsidRPr="00D41BD8">
        <w:rPr>
          <w:rFonts w:ascii="TimesNewRomanPS-ItalicMT" w:hAnsi="TimesNewRomanPS-ItalicMT" w:cs="TimesNewRomanPS-ItalicMT"/>
          <w:i/>
          <w:iCs/>
          <w:color w:val="0F0F0F"/>
          <w:sz w:val="24"/>
          <w:szCs w:val="24"/>
        </w:rPr>
        <w:t xml:space="preserve">; ce processus peut se développer dans des </w:t>
      </w:r>
      <w:r w:rsidRPr="00D41BD8">
        <w:rPr>
          <w:rFonts w:ascii="Times#20New#20Roman,Italic" w:hAnsi="Times#20New#20Roman,Italic" w:cs="Times#20New#20Roman,Italic"/>
          <w:i/>
          <w:iCs/>
          <w:color w:val="0F0F0F"/>
          <w:sz w:val="24"/>
          <w:szCs w:val="24"/>
        </w:rPr>
        <w:t xml:space="preserve">espaces géopolitiques plus ou moins étendus et plus ou moins organisés, à l’échelle d’un </w:t>
      </w:r>
      <w:r w:rsidRPr="00D41BD8">
        <w:rPr>
          <w:rFonts w:ascii="TimesNewRomanPS-ItalicMT" w:hAnsi="TimesNewRomanPS-ItalicMT" w:cs="TimesNewRomanPS-ItalicMT"/>
          <w:i/>
          <w:iCs/>
          <w:color w:val="0F0F0F"/>
          <w:sz w:val="24"/>
          <w:szCs w:val="24"/>
        </w:rPr>
        <w:t>pays</w:t>
      </w:r>
      <w:r w:rsidRPr="00D41BD8">
        <w:rPr>
          <w:rFonts w:ascii="Times#20New#20Roman,Italic" w:hAnsi="Times#20New#20Roman,Italic" w:cs="Times#20New#20Roman,Italic"/>
          <w:i/>
          <w:iCs/>
          <w:color w:val="0F0F0F"/>
          <w:sz w:val="24"/>
          <w:szCs w:val="24"/>
        </w:rPr>
        <w:t>, d’un ensemble de pays ou du monde entier »</w:t>
      </w:r>
      <w:r w:rsidRPr="00D41BD8">
        <w:rPr>
          <w:rFonts w:ascii="Times#20New#20Roman,Italic" w:hAnsi="Times#20New#20Roman,Italic" w:cs="Times#20New#20Roman,Italic"/>
          <w:i/>
          <w:iCs/>
          <w:color w:val="0F0F0F"/>
          <w:sz w:val="24"/>
          <w:szCs w:val="24"/>
          <w:vertAlign w:val="superscript"/>
        </w:rPr>
        <w:footnoteReference w:id="19"/>
      </w:r>
      <w:r w:rsidRPr="00D41BD8">
        <w:rPr>
          <w:rFonts w:ascii="Times#20New#20Roman,Italic" w:hAnsi="Times#20New#20Roman,Italic" w:cs="Times#20New#20Roman,Italic"/>
          <w:i/>
          <w:iCs/>
          <w:color w:val="0F0F0F"/>
          <w:sz w:val="24"/>
          <w:szCs w:val="24"/>
        </w:rPr>
        <w:t>.</w:t>
      </w:r>
    </w:p>
    <w:p w:rsidR="00D41BD8" w:rsidRPr="00D41BD8" w:rsidRDefault="00D41BD8" w:rsidP="00D41BD8">
      <w:pPr>
        <w:spacing w:before="0" w:beforeAutospacing="0" w:after="60" w:afterAutospacing="0" w:line="276" w:lineRule="auto"/>
        <w:ind w:firstLine="284"/>
        <w:jc w:val="both"/>
        <w:rPr>
          <w:rFonts w:ascii="Times New Roman" w:eastAsia="Times New Roman" w:hAnsi="Times New Roman" w:cs="Times New Roman"/>
          <w:sz w:val="24"/>
          <w:szCs w:val="24"/>
          <w:lang w:eastAsia="fr-FR"/>
        </w:rPr>
      </w:pPr>
      <w:r w:rsidRPr="00D41BD8">
        <w:rPr>
          <w:rFonts w:ascii="Times New Roman" w:eastAsia="Times New Roman" w:hAnsi="Times New Roman" w:cs="Times New Roman"/>
          <w:sz w:val="24"/>
          <w:szCs w:val="24"/>
          <w:lang w:eastAsia="fr-FR"/>
        </w:rPr>
        <w:t>La régulation comptable est la traduction du terme anglais « </w:t>
      </w:r>
      <w:proofErr w:type="spellStart"/>
      <w:r w:rsidRPr="00D41BD8">
        <w:rPr>
          <w:rFonts w:ascii="Times New Roman" w:eastAsia="Times New Roman" w:hAnsi="Times New Roman" w:cs="Times New Roman"/>
          <w:i/>
          <w:iCs/>
          <w:sz w:val="24"/>
          <w:szCs w:val="24"/>
          <w:lang w:eastAsia="fr-FR"/>
        </w:rPr>
        <w:t>accounting</w:t>
      </w:r>
      <w:proofErr w:type="spellEnd"/>
      <w:r w:rsidRPr="00D41BD8">
        <w:rPr>
          <w:rFonts w:ascii="Times New Roman" w:eastAsia="Times New Roman" w:hAnsi="Times New Roman" w:cs="Times New Roman"/>
          <w:i/>
          <w:iCs/>
          <w:sz w:val="24"/>
          <w:szCs w:val="24"/>
          <w:lang w:eastAsia="fr-FR"/>
        </w:rPr>
        <w:t xml:space="preserve"> </w:t>
      </w:r>
      <w:proofErr w:type="spellStart"/>
      <w:r w:rsidRPr="00D41BD8">
        <w:rPr>
          <w:rFonts w:ascii="Times New Roman" w:eastAsia="Times New Roman" w:hAnsi="Times New Roman" w:cs="Times New Roman"/>
          <w:i/>
          <w:iCs/>
          <w:sz w:val="24"/>
          <w:szCs w:val="24"/>
          <w:lang w:eastAsia="fr-FR"/>
        </w:rPr>
        <w:t>regulation</w:t>
      </w:r>
      <w:proofErr w:type="spellEnd"/>
      <w:r w:rsidRPr="00D41BD8">
        <w:rPr>
          <w:rFonts w:ascii="Times New Roman" w:eastAsia="Times New Roman" w:hAnsi="Times New Roman" w:cs="Times New Roman"/>
          <w:i/>
          <w:iCs/>
          <w:sz w:val="24"/>
          <w:szCs w:val="24"/>
          <w:lang w:eastAsia="fr-FR"/>
        </w:rPr>
        <w:t xml:space="preserve"> », </w:t>
      </w:r>
      <w:r w:rsidRPr="00D41BD8">
        <w:rPr>
          <w:rFonts w:ascii="Times New Roman" w:eastAsia="Times New Roman" w:hAnsi="Times New Roman" w:cs="Times New Roman"/>
          <w:iCs/>
          <w:sz w:val="24"/>
          <w:szCs w:val="24"/>
          <w:lang w:eastAsia="fr-FR"/>
        </w:rPr>
        <w:t xml:space="preserve">qui a été </w:t>
      </w:r>
      <w:r w:rsidRPr="00D41BD8">
        <w:rPr>
          <w:rFonts w:ascii="Times New Roman" w:eastAsia="Times New Roman" w:hAnsi="Times New Roman" w:cs="Times New Roman"/>
          <w:sz w:val="24"/>
          <w:szCs w:val="24"/>
          <w:lang w:eastAsia="fr-FR"/>
        </w:rPr>
        <w:t xml:space="preserve">proposée par </w:t>
      </w:r>
      <w:proofErr w:type="spellStart"/>
      <w:r w:rsidRPr="00D41BD8">
        <w:rPr>
          <w:rFonts w:ascii="Times New Roman" w:eastAsia="Times New Roman" w:hAnsi="Times New Roman" w:cs="Times New Roman"/>
          <w:bCs/>
          <w:sz w:val="24"/>
          <w:szCs w:val="24"/>
          <w:lang w:eastAsia="fr-FR"/>
        </w:rPr>
        <w:t>R.Chantiri</w:t>
      </w:r>
      <w:proofErr w:type="spellEnd"/>
      <w:r w:rsidRPr="00D41BD8">
        <w:rPr>
          <w:rFonts w:ascii="Times New Roman" w:eastAsia="Times New Roman" w:hAnsi="Times New Roman" w:cs="Times New Roman"/>
          <w:bCs/>
          <w:sz w:val="24"/>
          <w:szCs w:val="24"/>
          <w:lang w:eastAsia="fr-FR"/>
        </w:rPr>
        <w:t>,</w:t>
      </w:r>
      <w:r w:rsidRPr="00D41BD8">
        <w:rPr>
          <w:rFonts w:ascii="Times New Roman" w:eastAsia="Times New Roman" w:hAnsi="Times New Roman" w:cs="Times New Roman"/>
          <w:sz w:val="24"/>
          <w:szCs w:val="24"/>
          <w:lang w:eastAsia="fr-FR"/>
        </w:rPr>
        <w:t xml:space="preserve"> dans son étude portant sur« les recherches </w:t>
      </w:r>
      <w:r w:rsidRPr="00D41BD8">
        <w:rPr>
          <w:rFonts w:ascii="Times New Roman" w:eastAsia="Times New Roman" w:hAnsi="Times New Roman" w:cs="Times New Roman"/>
          <w:bCs/>
          <w:sz w:val="24"/>
          <w:szCs w:val="24"/>
          <w:lang w:eastAsia="fr-FR"/>
        </w:rPr>
        <w:t>anglo-saxonnes sur la régulation comptable »</w:t>
      </w:r>
      <w:r w:rsidRPr="00D41BD8">
        <w:rPr>
          <w:rFonts w:ascii="Times New Roman" w:eastAsia="Times New Roman" w:hAnsi="Times New Roman" w:cs="Times New Roman"/>
          <w:bCs/>
          <w:sz w:val="24"/>
          <w:szCs w:val="24"/>
          <w:vertAlign w:val="superscript"/>
          <w:lang w:eastAsia="fr-FR"/>
        </w:rPr>
        <w:footnoteReference w:id="20"/>
      </w:r>
      <w:r w:rsidRPr="00D41BD8">
        <w:rPr>
          <w:rFonts w:ascii="Times New Roman" w:eastAsia="Times New Roman" w:hAnsi="Times New Roman" w:cs="Times New Roman"/>
          <w:bCs/>
          <w:sz w:val="24"/>
          <w:szCs w:val="24"/>
          <w:lang w:eastAsia="fr-FR"/>
        </w:rPr>
        <w:t>.</w:t>
      </w:r>
      <w:r w:rsidRPr="00D41BD8">
        <w:rPr>
          <w:rFonts w:ascii="Times New Roman" w:eastAsia="Times New Roman" w:hAnsi="Times New Roman" w:cs="Times New Roman"/>
          <w:sz w:val="24"/>
          <w:szCs w:val="24"/>
          <w:lang w:eastAsia="fr-FR"/>
        </w:rPr>
        <w:t>Selon cet auteur, la 'régulation' comptable est le mécanisme ou le processus par lequel se créent ou se transforment les règles comptables. Elle définit de ce fait, la régulation comptable dans son cadre social sans prendre en compte le cadre institutionnel de cette dernière, d’où découle d’autres termes tels que la normalisation ou la réglementation comptable. Selon son avis, les termes 'normalisation' et 'réglementation' n’en donnent qu'une traduction restrictive de ce terme car ils renvoient à un cadre institutionnel particulier et n'en véhiculent que partiellement sa dimension sociale. Pour justifier son point de vue, elle se réfère à la définition que donne Fortin</w:t>
      </w:r>
      <w:r w:rsidRPr="00D41BD8">
        <w:rPr>
          <w:rFonts w:ascii="Times New Roman" w:eastAsia="Times New Roman" w:hAnsi="Times New Roman" w:cs="Times New Roman"/>
          <w:sz w:val="24"/>
          <w:szCs w:val="24"/>
          <w:vertAlign w:val="superscript"/>
          <w:lang w:eastAsia="fr-FR"/>
        </w:rPr>
        <w:footnoteReference w:id="21"/>
      </w:r>
      <w:r w:rsidRPr="00D41BD8">
        <w:rPr>
          <w:rFonts w:ascii="Times New Roman" w:eastAsia="Times New Roman" w:hAnsi="Times New Roman" w:cs="Times New Roman"/>
          <w:sz w:val="24"/>
          <w:szCs w:val="24"/>
          <w:lang w:eastAsia="fr-FR"/>
        </w:rPr>
        <w:t xml:space="preserve"> aux règles comptables. Selon lui les règles comptables, tout en visant à contrôler la production et la diffusion de l'information comptable, sont aussi des règles d'arbitrage des conflits et des intérêts entre les différentes parties prenantes. </w:t>
      </w:r>
    </w:p>
    <w:p w:rsidR="00D41BD8" w:rsidRPr="00D41BD8" w:rsidRDefault="00D41BD8" w:rsidP="00D41BD8">
      <w:pPr>
        <w:spacing w:before="0" w:beforeAutospacing="0" w:after="60" w:afterAutospacing="0" w:line="276" w:lineRule="auto"/>
        <w:ind w:firstLine="284"/>
        <w:jc w:val="both"/>
        <w:rPr>
          <w:rFonts w:ascii="Times New Roman" w:eastAsia="Times New Roman" w:hAnsi="Times New Roman" w:cs="Times New Roman"/>
          <w:sz w:val="24"/>
          <w:szCs w:val="24"/>
          <w:lang w:eastAsia="fr-FR"/>
        </w:rPr>
      </w:pPr>
      <w:r w:rsidRPr="00D41BD8">
        <w:rPr>
          <w:rFonts w:ascii="Times New Roman" w:eastAsia="Times New Roman" w:hAnsi="Times New Roman" w:cs="Times New Roman"/>
          <w:sz w:val="24"/>
          <w:szCs w:val="24"/>
          <w:lang w:eastAsia="fr-FR"/>
        </w:rPr>
        <w:t xml:space="preserve">Nous avons choisi cette définition vu qu’elle permet d’expliquer le phénomène de la régulation comptable dans un cadre théorique. Ce qui pourra fournir un cadre </w:t>
      </w:r>
      <w:r w:rsidRPr="00D41BD8">
        <w:rPr>
          <w:rFonts w:ascii="Times New Roman" w:hAnsi="Times New Roman" w:cs="Times New Roman"/>
          <w:sz w:val="24"/>
        </w:rPr>
        <w:t>d’analyse qui peut permettre d’expliquer l’évolution que connait la régulation comptable à l’heure actuelle.</w:t>
      </w:r>
    </w:p>
    <w:p w:rsidR="00D41BD8" w:rsidRPr="00D41BD8" w:rsidRDefault="00D41BD8" w:rsidP="00D41BD8">
      <w:pPr>
        <w:spacing w:before="120" w:beforeAutospacing="0" w:after="180" w:afterAutospacing="0"/>
        <w:jc w:val="both"/>
        <w:rPr>
          <w:rFonts w:ascii="Times New Roman" w:eastAsia="Times New Roman" w:hAnsi="Times New Roman" w:cs="Times New Roman"/>
          <w:sz w:val="24"/>
          <w:szCs w:val="24"/>
          <w:lang w:eastAsia="fr-FR"/>
        </w:rPr>
      </w:pPr>
      <w:r w:rsidRPr="00D41BD8">
        <w:rPr>
          <w:rFonts w:ascii="Times New Roman" w:hAnsi="Times New Roman" w:cs="Times New Roman"/>
          <w:b/>
          <w:bCs/>
          <w:sz w:val="24"/>
          <w:szCs w:val="24"/>
        </w:rPr>
        <w:t xml:space="preserve">2.2. Les théories explicatives </w:t>
      </w:r>
      <w:r w:rsidRPr="00D41BD8">
        <w:rPr>
          <w:rFonts w:ascii="Times New Roman" w:hAnsi="Times New Roman" w:cs="Times New Roman"/>
          <w:b/>
          <w:bCs/>
          <w:sz w:val="26"/>
          <w:szCs w:val="26"/>
        </w:rPr>
        <w:t>de</w:t>
      </w:r>
      <w:r w:rsidRPr="00D41BD8">
        <w:rPr>
          <w:rFonts w:ascii="Times New Roman" w:hAnsi="Times New Roman" w:cs="Times New Roman"/>
          <w:b/>
          <w:bCs/>
          <w:sz w:val="24"/>
          <w:szCs w:val="24"/>
        </w:rPr>
        <w:t xml:space="preserve"> la régulation comptable</w:t>
      </w:r>
    </w:p>
    <w:p w:rsidR="00D41BD8" w:rsidRPr="00D41BD8" w:rsidRDefault="00D41BD8" w:rsidP="00D41BD8">
      <w:pPr>
        <w:spacing w:before="120" w:beforeAutospacing="0" w:after="120" w:afterAutospacing="0" w:line="276" w:lineRule="auto"/>
        <w:ind w:firstLine="284"/>
        <w:jc w:val="both"/>
        <w:rPr>
          <w:rFonts w:ascii="Times New Roman" w:eastAsia="Times New Roman" w:hAnsi="Times New Roman" w:cs="Times New Roman"/>
          <w:sz w:val="24"/>
          <w:szCs w:val="24"/>
          <w:lang w:eastAsia="fr-FR"/>
        </w:rPr>
      </w:pPr>
      <w:r w:rsidRPr="00D41BD8">
        <w:rPr>
          <w:rFonts w:ascii="Times New Roman" w:eastAsia="Times New Roman" w:hAnsi="Times New Roman" w:cs="Times New Roman"/>
          <w:sz w:val="24"/>
          <w:szCs w:val="24"/>
          <w:lang w:eastAsia="fr-FR"/>
        </w:rPr>
        <w:lastRenderedPageBreak/>
        <w:t xml:space="preserve">Selon </w:t>
      </w:r>
      <w:proofErr w:type="spellStart"/>
      <w:r w:rsidRPr="00D41BD8">
        <w:rPr>
          <w:rFonts w:ascii="Times New Roman" w:eastAsia="Times New Roman" w:hAnsi="Times New Roman" w:cs="Times New Roman"/>
          <w:bCs/>
          <w:sz w:val="24"/>
          <w:szCs w:val="24"/>
          <w:lang w:eastAsia="fr-FR"/>
        </w:rPr>
        <w:t>R.Chantiri</w:t>
      </w:r>
      <w:proofErr w:type="spellEnd"/>
      <w:r w:rsidRPr="00D41BD8">
        <w:rPr>
          <w:rFonts w:ascii="Times New Roman" w:eastAsia="Times New Roman" w:hAnsi="Times New Roman" w:cs="Times New Roman"/>
          <w:bCs/>
          <w:sz w:val="24"/>
          <w:szCs w:val="24"/>
          <w:vertAlign w:val="superscript"/>
          <w:lang w:eastAsia="fr-FR"/>
        </w:rPr>
        <w:footnoteReference w:id="22"/>
      </w:r>
      <w:r w:rsidRPr="00D41BD8">
        <w:rPr>
          <w:rFonts w:ascii="Times New Roman" w:eastAsia="Times New Roman" w:hAnsi="Times New Roman" w:cs="Times New Roman"/>
          <w:bCs/>
          <w:sz w:val="24"/>
          <w:szCs w:val="24"/>
          <w:lang w:eastAsia="fr-FR"/>
        </w:rPr>
        <w:t xml:space="preserve"> toujours, il existe trois perspectives </w:t>
      </w:r>
      <w:r w:rsidRPr="00D41BD8">
        <w:rPr>
          <w:rFonts w:ascii="Times New Roman" w:eastAsia="Times New Roman" w:hAnsi="Times New Roman" w:cs="Times New Roman"/>
          <w:sz w:val="24"/>
          <w:szCs w:val="24"/>
          <w:lang w:eastAsia="fr-FR"/>
        </w:rPr>
        <w:t xml:space="preserve">principales d'étude de la 'régulation' comptable : économique, sociopolitique et sociologique. Son étude a examiné chacun de ces courants et a montré que chacun d'eux correspond à une vision particulière du phénomène de la régulation. </w:t>
      </w:r>
    </w:p>
    <w:p w:rsidR="00D41BD8" w:rsidRPr="00D41BD8" w:rsidRDefault="00D41BD8" w:rsidP="002A3F16">
      <w:pPr>
        <w:numPr>
          <w:ilvl w:val="0"/>
          <w:numId w:val="3"/>
        </w:numPr>
        <w:spacing w:before="120" w:beforeAutospacing="0" w:after="120" w:afterAutospacing="0" w:line="276" w:lineRule="auto"/>
        <w:contextualSpacing/>
        <w:jc w:val="both"/>
        <w:rPr>
          <w:rFonts w:ascii="Times New Roman" w:eastAsia="Times New Roman" w:hAnsi="Times New Roman" w:cs="Times New Roman"/>
          <w:b/>
          <w:sz w:val="24"/>
          <w:szCs w:val="24"/>
          <w:lang w:eastAsia="fr-FR"/>
        </w:rPr>
      </w:pPr>
      <w:r w:rsidRPr="00D41BD8">
        <w:rPr>
          <w:rFonts w:ascii="Times New Roman" w:eastAsia="Times New Roman" w:hAnsi="Times New Roman" w:cs="Times New Roman"/>
          <w:b/>
          <w:sz w:val="24"/>
          <w:szCs w:val="24"/>
          <w:lang w:eastAsia="fr-FR"/>
        </w:rPr>
        <w:t>Une conception économique de la 'régulation' comptable</w:t>
      </w:r>
    </w:p>
    <w:p w:rsidR="00D41BD8" w:rsidRPr="00D41BD8" w:rsidRDefault="00D41BD8" w:rsidP="00D41BD8">
      <w:pPr>
        <w:spacing w:before="0" w:beforeAutospacing="0" w:after="200" w:afterAutospacing="0" w:line="276" w:lineRule="auto"/>
        <w:ind w:firstLine="284"/>
        <w:jc w:val="both"/>
        <w:rPr>
          <w:rFonts w:ascii="Times New Roman" w:eastAsia="Times New Roman" w:hAnsi="Times New Roman" w:cs="Times New Roman"/>
          <w:sz w:val="24"/>
          <w:szCs w:val="24"/>
          <w:lang w:eastAsia="fr-FR"/>
        </w:rPr>
      </w:pPr>
      <w:r w:rsidRPr="00D41BD8">
        <w:rPr>
          <w:rFonts w:ascii="Times New Roman" w:eastAsia="Times New Roman" w:hAnsi="Times New Roman" w:cs="Times New Roman"/>
          <w:sz w:val="24"/>
          <w:szCs w:val="24"/>
          <w:lang w:eastAsia="fr-FR"/>
        </w:rPr>
        <w:t xml:space="preserve">De nombreux chercheurs se sont inspirés des  modèles économiques afin d’expliquer le phénomène de régulation comptable. May &amp; </w:t>
      </w:r>
      <w:proofErr w:type="spellStart"/>
      <w:r w:rsidRPr="00D41BD8">
        <w:rPr>
          <w:rFonts w:ascii="Times New Roman" w:eastAsia="Times New Roman" w:hAnsi="Times New Roman" w:cs="Times New Roman"/>
          <w:sz w:val="24"/>
          <w:szCs w:val="24"/>
          <w:lang w:eastAsia="fr-FR"/>
        </w:rPr>
        <w:t>Sundem</w:t>
      </w:r>
      <w:proofErr w:type="spellEnd"/>
      <w:r w:rsidRPr="00D41BD8">
        <w:rPr>
          <w:rFonts w:ascii="Times New Roman" w:eastAsia="Times New Roman" w:hAnsi="Times New Roman" w:cs="Times New Roman"/>
          <w:sz w:val="24"/>
          <w:szCs w:val="24"/>
          <w:vertAlign w:val="superscript"/>
          <w:lang w:eastAsia="fr-FR"/>
        </w:rPr>
        <w:footnoteReference w:id="23"/>
      </w:r>
      <w:r w:rsidRPr="00D41BD8">
        <w:rPr>
          <w:rFonts w:ascii="Times New Roman" w:eastAsia="Times New Roman" w:hAnsi="Times New Roman" w:cs="Times New Roman"/>
          <w:sz w:val="24"/>
          <w:szCs w:val="24"/>
          <w:lang w:eastAsia="fr-FR"/>
        </w:rPr>
        <w:t xml:space="preserve"> ont appliqué le schéma économique à la 'régulation' comptable. Les états financiers ou, plus généralement, l'information comptable peuvent être, selon eux, considérés comme un bien échangé entre les 'producteurs' et les 'consommateurs' de l'information comptable. Bien entendu, ces acteurs sont rationnels et n'agissent que si les bénéfices engendrés par leurs actions dépassent les coûts encourus. Mais ce marché privé est modifié par la formulation de règles, indispensables car l'information comptable est un bien particulier : d'une part, c'est un bien collectif en ce sens que sa consommation par une personne n'en réduit pas la quantité disponible pour la consommation des autres ; d'autre part, c'est un bien auquel sont attachés des enjeux considérables puisque, d'une certaine manière, l'information comptable conditionne l'allocation des richesses au sein du système économique. </w:t>
      </w:r>
    </w:p>
    <w:p w:rsidR="00D41BD8" w:rsidRPr="00D41BD8" w:rsidRDefault="00D41BD8" w:rsidP="00D41BD8">
      <w:pPr>
        <w:spacing w:before="0" w:beforeAutospacing="0" w:after="200" w:afterAutospacing="0" w:line="276" w:lineRule="auto"/>
        <w:ind w:firstLine="284"/>
        <w:jc w:val="both"/>
        <w:rPr>
          <w:rFonts w:ascii="Times New Roman" w:eastAsia="Times New Roman" w:hAnsi="Times New Roman" w:cs="Times New Roman"/>
          <w:sz w:val="24"/>
          <w:szCs w:val="24"/>
          <w:lang w:eastAsia="fr-FR"/>
        </w:rPr>
      </w:pPr>
      <w:r w:rsidRPr="00D41BD8">
        <w:rPr>
          <w:rFonts w:ascii="Times New Roman" w:eastAsia="Times New Roman" w:hAnsi="Times New Roman" w:cs="Times New Roman"/>
          <w:sz w:val="24"/>
          <w:szCs w:val="24"/>
          <w:lang w:eastAsia="fr-FR"/>
        </w:rPr>
        <w:t xml:space="preserve">En conséquence, la formulation de règles est nécessaire afin d'obtenir, dans l'intérêt général, une meilleure allocation des ressources. La 'régulation' est, en fait, une réglementation au sens économique. </w:t>
      </w:r>
    </w:p>
    <w:p w:rsidR="00D41BD8" w:rsidRPr="00D41BD8" w:rsidRDefault="00D41BD8" w:rsidP="002A3F16">
      <w:pPr>
        <w:numPr>
          <w:ilvl w:val="0"/>
          <w:numId w:val="3"/>
        </w:numPr>
        <w:spacing w:before="0" w:beforeAutospacing="0" w:after="200" w:afterAutospacing="0" w:line="276" w:lineRule="auto"/>
        <w:contextualSpacing/>
        <w:jc w:val="both"/>
        <w:rPr>
          <w:rFonts w:ascii="Times New Roman" w:eastAsia="Times New Roman" w:hAnsi="Times New Roman" w:cs="Times New Roman"/>
          <w:b/>
          <w:sz w:val="24"/>
          <w:szCs w:val="24"/>
          <w:lang w:eastAsia="fr-FR"/>
        </w:rPr>
      </w:pPr>
      <w:r w:rsidRPr="00D41BD8">
        <w:rPr>
          <w:rFonts w:ascii="Times New Roman" w:eastAsia="Times New Roman" w:hAnsi="Times New Roman" w:cs="Times New Roman"/>
          <w:b/>
          <w:sz w:val="24"/>
          <w:szCs w:val="24"/>
          <w:lang w:eastAsia="fr-FR"/>
        </w:rPr>
        <w:t xml:space="preserve">Un cadre d’analyse sociopolitique de la régulation comptable  </w:t>
      </w:r>
    </w:p>
    <w:p w:rsidR="00D41BD8" w:rsidRPr="00D41BD8" w:rsidRDefault="00D41BD8" w:rsidP="00D41BD8">
      <w:pPr>
        <w:spacing w:before="0" w:beforeAutospacing="0" w:after="200" w:afterAutospacing="0" w:line="276" w:lineRule="auto"/>
        <w:ind w:firstLine="284"/>
        <w:jc w:val="both"/>
        <w:rPr>
          <w:rFonts w:ascii="Times New Roman" w:eastAsia="Times New Roman" w:hAnsi="Times New Roman" w:cs="Times New Roman"/>
          <w:sz w:val="24"/>
          <w:szCs w:val="24"/>
          <w:lang w:eastAsia="fr-FR"/>
        </w:rPr>
      </w:pPr>
      <w:r w:rsidRPr="00D41BD8">
        <w:rPr>
          <w:rFonts w:ascii="Times New Roman" w:eastAsia="Times New Roman" w:hAnsi="Times New Roman" w:cs="Times New Roman"/>
          <w:sz w:val="24"/>
          <w:szCs w:val="24"/>
          <w:lang w:eastAsia="fr-FR"/>
        </w:rPr>
        <w:t xml:space="preserve">Pour </w:t>
      </w:r>
      <w:proofErr w:type="spellStart"/>
      <w:r w:rsidRPr="00D41BD8">
        <w:rPr>
          <w:rFonts w:ascii="Times New Roman" w:eastAsia="Times New Roman" w:hAnsi="Times New Roman" w:cs="Times New Roman"/>
          <w:sz w:val="24"/>
          <w:szCs w:val="24"/>
          <w:lang w:eastAsia="fr-FR"/>
        </w:rPr>
        <w:t>Feroz</w:t>
      </w:r>
      <w:proofErr w:type="spellEnd"/>
      <w:r w:rsidRPr="00D41BD8">
        <w:rPr>
          <w:rFonts w:ascii="Times New Roman" w:eastAsia="Times New Roman" w:hAnsi="Times New Roman" w:cs="Times New Roman"/>
          <w:sz w:val="24"/>
          <w:szCs w:val="24"/>
          <w:vertAlign w:val="superscript"/>
          <w:lang w:eastAsia="fr-FR"/>
        </w:rPr>
        <w:footnoteReference w:id="24"/>
      </w:r>
      <w:r w:rsidRPr="00D41BD8">
        <w:rPr>
          <w:rFonts w:ascii="Times New Roman" w:eastAsia="Times New Roman" w:hAnsi="Times New Roman" w:cs="Times New Roman"/>
          <w:sz w:val="24"/>
          <w:szCs w:val="24"/>
          <w:lang w:eastAsia="fr-FR"/>
        </w:rPr>
        <w:t>, le processus de 'régulation' peut être considéré comme un processus politique à travers lequel les normalisateurs choisissent des règles générales d'action qui peuvent affecter d'autres individus et même la société dans son ensemble.</w:t>
      </w:r>
    </w:p>
    <w:p w:rsidR="00D41BD8" w:rsidRPr="00D41BD8" w:rsidRDefault="00D41BD8" w:rsidP="00D41BD8">
      <w:pPr>
        <w:spacing w:before="0" w:beforeAutospacing="0" w:after="200" w:afterAutospacing="0" w:line="276" w:lineRule="auto"/>
        <w:ind w:firstLine="284"/>
        <w:jc w:val="both"/>
        <w:rPr>
          <w:rFonts w:ascii="Times New Roman" w:eastAsia="Times New Roman" w:hAnsi="Times New Roman" w:cs="Times New Roman"/>
          <w:sz w:val="24"/>
          <w:szCs w:val="24"/>
          <w:lang w:eastAsia="fr-FR"/>
        </w:rPr>
      </w:pPr>
      <w:r w:rsidRPr="00D41BD8">
        <w:rPr>
          <w:rFonts w:ascii="Times New Roman" w:eastAsia="Times New Roman" w:hAnsi="Times New Roman" w:cs="Times New Roman"/>
          <w:sz w:val="24"/>
          <w:szCs w:val="24"/>
          <w:lang w:eastAsia="fr-FR"/>
        </w:rPr>
        <w:t xml:space="preserve">De ce fait, </w:t>
      </w:r>
      <w:proofErr w:type="spellStart"/>
      <w:r w:rsidRPr="00D41BD8">
        <w:rPr>
          <w:rFonts w:ascii="Times New Roman" w:eastAsia="Times New Roman" w:hAnsi="Times New Roman" w:cs="Times New Roman"/>
          <w:bCs/>
          <w:sz w:val="24"/>
          <w:szCs w:val="24"/>
          <w:lang w:eastAsia="fr-FR"/>
        </w:rPr>
        <w:t>R.Chantiri</w:t>
      </w:r>
      <w:proofErr w:type="spellEnd"/>
      <w:r w:rsidRPr="00D41BD8">
        <w:rPr>
          <w:rFonts w:ascii="Times New Roman" w:eastAsia="Times New Roman" w:hAnsi="Times New Roman" w:cs="Times New Roman"/>
          <w:bCs/>
          <w:sz w:val="24"/>
          <w:szCs w:val="24"/>
          <w:lang w:eastAsia="fr-FR"/>
        </w:rPr>
        <w:t xml:space="preserve"> </w:t>
      </w:r>
      <w:r w:rsidRPr="00D41BD8">
        <w:rPr>
          <w:rFonts w:ascii="Times New Roman" w:eastAsia="Times New Roman" w:hAnsi="Times New Roman" w:cs="Times New Roman"/>
          <w:sz w:val="24"/>
          <w:szCs w:val="24"/>
          <w:lang w:eastAsia="fr-FR"/>
        </w:rPr>
        <w:t>considère que la perspective sociopolitique cherche à localiser les moments décisifs du processus de 'régulation'. Celle-ci, étudiée en tant que processus de prise de décision, se prête à l'exercice d'un pouvoir. Les sciences politiques et la sociologie du pouvoir fournissent des outils pour traiter ces situations</w:t>
      </w:r>
      <w:r w:rsidRPr="00D41BD8">
        <w:rPr>
          <w:rFonts w:ascii="Times New Roman" w:eastAsia="Times New Roman" w:hAnsi="Times New Roman" w:cs="Times New Roman"/>
          <w:sz w:val="24"/>
          <w:szCs w:val="24"/>
          <w:vertAlign w:val="superscript"/>
          <w:lang w:eastAsia="fr-FR"/>
        </w:rPr>
        <w:footnoteReference w:id="25"/>
      </w:r>
      <w:r w:rsidRPr="00D41BD8">
        <w:rPr>
          <w:rFonts w:ascii="Times New Roman" w:eastAsia="Times New Roman" w:hAnsi="Times New Roman" w:cs="Times New Roman"/>
          <w:sz w:val="24"/>
          <w:szCs w:val="24"/>
          <w:lang w:eastAsia="fr-FR"/>
        </w:rPr>
        <w:t xml:space="preserve">. </w:t>
      </w:r>
    </w:p>
    <w:p w:rsidR="00D41BD8" w:rsidRPr="00D41BD8" w:rsidRDefault="00D41BD8" w:rsidP="002A3F16">
      <w:pPr>
        <w:numPr>
          <w:ilvl w:val="0"/>
          <w:numId w:val="3"/>
        </w:numPr>
        <w:spacing w:before="0" w:beforeAutospacing="0" w:after="200" w:afterAutospacing="0" w:line="276" w:lineRule="auto"/>
        <w:contextualSpacing/>
        <w:jc w:val="both"/>
        <w:rPr>
          <w:rFonts w:ascii="Times New Roman" w:eastAsia="Times New Roman" w:hAnsi="Times New Roman" w:cs="Times New Roman"/>
          <w:b/>
          <w:i/>
          <w:sz w:val="24"/>
          <w:szCs w:val="24"/>
          <w:lang w:eastAsia="fr-FR"/>
        </w:rPr>
      </w:pPr>
      <w:r w:rsidRPr="00D41BD8">
        <w:rPr>
          <w:rFonts w:ascii="Times New Roman" w:eastAsia="Times New Roman" w:hAnsi="Times New Roman" w:cs="Times New Roman"/>
          <w:b/>
          <w:i/>
          <w:sz w:val="24"/>
          <w:szCs w:val="24"/>
          <w:lang w:eastAsia="fr-FR"/>
        </w:rPr>
        <w:t>La 'régulation' comptable dans une perspective sociologique</w:t>
      </w:r>
      <w:r w:rsidRPr="00D41BD8">
        <w:rPr>
          <w:rFonts w:ascii="Times New Roman" w:eastAsia="Times New Roman" w:hAnsi="Times New Roman" w:cs="Times New Roman"/>
          <w:b/>
          <w:i/>
          <w:sz w:val="24"/>
          <w:szCs w:val="24"/>
          <w:vertAlign w:val="superscript"/>
          <w:lang w:eastAsia="fr-FR"/>
        </w:rPr>
        <w:footnoteReference w:id="26"/>
      </w:r>
    </w:p>
    <w:p w:rsidR="00D41BD8" w:rsidRPr="00D41BD8" w:rsidRDefault="00D41BD8" w:rsidP="00D41BD8">
      <w:pPr>
        <w:spacing w:before="0" w:beforeAutospacing="0" w:after="120" w:afterAutospacing="0" w:line="276" w:lineRule="auto"/>
        <w:ind w:firstLine="284"/>
        <w:jc w:val="both"/>
        <w:rPr>
          <w:rFonts w:ascii="Times New Roman" w:eastAsia="Times New Roman" w:hAnsi="Times New Roman" w:cs="Times New Roman"/>
          <w:sz w:val="24"/>
          <w:szCs w:val="24"/>
          <w:lang w:eastAsia="fr-FR"/>
        </w:rPr>
      </w:pPr>
      <w:r w:rsidRPr="00D41BD8">
        <w:rPr>
          <w:rFonts w:ascii="Times New Roman" w:eastAsia="Times New Roman" w:hAnsi="Times New Roman" w:cs="Times New Roman"/>
          <w:sz w:val="24"/>
          <w:szCs w:val="24"/>
          <w:lang w:eastAsia="fr-FR"/>
        </w:rPr>
        <w:t xml:space="preserve">Pour les chercheurs qui soutiennent cette perspective, la 'régulation' comptable ne peut être étudiée indépendamment de son environnement culturel, socio-économique et </w:t>
      </w:r>
      <w:r w:rsidRPr="00D41BD8">
        <w:rPr>
          <w:rFonts w:ascii="Times New Roman" w:eastAsia="Times New Roman" w:hAnsi="Times New Roman" w:cs="Times New Roman"/>
          <w:sz w:val="24"/>
          <w:szCs w:val="24"/>
          <w:lang w:eastAsia="fr-FR"/>
        </w:rPr>
        <w:lastRenderedPageBreak/>
        <w:t>historique. En effet, la 'régulation' comptable résulte de ce qui l'entoure. Elle peut même être considérée comme le produit d'un certain ordre social.</w:t>
      </w:r>
    </w:p>
    <w:p w:rsidR="00D41BD8" w:rsidRPr="00D41BD8" w:rsidRDefault="00D41BD8" w:rsidP="00D41BD8">
      <w:pPr>
        <w:spacing w:before="0" w:beforeAutospacing="0" w:after="120" w:afterAutospacing="0" w:line="276" w:lineRule="auto"/>
        <w:ind w:firstLine="284"/>
        <w:jc w:val="both"/>
        <w:rPr>
          <w:rFonts w:ascii="Times New Roman" w:eastAsia="Times New Roman" w:hAnsi="Times New Roman" w:cs="Times New Roman"/>
          <w:sz w:val="24"/>
          <w:szCs w:val="24"/>
          <w:lang w:eastAsia="fr-FR"/>
        </w:rPr>
      </w:pPr>
      <w:r w:rsidRPr="00D41BD8">
        <w:rPr>
          <w:rFonts w:ascii="Times New Roman" w:eastAsia="Times New Roman" w:hAnsi="Times New Roman" w:cs="Times New Roman"/>
          <w:sz w:val="24"/>
          <w:szCs w:val="24"/>
          <w:lang w:eastAsia="fr-FR"/>
        </w:rPr>
        <w:t xml:space="preserve">En fait, les chercheurs qui s'intéressent à la relation entre la 'régulation' comptable et le maintien de l'ordre social remettent en question la neutralité et l'objectivité des institutions et des pratiques comptables. Ils considèrent que les structures favorisent la reproduction des rapports de force et que la comptabilité et la 'régulation' comptable sont le résultat de ces structures et constituent un moyen par lequel les rapports de force se reproduisent. </w:t>
      </w:r>
    </w:p>
    <w:p w:rsidR="00D41BD8" w:rsidRPr="00D41BD8" w:rsidRDefault="00D41BD8" w:rsidP="00D41BD8">
      <w:pPr>
        <w:spacing w:before="0" w:beforeAutospacing="0" w:after="60" w:afterAutospacing="0" w:line="276" w:lineRule="auto"/>
        <w:ind w:firstLine="284"/>
        <w:jc w:val="both"/>
        <w:rPr>
          <w:rFonts w:ascii="Times New Roman" w:eastAsia="Times New Roman" w:hAnsi="Times New Roman" w:cs="Times New Roman"/>
          <w:sz w:val="24"/>
          <w:szCs w:val="24"/>
          <w:lang w:eastAsia="fr-FR"/>
        </w:rPr>
      </w:pPr>
      <w:r w:rsidRPr="00D41BD8">
        <w:rPr>
          <w:rFonts w:ascii="Times New Roman" w:eastAsia="Times New Roman" w:hAnsi="Times New Roman" w:cs="Times New Roman"/>
          <w:sz w:val="24"/>
          <w:szCs w:val="24"/>
          <w:lang w:eastAsia="fr-FR"/>
        </w:rPr>
        <w:t xml:space="preserve">Par conséquent, comme le soulignent </w:t>
      </w:r>
      <w:proofErr w:type="spellStart"/>
      <w:r w:rsidRPr="00D41BD8">
        <w:rPr>
          <w:rFonts w:ascii="Times New Roman" w:eastAsia="Times New Roman" w:hAnsi="Times New Roman" w:cs="Times New Roman"/>
          <w:sz w:val="24"/>
          <w:szCs w:val="24"/>
          <w:lang w:eastAsia="fr-FR"/>
        </w:rPr>
        <w:t>Puxty</w:t>
      </w:r>
      <w:proofErr w:type="spellEnd"/>
      <w:r w:rsidRPr="00D41BD8">
        <w:rPr>
          <w:rFonts w:ascii="Times New Roman" w:eastAsia="Times New Roman" w:hAnsi="Times New Roman" w:cs="Times New Roman"/>
          <w:sz w:val="24"/>
          <w:szCs w:val="24"/>
          <w:lang w:eastAsia="fr-FR"/>
        </w:rPr>
        <w:t xml:space="preserve"> et </w:t>
      </w:r>
      <w:proofErr w:type="gramStart"/>
      <w:r w:rsidRPr="00D41BD8">
        <w:rPr>
          <w:rFonts w:ascii="Times New Roman" w:eastAsia="Times New Roman" w:hAnsi="Times New Roman" w:cs="Times New Roman"/>
          <w:sz w:val="24"/>
          <w:szCs w:val="24"/>
          <w:lang w:eastAsia="fr-FR"/>
        </w:rPr>
        <w:t>al.</w:t>
      </w:r>
      <w:r w:rsidRPr="00D41BD8">
        <w:rPr>
          <w:rFonts w:ascii="Times New Roman" w:eastAsia="Times New Roman" w:hAnsi="Times New Roman" w:cs="Times New Roman"/>
          <w:sz w:val="24"/>
          <w:szCs w:val="24"/>
          <w:vertAlign w:val="superscript"/>
          <w:lang w:eastAsia="fr-FR"/>
        </w:rPr>
        <w:footnoteReference w:id="27"/>
      </w:r>
      <w:r w:rsidRPr="00D41BD8">
        <w:rPr>
          <w:rFonts w:ascii="Times New Roman" w:eastAsia="Times New Roman" w:hAnsi="Times New Roman" w:cs="Times New Roman"/>
          <w:sz w:val="24"/>
          <w:szCs w:val="24"/>
          <w:lang w:eastAsia="fr-FR"/>
        </w:rPr>
        <w:t>,</w:t>
      </w:r>
      <w:proofErr w:type="gramEnd"/>
      <w:r w:rsidRPr="00D41BD8">
        <w:rPr>
          <w:rFonts w:ascii="Times New Roman" w:eastAsia="Times New Roman" w:hAnsi="Times New Roman" w:cs="Times New Roman"/>
          <w:sz w:val="24"/>
          <w:szCs w:val="24"/>
          <w:lang w:eastAsia="fr-FR"/>
        </w:rPr>
        <w:t xml:space="preserve"> les institutions et processus de la 'régulation' comptable ne peuvent être compris indépendamment du contexte historique, politique et économique de leur émergence et de leur développement. Pour ces auteurs, la 'régulation' comptable est impliquée dans les contradictions des sociétés capitalistes comme un moyen grâce auquel les conflits sont gérés. </w:t>
      </w:r>
    </w:p>
    <w:p w:rsidR="00D41BD8" w:rsidRPr="00D41BD8" w:rsidRDefault="00D41BD8" w:rsidP="00D41BD8">
      <w:pPr>
        <w:spacing w:before="0" w:beforeAutospacing="0" w:after="60" w:afterAutospacing="0" w:line="276" w:lineRule="auto"/>
        <w:ind w:firstLine="284"/>
        <w:jc w:val="both"/>
        <w:rPr>
          <w:rFonts w:ascii="Times New Roman" w:eastAsia="Times New Roman" w:hAnsi="Times New Roman" w:cs="Times New Roman"/>
          <w:sz w:val="24"/>
          <w:szCs w:val="24"/>
          <w:lang w:eastAsia="fr-FR"/>
        </w:rPr>
      </w:pPr>
      <w:r w:rsidRPr="00D41BD8">
        <w:rPr>
          <w:rFonts w:ascii="Times New Roman" w:eastAsia="Times New Roman" w:hAnsi="Times New Roman" w:cs="Times New Roman"/>
          <w:sz w:val="24"/>
          <w:szCs w:val="24"/>
          <w:lang w:eastAsia="fr-FR"/>
        </w:rPr>
        <w:t xml:space="preserve">« Les formes institutionnelles et les processus sociaux de la 'régulation' sont le résultat de forces matérielles et idéologiques. Une telle conception des choses les amène à considérer la 'régulation' comptable dans les pays capitalistes comme un phénomène social et organisationnel construit dans un nœud de forces de marché, de contrôle bureaucratique et d'idéaux communautaires. Les institutions et les pratiques comptables émergent, en la reproduisant, de l'intersection entre ces principes d'ordre social. </w:t>
      </w:r>
    </w:p>
    <w:p w:rsidR="00D41BD8" w:rsidRPr="00D41BD8" w:rsidRDefault="00D41BD8" w:rsidP="00D41BD8">
      <w:pPr>
        <w:spacing w:before="0" w:beforeAutospacing="0" w:after="60" w:afterAutospacing="0" w:line="276" w:lineRule="auto"/>
        <w:ind w:firstLine="284"/>
        <w:jc w:val="both"/>
        <w:rPr>
          <w:rFonts w:ascii="Times New Roman" w:eastAsia="Times New Roman" w:hAnsi="Times New Roman" w:cs="Times New Roman"/>
          <w:sz w:val="24"/>
          <w:szCs w:val="24"/>
          <w:lang w:eastAsia="fr-FR"/>
        </w:rPr>
      </w:pPr>
      <w:r w:rsidRPr="00D41BD8">
        <w:rPr>
          <w:rFonts w:ascii="Times New Roman" w:eastAsia="Times New Roman" w:hAnsi="Times New Roman" w:cs="Times New Roman"/>
          <w:sz w:val="24"/>
          <w:szCs w:val="24"/>
          <w:lang w:eastAsia="fr-FR"/>
        </w:rPr>
        <w:t>De ce fait, la perspective sociologique s'attache à donner la 'généalogie' des systèmes de régulation et des règles comptables, et les replace dans leur contexte social »</w:t>
      </w:r>
      <w:r w:rsidRPr="00D41BD8">
        <w:rPr>
          <w:rFonts w:ascii="Times New Roman" w:eastAsia="Times New Roman" w:hAnsi="Times New Roman" w:cs="Times New Roman"/>
          <w:sz w:val="24"/>
          <w:szCs w:val="24"/>
          <w:vertAlign w:val="superscript"/>
          <w:lang w:eastAsia="fr-FR"/>
        </w:rPr>
        <w:footnoteReference w:id="28"/>
      </w:r>
      <w:r w:rsidRPr="00D41BD8">
        <w:rPr>
          <w:rFonts w:ascii="Times New Roman" w:eastAsia="Times New Roman" w:hAnsi="Times New Roman" w:cs="Times New Roman"/>
          <w:sz w:val="24"/>
          <w:szCs w:val="24"/>
          <w:lang w:eastAsia="fr-FR"/>
        </w:rPr>
        <w:t xml:space="preserve">. </w:t>
      </w:r>
    </w:p>
    <w:p w:rsidR="00D41BD8" w:rsidRPr="00D41BD8" w:rsidRDefault="00D41BD8" w:rsidP="00D41BD8">
      <w:pPr>
        <w:spacing w:before="0" w:beforeAutospacing="0" w:after="60" w:afterAutospacing="0" w:line="276" w:lineRule="auto"/>
        <w:ind w:firstLine="284"/>
        <w:jc w:val="both"/>
        <w:rPr>
          <w:rFonts w:ascii="Times New Roman" w:eastAsia="Times New Roman" w:hAnsi="Times New Roman" w:cs="Times New Roman"/>
          <w:sz w:val="24"/>
          <w:szCs w:val="24"/>
          <w:lang w:eastAsia="fr-FR"/>
        </w:rPr>
      </w:pPr>
      <w:r w:rsidRPr="00D41BD8">
        <w:rPr>
          <w:rFonts w:ascii="Times New Roman" w:eastAsia="Times New Roman" w:hAnsi="Times New Roman" w:cs="Times New Roman"/>
          <w:sz w:val="24"/>
          <w:szCs w:val="24"/>
          <w:lang w:eastAsia="fr-FR"/>
        </w:rPr>
        <w:t>D'autres chercheurs ont étudié la 'régulation' comptable en relation avec le changement social. L'étude de cette relation a trouvé un écho considérable dans la littérature, notamment auprès des chercheurs britanniques. Selon ces recherches la 'régulation' est au cœur de l'analyse puisqu'elle constitue un des moyens par lesquels passe le changement comptable.</w:t>
      </w:r>
    </w:p>
    <w:p w:rsidR="00D41BD8" w:rsidRPr="00D41BD8" w:rsidRDefault="00D41BD8" w:rsidP="00D41BD8">
      <w:pPr>
        <w:spacing w:before="0" w:beforeAutospacing="0" w:after="60" w:afterAutospacing="0" w:line="276" w:lineRule="auto"/>
        <w:ind w:firstLine="284"/>
        <w:jc w:val="both"/>
        <w:rPr>
          <w:rFonts w:ascii="Times New Roman" w:eastAsia="Times New Roman" w:hAnsi="Times New Roman" w:cs="Times New Roman"/>
          <w:sz w:val="24"/>
          <w:szCs w:val="24"/>
          <w:lang w:eastAsia="fr-FR"/>
        </w:rPr>
      </w:pPr>
      <w:r w:rsidRPr="00D41BD8">
        <w:rPr>
          <w:rFonts w:ascii="Times New Roman" w:eastAsia="Times New Roman" w:hAnsi="Times New Roman" w:cs="Times New Roman"/>
          <w:sz w:val="24"/>
          <w:szCs w:val="24"/>
          <w:lang w:eastAsia="fr-FR"/>
        </w:rPr>
        <w:t xml:space="preserve">En conclusion, selon </w:t>
      </w:r>
      <w:proofErr w:type="spellStart"/>
      <w:r w:rsidRPr="00D41BD8">
        <w:rPr>
          <w:rFonts w:ascii="Times New Roman" w:eastAsia="Times New Roman" w:hAnsi="Times New Roman" w:cs="Times New Roman"/>
          <w:bCs/>
          <w:sz w:val="24"/>
          <w:szCs w:val="24"/>
          <w:lang w:eastAsia="fr-FR"/>
        </w:rPr>
        <w:t>R.Chantiri</w:t>
      </w:r>
      <w:proofErr w:type="spellEnd"/>
      <w:r w:rsidRPr="00D41BD8">
        <w:rPr>
          <w:rFonts w:ascii="Times New Roman" w:eastAsia="Times New Roman" w:hAnsi="Times New Roman" w:cs="Times New Roman"/>
          <w:sz w:val="24"/>
          <w:szCs w:val="24"/>
          <w:lang w:eastAsia="fr-FR"/>
        </w:rPr>
        <w:t>, la régulation comptable peut s'analyser comme la manifestation d'un phénomène plus large qui reflète et reproduit l'ordre social ou qui exprime et peut favoriser le changement social</w:t>
      </w:r>
      <w:r w:rsidRPr="00D41BD8">
        <w:rPr>
          <w:rFonts w:ascii="Times New Roman" w:eastAsia="Times New Roman" w:hAnsi="Times New Roman" w:cs="Times New Roman"/>
          <w:sz w:val="24"/>
          <w:szCs w:val="24"/>
          <w:vertAlign w:val="superscript"/>
          <w:lang w:eastAsia="fr-FR"/>
        </w:rPr>
        <w:footnoteReference w:id="29"/>
      </w:r>
      <w:r w:rsidRPr="00D41BD8">
        <w:rPr>
          <w:rFonts w:ascii="Times New Roman" w:eastAsia="Times New Roman" w:hAnsi="Times New Roman" w:cs="Times New Roman"/>
          <w:sz w:val="24"/>
          <w:szCs w:val="24"/>
          <w:lang w:eastAsia="fr-FR"/>
        </w:rPr>
        <w:t>.</w:t>
      </w:r>
    </w:p>
    <w:p w:rsidR="00D41BD8" w:rsidRPr="00D41BD8" w:rsidRDefault="00D41BD8" w:rsidP="00D41BD8">
      <w:pPr>
        <w:spacing w:before="0" w:beforeAutospacing="0" w:after="60" w:afterAutospacing="0" w:line="276" w:lineRule="auto"/>
        <w:jc w:val="both"/>
        <w:rPr>
          <w:rFonts w:ascii="Times New Roman" w:hAnsi="Times New Roman" w:cs="Times New Roman"/>
          <w:b/>
          <w:iCs/>
          <w:sz w:val="26"/>
          <w:szCs w:val="26"/>
        </w:rPr>
      </w:pPr>
      <w:r w:rsidRPr="00D41BD8">
        <w:rPr>
          <w:rFonts w:ascii="Times New Roman" w:hAnsi="Times New Roman" w:cs="Times New Roman"/>
          <w:b/>
          <w:iCs/>
          <w:sz w:val="26"/>
          <w:szCs w:val="26"/>
        </w:rPr>
        <w:t>2.3. La classification des systèmes comptables mondiaux</w:t>
      </w:r>
    </w:p>
    <w:p w:rsidR="00D41BD8" w:rsidRPr="00D41BD8" w:rsidRDefault="00D41BD8" w:rsidP="00D41BD8">
      <w:pPr>
        <w:spacing w:before="0" w:beforeAutospacing="0" w:after="60" w:afterAutospacing="0" w:line="276" w:lineRule="auto"/>
        <w:ind w:firstLine="284"/>
        <w:jc w:val="both"/>
        <w:rPr>
          <w:rFonts w:ascii="Times New Roman" w:eastAsia="Times New Roman" w:hAnsi="Times New Roman" w:cs="Times New Roman"/>
          <w:sz w:val="24"/>
          <w:szCs w:val="24"/>
          <w:lang w:eastAsia="fr-FR"/>
        </w:rPr>
      </w:pPr>
      <w:r w:rsidRPr="00D41BD8">
        <w:rPr>
          <w:rFonts w:ascii="Times New Roman" w:eastAsia="Times New Roman" w:hAnsi="Times New Roman" w:cs="Times New Roman"/>
          <w:sz w:val="24"/>
          <w:szCs w:val="24"/>
          <w:lang w:eastAsia="fr-FR"/>
        </w:rPr>
        <w:t>La différence pouvant exister entre les différents pays trouve son origine selon certaines caractéristiques qui influencent les choix comptables. Dans la littérature comptable on trouve plusieurs essais de classification des systèmes comptables. « Mueller a tenté de développer un certain nombre de critères d’une manière déductive et il identifie quatre éléments significatifs :</w:t>
      </w:r>
    </w:p>
    <w:p w:rsidR="00D41BD8" w:rsidRPr="00D41BD8" w:rsidRDefault="00D41BD8" w:rsidP="00D41BD8">
      <w:pPr>
        <w:spacing w:before="0" w:beforeAutospacing="0" w:after="60" w:afterAutospacing="0" w:line="276" w:lineRule="auto"/>
        <w:ind w:firstLine="284"/>
        <w:jc w:val="both"/>
        <w:rPr>
          <w:rFonts w:ascii="Times New Roman" w:eastAsia="Times New Roman" w:hAnsi="Times New Roman" w:cs="Times New Roman"/>
          <w:sz w:val="24"/>
          <w:szCs w:val="24"/>
          <w:lang w:eastAsia="fr-FR"/>
        </w:rPr>
      </w:pPr>
      <w:r w:rsidRPr="00D41BD8">
        <w:rPr>
          <w:rFonts w:ascii="Times New Roman" w:eastAsia="Times New Roman" w:hAnsi="Times New Roman" w:cs="Times New Roman"/>
          <w:sz w:val="24"/>
          <w:szCs w:val="24"/>
          <w:lang w:eastAsia="fr-FR"/>
        </w:rPr>
        <w:t>- Le niveau de développement économique,</w:t>
      </w:r>
    </w:p>
    <w:p w:rsidR="00D41BD8" w:rsidRPr="00D41BD8" w:rsidRDefault="00D41BD8" w:rsidP="00D41BD8">
      <w:pPr>
        <w:spacing w:before="0" w:beforeAutospacing="0" w:after="60" w:afterAutospacing="0" w:line="276" w:lineRule="auto"/>
        <w:ind w:firstLine="284"/>
        <w:jc w:val="both"/>
        <w:rPr>
          <w:rFonts w:ascii="Times New Roman" w:eastAsia="Times New Roman" w:hAnsi="Times New Roman" w:cs="Times New Roman"/>
          <w:sz w:val="24"/>
          <w:szCs w:val="24"/>
          <w:lang w:eastAsia="fr-FR"/>
        </w:rPr>
      </w:pPr>
      <w:r w:rsidRPr="00D41BD8">
        <w:rPr>
          <w:rFonts w:ascii="Times New Roman" w:eastAsia="Times New Roman" w:hAnsi="Times New Roman" w:cs="Times New Roman"/>
          <w:sz w:val="24"/>
          <w:szCs w:val="24"/>
          <w:lang w:eastAsia="fr-FR"/>
        </w:rPr>
        <w:lastRenderedPageBreak/>
        <w:t>- le niveau de complexité des affaires,</w:t>
      </w:r>
    </w:p>
    <w:p w:rsidR="00D41BD8" w:rsidRPr="00D41BD8" w:rsidRDefault="00D41BD8" w:rsidP="00D41BD8">
      <w:pPr>
        <w:spacing w:before="0" w:beforeAutospacing="0" w:after="60" w:afterAutospacing="0" w:line="276" w:lineRule="auto"/>
        <w:ind w:firstLine="284"/>
        <w:jc w:val="both"/>
        <w:rPr>
          <w:rFonts w:ascii="Times New Roman" w:eastAsia="Times New Roman" w:hAnsi="Times New Roman" w:cs="Times New Roman"/>
          <w:sz w:val="24"/>
          <w:szCs w:val="24"/>
          <w:lang w:eastAsia="fr-FR"/>
        </w:rPr>
      </w:pPr>
      <w:r w:rsidRPr="00D41BD8">
        <w:rPr>
          <w:rFonts w:ascii="Times New Roman" w:eastAsia="Times New Roman" w:hAnsi="Times New Roman" w:cs="Times New Roman"/>
          <w:sz w:val="24"/>
          <w:szCs w:val="24"/>
          <w:lang w:eastAsia="fr-FR"/>
        </w:rPr>
        <w:t>- la forme de pouvoir politique,</w:t>
      </w:r>
    </w:p>
    <w:p w:rsidR="00D41BD8" w:rsidRPr="00D41BD8" w:rsidRDefault="00D41BD8" w:rsidP="00D41BD8">
      <w:pPr>
        <w:spacing w:before="0" w:beforeAutospacing="0" w:after="200" w:afterAutospacing="0" w:line="276" w:lineRule="auto"/>
        <w:ind w:firstLine="284"/>
        <w:jc w:val="both"/>
        <w:rPr>
          <w:rFonts w:ascii="Times New Roman" w:eastAsia="Times New Roman" w:hAnsi="Times New Roman" w:cs="Times New Roman"/>
          <w:sz w:val="24"/>
          <w:szCs w:val="24"/>
          <w:lang w:eastAsia="fr-FR"/>
        </w:rPr>
      </w:pPr>
      <w:r w:rsidRPr="00D41BD8">
        <w:rPr>
          <w:rFonts w:ascii="Times New Roman" w:eastAsia="Times New Roman" w:hAnsi="Times New Roman" w:cs="Times New Roman"/>
          <w:sz w:val="24"/>
          <w:szCs w:val="24"/>
          <w:lang w:eastAsia="fr-FR"/>
        </w:rPr>
        <w:t>- la nature du système juridique »</w:t>
      </w:r>
      <w:r w:rsidRPr="00D41BD8">
        <w:rPr>
          <w:rFonts w:ascii="Times New Roman" w:eastAsia="Times New Roman" w:hAnsi="Times New Roman" w:cs="Times New Roman"/>
          <w:sz w:val="24"/>
          <w:szCs w:val="24"/>
          <w:vertAlign w:val="superscript"/>
          <w:lang w:eastAsia="fr-FR"/>
        </w:rPr>
        <w:footnoteReference w:id="30"/>
      </w:r>
    </w:p>
    <w:p w:rsidR="00D41BD8" w:rsidRPr="00D41BD8" w:rsidRDefault="00D41BD8" w:rsidP="00D41BD8">
      <w:pPr>
        <w:spacing w:before="0" w:beforeAutospacing="0" w:after="200" w:afterAutospacing="0" w:line="276" w:lineRule="auto"/>
        <w:ind w:firstLine="284"/>
        <w:jc w:val="both"/>
        <w:rPr>
          <w:rFonts w:ascii="Times New Roman" w:eastAsia="Times New Roman" w:hAnsi="Times New Roman" w:cs="Times New Roman"/>
          <w:sz w:val="24"/>
          <w:szCs w:val="24"/>
          <w:lang w:eastAsia="fr-FR"/>
        </w:rPr>
      </w:pPr>
      <w:r w:rsidRPr="00D41BD8">
        <w:rPr>
          <w:rFonts w:ascii="Times New Roman" w:eastAsia="Times New Roman" w:hAnsi="Times New Roman" w:cs="Times New Roman"/>
          <w:sz w:val="24"/>
          <w:szCs w:val="24"/>
          <w:lang w:eastAsia="fr-FR"/>
        </w:rPr>
        <w:t>« L’Association Américaine de Comptabilité (AAA) distingue, quant à elle huit paramètres essentiels qui conditionnent la comptabilité et tente de former un système d’information comptable, et qui peuvent être considérés comme éléments caractéristiques des pratiques comptables</w:t>
      </w:r>
      <w:r w:rsidRPr="00D41BD8">
        <w:rPr>
          <w:rFonts w:ascii="Times New Roman" w:eastAsia="Times New Roman" w:hAnsi="Times New Roman" w:cs="Times New Roman"/>
          <w:sz w:val="24"/>
          <w:szCs w:val="24"/>
          <w:vertAlign w:val="superscript"/>
          <w:lang w:eastAsia="fr-FR"/>
        </w:rPr>
        <w:footnoteReference w:id="31"/>
      </w:r>
      <w:r w:rsidRPr="00D41BD8">
        <w:rPr>
          <w:rFonts w:ascii="Times New Roman" w:eastAsia="Times New Roman" w:hAnsi="Times New Roman" w:cs="Times New Roman"/>
          <w:sz w:val="24"/>
          <w:szCs w:val="24"/>
          <w:lang w:eastAsia="fr-FR"/>
        </w:rPr>
        <w:t>:</w:t>
      </w:r>
    </w:p>
    <w:p w:rsidR="00D41BD8" w:rsidRPr="00D41BD8" w:rsidRDefault="00D41BD8" w:rsidP="00D41BD8">
      <w:pPr>
        <w:spacing w:before="0" w:beforeAutospacing="0" w:after="200" w:afterAutospacing="0" w:line="276" w:lineRule="auto"/>
        <w:ind w:firstLine="284"/>
        <w:jc w:val="both"/>
        <w:rPr>
          <w:rFonts w:ascii="Times New Roman" w:eastAsia="Times New Roman" w:hAnsi="Times New Roman" w:cs="Times New Roman"/>
          <w:sz w:val="24"/>
          <w:szCs w:val="24"/>
          <w:lang w:eastAsia="fr-FR"/>
        </w:rPr>
      </w:pPr>
      <w:r w:rsidRPr="00D41BD8">
        <w:rPr>
          <w:rFonts w:ascii="Times New Roman" w:eastAsia="Times New Roman" w:hAnsi="Times New Roman" w:cs="Times New Roman"/>
          <w:sz w:val="24"/>
          <w:szCs w:val="24"/>
          <w:lang w:eastAsia="fr-FR"/>
        </w:rPr>
        <w:t>- Le système politique, le système économique, le niveau de développement économique,</w:t>
      </w:r>
    </w:p>
    <w:p w:rsidR="00D41BD8" w:rsidRPr="00D41BD8" w:rsidRDefault="00D41BD8" w:rsidP="00D41BD8">
      <w:pPr>
        <w:spacing w:before="0" w:beforeAutospacing="0" w:after="200" w:afterAutospacing="0" w:line="276" w:lineRule="auto"/>
        <w:ind w:firstLine="284"/>
        <w:jc w:val="both"/>
        <w:rPr>
          <w:rFonts w:ascii="Times New Roman" w:eastAsia="Times New Roman" w:hAnsi="Times New Roman" w:cs="Times New Roman"/>
          <w:sz w:val="24"/>
          <w:szCs w:val="24"/>
          <w:lang w:eastAsia="fr-FR"/>
        </w:rPr>
      </w:pPr>
      <w:r w:rsidRPr="00D41BD8">
        <w:rPr>
          <w:rFonts w:ascii="Times New Roman" w:eastAsia="Times New Roman" w:hAnsi="Times New Roman" w:cs="Times New Roman"/>
          <w:sz w:val="24"/>
          <w:szCs w:val="24"/>
          <w:lang w:eastAsia="fr-FR"/>
        </w:rPr>
        <w:t>- les objectifs de la comptabilité financière,</w:t>
      </w:r>
    </w:p>
    <w:p w:rsidR="00D41BD8" w:rsidRPr="00D41BD8" w:rsidRDefault="00D41BD8" w:rsidP="00D41BD8">
      <w:pPr>
        <w:spacing w:before="0" w:beforeAutospacing="0" w:after="200" w:afterAutospacing="0" w:line="276" w:lineRule="auto"/>
        <w:ind w:firstLine="284"/>
        <w:jc w:val="both"/>
        <w:rPr>
          <w:rFonts w:ascii="Times New Roman" w:eastAsia="Times New Roman" w:hAnsi="Times New Roman" w:cs="Times New Roman"/>
          <w:sz w:val="24"/>
          <w:szCs w:val="24"/>
          <w:lang w:eastAsia="fr-FR"/>
        </w:rPr>
      </w:pPr>
      <w:r w:rsidRPr="00D41BD8">
        <w:rPr>
          <w:rFonts w:ascii="Times New Roman" w:eastAsia="Times New Roman" w:hAnsi="Times New Roman" w:cs="Times New Roman"/>
          <w:sz w:val="24"/>
          <w:szCs w:val="24"/>
          <w:lang w:eastAsia="fr-FR"/>
        </w:rPr>
        <w:t>- l’origine des normes comptables,</w:t>
      </w:r>
    </w:p>
    <w:p w:rsidR="00D41BD8" w:rsidRPr="00D41BD8" w:rsidRDefault="00D41BD8" w:rsidP="00D41BD8">
      <w:pPr>
        <w:spacing w:before="0" w:beforeAutospacing="0" w:after="200" w:afterAutospacing="0" w:line="276" w:lineRule="auto"/>
        <w:ind w:firstLine="284"/>
        <w:jc w:val="both"/>
        <w:rPr>
          <w:rFonts w:ascii="Times New Roman" w:eastAsia="Times New Roman" w:hAnsi="Times New Roman" w:cs="Times New Roman"/>
          <w:sz w:val="24"/>
          <w:szCs w:val="24"/>
          <w:lang w:eastAsia="fr-FR"/>
        </w:rPr>
      </w:pPr>
      <w:r w:rsidRPr="00D41BD8">
        <w:rPr>
          <w:rFonts w:ascii="Times New Roman" w:eastAsia="Times New Roman" w:hAnsi="Times New Roman" w:cs="Times New Roman"/>
          <w:sz w:val="24"/>
          <w:szCs w:val="24"/>
          <w:lang w:eastAsia="fr-FR"/>
        </w:rPr>
        <w:t>- l’éducation et la formation comptable,</w:t>
      </w:r>
    </w:p>
    <w:p w:rsidR="00D41BD8" w:rsidRPr="00D41BD8" w:rsidRDefault="00D41BD8" w:rsidP="00D41BD8">
      <w:pPr>
        <w:spacing w:before="0" w:beforeAutospacing="0" w:after="200" w:afterAutospacing="0" w:line="276" w:lineRule="auto"/>
        <w:ind w:firstLine="284"/>
        <w:jc w:val="both"/>
        <w:rPr>
          <w:rFonts w:ascii="Times New Roman" w:eastAsia="Times New Roman" w:hAnsi="Times New Roman" w:cs="Times New Roman"/>
          <w:sz w:val="24"/>
          <w:szCs w:val="24"/>
          <w:lang w:eastAsia="fr-FR"/>
        </w:rPr>
      </w:pPr>
      <w:r w:rsidRPr="00D41BD8">
        <w:rPr>
          <w:rFonts w:ascii="Times New Roman" w:eastAsia="Times New Roman" w:hAnsi="Times New Roman" w:cs="Times New Roman"/>
          <w:sz w:val="24"/>
          <w:szCs w:val="24"/>
          <w:lang w:eastAsia="fr-FR"/>
        </w:rPr>
        <w:t>- l’application des normes, l’éthique, le client.</w:t>
      </w:r>
    </w:p>
    <w:p w:rsidR="00D41BD8" w:rsidRPr="00D41BD8" w:rsidRDefault="00D41BD8" w:rsidP="00D41BD8">
      <w:pPr>
        <w:spacing w:before="0" w:beforeAutospacing="0" w:after="200" w:afterAutospacing="0" w:line="276" w:lineRule="auto"/>
        <w:jc w:val="both"/>
        <w:rPr>
          <w:rFonts w:ascii="Times New Roman" w:eastAsia="Times New Roman" w:hAnsi="Times New Roman" w:cs="Times New Roman"/>
          <w:sz w:val="24"/>
          <w:szCs w:val="24"/>
          <w:lang w:eastAsia="fr-FR"/>
        </w:rPr>
      </w:pPr>
      <w:proofErr w:type="spellStart"/>
      <w:r w:rsidRPr="00D41BD8">
        <w:rPr>
          <w:rFonts w:ascii="Times New Roman" w:eastAsia="Times New Roman" w:hAnsi="Times New Roman" w:cs="Times New Roman"/>
          <w:sz w:val="24"/>
          <w:szCs w:val="24"/>
          <w:lang w:eastAsia="fr-FR"/>
        </w:rPr>
        <w:t>Nobes</w:t>
      </w:r>
      <w:proofErr w:type="spellEnd"/>
      <w:r w:rsidRPr="00D41BD8">
        <w:rPr>
          <w:rFonts w:ascii="Times New Roman" w:eastAsia="Times New Roman" w:hAnsi="Times New Roman" w:cs="Times New Roman"/>
          <w:sz w:val="24"/>
          <w:szCs w:val="24"/>
          <w:vertAlign w:val="superscript"/>
          <w:lang w:eastAsia="fr-FR"/>
        </w:rPr>
        <w:footnoteReference w:id="32"/>
      </w:r>
      <w:r w:rsidRPr="00D41BD8">
        <w:rPr>
          <w:rFonts w:ascii="Times New Roman" w:eastAsia="Times New Roman" w:hAnsi="Times New Roman" w:cs="Times New Roman"/>
          <w:sz w:val="24"/>
          <w:szCs w:val="24"/>
          <w:lang w:eastAsia="fr-FR"/>
        </w:rPr>
        <w:t xml:space="preserve"> identifie, en revanche, comme éléments caractéristiques :</w:t>
      </w:r>
    </w:p>
    <w:p w:rsidR="00D41BD8" w:rsidRPr="00D41BD8" w:rsidRDefault="00D41BD8" w:rsidP="00D41BD8">
      <w:pPr>
        <w:spacing w:before="0" w:beforeAutospacing="0" w:after="200" w:afterAutospacing="0" w:line="276" w:lineRule="auto"/>
        <w:ind w:firstLine="284"/>
        <w:jc w:val="both"/>
        <w:rPr>
          <w:rFonts w:ascii="Times New Roman" w:eastAsia="Times New Roman" w:hAnsi="Times New Roman" w:cs="Times New Roman"/>
          <w:sz w:val="24"/>
          <w:szCs w:val="24"/>
          <w:lang w:eastAsia="fr-FR"/>
        </w:rPr>
      </w:pPr>
      <w:r w:rsidRPr="00D41BD8">
        <w:rPr>
          <w:rFonts w:ascii="Times New Roman" w:eastAsia="Times New Roman" w:hAnsi="Times New Roman" w:cs="Times New Roman"/>
          <w:sz w:val="24"/>
          <w:szCs w:val="24"/>
          <w:lang w:eastAsia="fr-FR"/>
        </w:rPr>
        <w:t>- Le système juridique,</w:t>
      </w:r>
    </w:p>
    <w:p w:rsidR="00D41BD8" w:rsidRPr="00D41BD8" w:rsidRDefault="00D41BD8" w:rsidP="00D41BD8">
      <w:pPr>
        <w:spacing w:before="0" w:beforeAutospacing="0" w:after="200" w:afterAutospacing="0" w:line="276" w:lineRule="auto"/>
        <w:ind w:firstLine="284"/>
        <w:jc w:val="both"/>
        <w:rPr>
          <w:rFonts w:ascii="Times New Roman" w:eastAsia="Times New Roman" w:hAnsi="Times New Roman" w:cs="Times New Roman"/>
          <w:sz w:val="24"/>
          <w:szCs w:val="24"/>
          <w:lang w:eastAsia="fr-FR"/>
        </w:rPr>
      </w:pPr>
      <w:r w:rsidRPr="00D41BD8">
        <w:rPr>
          <w:rFonts w:ascii="Times New Roman" w:eastAsia="Times New Roman" w:hAnsi="Times New Roman" w:cs="Times New Roman"/>
          <w:sz w:val="24"/>
          <w:szCs w:val="24"/>
          <w:lang w:eastAsia="fr-FR"/>
        </w:rPr>
        <w:t>- le mode d’organisation des affaires et la structure de l’actionnariat,</w:t>
      </w:r>
    </w:p>
    <w:p w:rsidR="00D41BD8" w:rsidRPr="00D41BD8" w:rsidRDefault="00D41BD8" w:rsidP="00D41BD8">
      <w:pPr>
        <w:spacing w:before="0" w:beforeAutospacing="0" w:after="200" w:afterAutospacing="0" w:line="276" w:lineRule="auto"/>
        <w:ind w:firstLine="284"/>
        <w:jc w:val="both"/>
        <w:rPr>
          <w:rFonts w:ascii="Times New Roman" w:eastAsia="Times New Roman" w:hAnsi="Times New Roman" w:cs="Times New Roman"/>
          <w:sz w:val="24"/>
          <w:szCs w:val="24"/>
          <w:lang w:eastAsia="fr-FR"/>
        </w:rPr>
      </w:pPr>
      <w:r w:rsidRPr="00D41BD8">
        <w:rPr>
          <w:rFonts w:ascii="Times New Roman" w:eastAsia="Times New Roman" w:hAnsi="Times New Roman" w:cs="Times New Roman"/>
          <w:sz w:val="24"/>
          <w:szCs w:val="24"/>
          <w:lang w:eastAsia="fr-FR"/>
        </w:rPr>
        <w:t>- les marchés boursiers,</w:t>
      </w:r>
    </w:p>
    <w:p w:rsidR="00D41BD8" w:rsidRPr="00D41BD8" w:rsidRDefault="00D41BD8" w:rsidP="00D41BD8">
      <w:pPr>
        <w:spacing w:before="0" w:beforeAutospacing="0" w:after="200" w:afterAutospacing="0" w:line="276" w:lineRule="auto"/>
        <w:ind w:firstLine="284"/>
        <w:jc w:val="both"/>
        <w:rPr>
          <w:rFonts w:ascii="Times New Roman" w:eastAsia="Times New Roman" w:hAnsi="Times New Roman" w:cs="Times New Roman"/>
          <w:sz w:val="24"/>
          <w:szCs w:val="24"/>
          <w:lang w:eastAsia="fr-FR"/>
        </w:rPr>
      </w:pPr>
      <w:r w:rsidRPr="00D41BD8">
        <w:rPr>
          <w:rFonts w:ascii="Times New Roman" w:eastAsia="Times New Roman" w:hAnsi="Times New Roman" w:cs="Times New Roman"/>
          <w:sz w:val="24"/>
          <w:szCs w:val="24"/>
          <w:lang w:eastAsia="fr-FR"/>
        </w:rPr>
        <w:t>- la profession comptable et certains événements historiques.</w:t>
      </w:r>
    </w:p>
    <w:p w:rsidR="00D41BD8" w:rsidRPr="00D41BD8" w:rsidRDefault="00D41BD8" w:rsidP="00D41BD8">
      <w:pPr>
        <w:spacing w:before="0" w:beforeAutospacing="0" w:after="60" w:afterAutospacing="0" w:line="276" w:lineRule="auto"/>
        <w:ind w:firstLine="284"/>
        <w:jc w:val="both"/>
        <w:rPr>
          <w:rFonts w:ascii="Times New Roman" w:eastAsia="Times New Roman" w:hAnsi="Times New Roman" w:cs="Times New Roman"/>
          <w:sz w:val="24"/>
          <w:szCs w:val="24"/>
          <w:lang w:eastAsia="fr-FR"/>
        </w:rPr>
      </w:pPr>
      <w:r w:rsidRPr="00D41BD8">
        <w:rPr>
          <w:rFonts w:ascii="Times New Roman" w:eastAsia="Times New Roman" w:hAnsi="Times New Roman" w:cs="Times New Roman"/>
          <w:sz w:val="24"/>
          <w:szCs w:val="24"/>
          <w:lang w:eastAsia="fr-FR"/>
        </w:rPr>
        <w:t>En revanche, les modèles comptables sont généralement présentés sous forme dichotomique à savoir modèle « européen continental » (également dénommé modèle continental) vs « modèle anglo-saxon », bien que théoriquement d’autres modèles existent par ailleurs</w:t>
      </w:r>
      <w:r w:rsidRPr="00D41BD8">
        <w:rPr>
          <w:rFonts w:ascii="Times New Roman" w:eastAsia="Times New Roman" w:hAnsi="Times New Roman" w:cs="Times New Roman"/>
          <w:sz w:val="24"/>
          <w:szCs w:val="24"/>
          <w:vertAlign w:val="superscript"/>
          <w:lang w:eastAsia="fr-FR"/>
        </w:rPr>
        <w:footnoteReference w:id="33"/>
      </w:r>
      <w:r w:rsidRPr="00D41BD8">
        <w:rPr>
          <w:rFonts w:ascii="Times New Roman" w:eastAsia="Times New Roman" w:hAnsi="Times New Roman" w:cs="Times New Roman"/>
          <w:sz w:val="24"/>
          <w:szCs w:val="24"/>
          <w:lang w:eastAsia="fr-FR"/>
        </w:rPr>
        <w:t xml:space="preserve">. </w:t>
      </w:r>
    </w:p>
    <w:p w:rsidR="00D41BD8" w:rsidRPr="00D41BD8" w:rsidRDefault="00D41BD8" w:rsidP="002A3F16">
      <w:pPr>
        <w:numPr>
          <w:ilvl w:val="0"/>
          <w:numId w:val="3"/>
        </w:numPr>
        <w:spacing w:before="0" w:beforeAutospacing="0" w:after="60" w:afterAutospacing="0" w:line="276" w:lineRule="auto"/>
        <w:contextualSpacing/>
        <w:jc w:val="both"/>
        <w:rPr>
          <w:rFonts w:ascii="Times New Roman" w:eastAsia="Times New Roman" w:hAnsi="Times New Roman" w:cs="Times New Roman"/>
          <w:b/>
          <w:i/>
          <w:sz w:val="24"/>
          <w:szCs w:val="24"/>
          <w:lang w:eastAsia="fr-FR"/>
        </w:rPr>
      </w:pPr>
      <w:r w:rsidRPr="00D41BD8">
        <w:rPr>
          <w:rFonts w:ascii="Times New Roman" w:eastAsia="Times New Roman" w:hAnsi="Times New Roman" w:cs="Times New Roman"/>
          <w:b/>
          <w:i/>
          <w:sz w:val="24"/>
          <w:szCs w:val="24"/>
          <w:lang w:eastAsia="fr-FR"/>
        </w:rPr>
        <w:t>Le modèle européen continental</w:t>
      </w:r>
    </w:p>
    <w:p w:rsidR="00D41BD8" w:rsidRPr="00D41BD8" w:rsidRDefault="00D41BD8" w:rsidP="00D41BD8">
      <w:pPr>
        <w:spacing w:before="0" w:beforeAutospacing="0" w:after="60" w:afterAutospacing="0" w:line="276" w:lineRule="auto"/>
        <w:ind w:firstLine="284"/>
        <w:jc w:val="both"/>
        <w:rPr>
          <w:rFonts w:ascii="Times New Roman" w:eastAsia="Times New Roman" w:hAnsi="Times New Roman" w:cs="Times New Roman"/>
          <w:sz w:val="24"/>
          <w:szCs w:val="24"/>
          <w:lang w:eastAsia="fr-FR"/>
        </w:rPr>
      </w:pPr>
      <w:r w:rsidRPr="00D41BD8">
        <w:rPr>
          <w:rFonts w:ascii="Times New Roman" w:eastAsia="Times New Roman" w:hAnsi="Times New Roman" w:cs="Times New Roman"/>
          <w:sz w:val="24"/>
          <w:szCs w:val="24"/>
          <w:lang w:eastAsia="fr-FR"/>
        </w:rPr>
        <w:t>Le modèle européen continental qui correspond majoritairement à celui fondant les règlementations comptables de la plupart des pays européens, se distingue par certaines caractéristiques. Tout d’abord l’Etat régit le processus de règlementation, ensuite les besoins d’information d’une diversité importante de parties prenantes (</w:t>
      </w:r>
      <w:proofErr w:type="spellStart"/>
      <w:r w:rsidRPr="00D41BD8">
        <w:rPr>
          <w:rFonts w:ascii="Times New Roman" w:eastAsia="Times New Roman" w:hAnsi="Times New Roman" w:cs="Times New Roman"/>
          <w:sz w:val="24"/>
          <w:szCs w:val="24"/>
          <w:lang w:eastAsia="fr-FR"/>
        </w:rPr>
        <w:t>stakeholders</w:t>
      </w:r>
      <w:proofErr w:type="spellEnd"/>
      <w:r w:rsidRPr="00D41BD8">
        <w:rPr>
          <w:rFonts w:ascii="Times New Roman" w:eastAsia="Times New Roman" w:hAnsi="Times New Roman" w:cs="Times New Roman"/>
          <w:sz w:val="24"/>
          <w:szCs w:val="24"/>
          <w:lang w:eastAsia="fr-FR"/>
        </w:rPr>
        <w:t xml:space="preserve">) : Etat, salariés, actionnaires, banquiers, clients, fournisseurs…, sont pris en compte. Il </w:t>
      </w:r>
      <w:r w:rsidRPr="00D41BD8">
        <w:rPr>
          <w:rFonts w:ascii="Times New Roman" w:eastAsia="Times New Roman" w:hAnsi="Times New Roman" w:cs="Times New Roman"/>
          <w:sz w:val="24"/>
          <w:szCs w:val="24"/>
          <w:lang w:eastAsia="fr-FR"/>
        </w:rPr>
        <w:lastRenderedPageBreak/>
        <w:t>correspond à un mode de gouvernance de l’entreprise qualifié de « partenarial », lié au capitalisme rhénan</w:t>
      </w:r>
      <w:r w:rsidRPr="00D41BD8">
        <w:rPr>
          <w:rFonts w:ascii="Times New Roman" w:eastAsia="Times New Roman" w:hAnsi="Times New Roman" w:cs="Times New Roman"/>
          <w:sz w:val="24"/>
          <w:szCs w:val="24"/>
          <w:vertAlign w:val="superscript"/>
          <w:lang w:eastAsia="fr-FR"/>
        </w:rPr>
        <w:footnoteReference w:id="34"/>
      </w:r>
      <w:r w:rsidRPr="00D41BD8">
        <w:rPr>
          <w:rFonts w:ascii="Times New Roman" w:eastAsia="Times New Roman" w:hAnsi="Times New Roman" w:cs="Times New Roman"/>
          <w:sz w:val="24"/>
          <w:szCs w:val="24"/>
          <w:lang w:eastAsia="fr-FR"/>
        </w:rPr>
        <w:t xml:space="preserve"> et qui privilégie les créanciers, notamment en préférant la règle de droit aux dépens de la réalité économique. </w:t>
      </w:r>
    </w:p>
    <w:p w:rsidR="00D41BD8" w:rsidRPr="00D41BD8" w:rsidRDefault="00D41BD8" w:rsidP="002A3F16">
      <w:pPr>
        <w:numPr>
          <w:ilvl w:val="0"/>
          <w:numId w:val="3"/>
        </w:numPr>
        <w:spacing w:before="0" w:beforeAutospacing="0" w:after="60" w:afterAutospacing="0" w:line="276" w:lineRule="auto"/>
        <w:contextualSpacing/>
        <w:jc w:val="both"/>
        <w:rPr>
          <w:rFonts w:ascii="Times New Roman" w:eastAsia="Times New Roman" w:hAnsi="Times New Roman" w:cs="Times New Roman"/>
          <w:b/>
          <w:i/>
          <w:sz w:val="24"/>
          <w:szCs w:val="24"/>
          <w:lang w:eastAsia="fr-FR"/>
        </w:rPr>
      </w:pPr>
      <w:r w:rsidRPr="00D41BD8">
        <w:rPr>
          <w:rFonts w:ascii="Times New Roman" w:eastAsia="Times New Roman" w:hAnsi="Times New Roman" w:cs="Times New Roman"/>
          <w:b/>
          <w:i/>
          <w:sz w:val="24"/>
          <w:szCs w:val="24"/>
          <w:lang w:eastAsia="fr-FR"/>
        </w:rPr>
        <w:t>Le modèle anglo-saxon</w:t>
      </w:r>
    </w:p>
    <w:p w:rsidR="00D41BD8" w:rsidRPr="00D41BD8" w:rsidRDefault="00D41BD8" w:rsidP="00D41BD8">
      <w:pPr>
        <w:spacing w:before="0" w:beforeAutospacing="0" w:after="200" w:afterAutospacing="0" w:line="276" w:lineRule="auto"/>
        <w:ind w:firstLine="284"/>
        <w:jc w:val="both"/>
        <w:rPr>
          <w:rFonts w:ascii="Times New Roman" w:eastAsia="Times New Roman" w:hAnsi="Times New Roman" w:cs="Times New Roman"/>
          <w:sz w:val="24"/>
          <w:szCs w:val="24"/>
          <w:lang w:eastAsia="fr-FR"/>
        </w:rPr>
      </w:pPr>
      <w:r w:rsidRPr="00D41BD8">
        <w:rPr>
          <w:rFonts w:ascii="Times New Roman" w:eastAsia="Times New Roman" w:hAnsi="Times New Roman" w:cs="Times New Roman"/>
          <w:sz w:val="24"/>
          <w:szCs w:val="24"/>
          <w:lang w:eastAsia="fr-FR"/>
        </w:rPr>
        <w:t xml:space="preserve">Le modèle comptable dit anglo-saxon qualifie les systèmes comptables britannique, américain, australien, néo-zélandais, canadien et international (IAS) bien que des différences notables existent entre eux. Cependant, ainsi que le précise </w:t>
      </w:r>
      <w:proofErr w:type="spellStart"/>
      <w:r w:rsidRPr="00D41BD8">
        <w:rPr>
          <w:rFonts w:ascii="Times New Roman" w:eastAsia="Times New Roman" w:hAnsi="Times New Roman" w:cs="Times New Roman"/>
          <w:sz w:val="24"/>
          <w:szCs w:val="24"/>
          <w:lang w:eastAsia="fr-FR"/>
        </w:rPr>
        <w:t>Colasse</w:t>
      </w:r>
      <w:proofErr w:type="spellEnd"/>
      <w:r w:rsidRPr="00D41BD8">
        <w:rPr>
          <w:rFonts w:ascii="Times New Roman" w:eastAsia="Times New Roman" w:hAnsi="Times New Roman" w:cs="Times New Roman"/>
          <w:sz w:val="24"/>
          <w:szCs w:val="24"/>
          <w:vertAlign w:val="superscript"/>
          <w:lang w:eastAsia="fr-FR"/>
        </w:rPr>
        <w:footnoteReference w:id="35"/>
      </w:r>
      <w:r w:rsidRPr="00D41BD8">
        <w:rPr>
          <w:rFonts w:ascii="Times New Roman" w:eastAsia="Times New Roman" w:hAnsi="Times New Roman" w:cs="Times New Roman"/>
          <w:sz w:val="24"/>
          <w:szCs w:val="24"/>
          <w:lang w:eastAsia="fr-FR"/>
        </w:rPr>
        <w:t>, suffisamment de points communs subsistent en termes d’objectifs et de principes pour qu’ils soient regroupés sous le qualificatif d’anglo-saxon.</w:t>
      </w:r>
    </w:p>
    <w:p w:rsidR="00D41BD8" w:rsidRDefault="00D41BD8" w:rsidP="00D41BD8">
      <w:pPr>
        <w:spacing w:before="0" w:beforeAutospacing="0" w:after="200" w:afterAutospacing="0" w:line="276" w:lineRule="auto"/>
        <w:ind w:firstLine="284"/>
        <w:jc w:val="both"/>
        <w:rPr>
          <w:rFonts w:ascii="Times New Roman" w:eastAsia="Times New Roman" w:hAnsi="Times New Roman" w:cs="Times New Roman"/>
          <w:sz w:val="24"/>
          <w:szCs w:val="24"/>
          <w:lang w:eastAsia="fr-FR"/>
        </w:rPr>
      </w:pPr>
      <w:r w:rsidRPr="00D41BD8">
        <w:rPr>
          <w:rFonts w:ascii="Times New Roman" w:eastAsia="Times New Roman" w:hAnsi="Times New Roman" w:cs="Times New Roman"/>
          <w:sz w:val="24"/>
          <w:szCs w:val="24"/>
          <w:lang w:eastAsia="fr-FR"/>
        </w:rPr>
        <w:t>Le modèle anglo-saxon relève d’une toute autre logique qui s’appuie principalement sur une différence d’objectifs et d’utilisateurs de l’information financière. Les normes comptables visent à permettre aux entreprises de publier une information sur leur performance qui soit utile aux investisseurs pour leur prise de décision économique. Il ne s’agit plus, conformément au modèle continental, de rendre des comptes à une diversité d’utilisateurs de l’information comptable et de s’inscrire dans une logique de reddition des comptes, mais bien de transmettre une information qui aident les actionnaires et investisseurs à optimiser l’allocation de leurs ressources. Ce référentiel accorde une grande importance à la réalité économique des opérations et conduit à la description de la situation économique et financière de la firme, situation qui intéresse les marchés financiers dans un contexte où ils jouent un rôle important dans le financement des entreprises. Ce modèle fait référence à un mode de gouvernance « actionnarial » émanant de la théorie positive de l’agence qui assimile les dirigeants aux agents des actionnaires.</w:t>
      </w:r>
    </w:p>
    <w:p w:rsidR="00D41BD8" w:rsidRDefault="00D41BD8" w:rsidP="00D41BD8">
      <w:pPr>
        <w:spacing w:before="0" w:beforeAutospacing="0" w:after="200" w:afterAutospacing="0" w:line="276" w:lineRule="auto"/>
        <w:ind w:firstLine="284"/>
        <w:jc w:val="both"/>
        <w:rPr>
          <w:rFonts w:ascii="Times New Roman" w:eastAsia="Times New Roman" w:hAnsi="Times New Roman" w:cs="Times New Roman"/>
          <w:sz w:val="24"/>
          <w:szCs w:val="24"/>
          <w:lang w:eastAsia="fr-FR"/>
        </w:rPr>
      </w:pPr>
    </w:p>
    <w:p w:rsidR="00D41BD8" w:rsidRDefault="00D41BD8" w:rsidP="00D41BD8">
      <w:pPr>
        <w:spacing w:before="0" w:beforeAutospacing="0" w:after="200" w:afterAutospacing="0" w:line="276" w:lineRule="auto"/>
        <w:ind w:firstLine="284"/>
        <w:jc w:val="both"/>
        <w:rPr>
          <w:rFonts w:ascii="Times New Roman" w:eastAsia="Times New Roman" w:hAnsi="Times New Roman" w:cs="Times New Roman"/>
          <w:sz w:val="24"/>
          <w:szCs w:val="24"/>
          <w:lang w:eastAsia="fr-FR"/>
        </w:rPr>
      </w:pPr>
    </w:p>
    <w:p w:rsidR="00D41BD8" w:rsidRDefault="00D41BD8" w:rsidP="00D41BD8">
      <w:pPr>
        <w:spacing w:before="0" w:beforeAutospacing="0" w:after="200" w:afterAutospacing="0" w:line="276" w:lineRule="auto"/>
        <w:ind w:firstLine="284"/>
        <w:jc w:val="both"/>
        <w:rPr>
          <w:rFonts w:ascii="Times New Roman" w:eastAsia="Times New Roman" w:hAnsi="Times New Roman" w:cs="Times New Roman"/>
          <w:sz w:val="24"/>
          <w:szCs w:val="24"/>
          <w:lang w:eastAsia="fr-FR"/>
        </w:rPr>
      </w:pPr>
    </w:p>
    <w:p w:rsidR="00D41BD8" w:rsidRDefault="00D41BD8" w:rsidP="00D41BD8">
      <w:pPr>
        <w:spacing w:before="0" w:beforeAutospacing="0" w:after="200" w:afterAutospacing="0" w:line="276" w:lineRule="auto"/>
        <w:ind w:firstLine="284"/>
        <w:jc w:val="both"/>
        <w:rPr>
          <w:rFonts w:ascii="Times New Roman" w:eastAsia="Times New Roman" w:hAnsi="Times New Roman" w:cs="Times New Roman"/>
          <w:sz w:val="24"/>
          <w:szCs w:val="24"/>
          <w:lang w:eastAsia="fr-FR"/>
        </w:rPr>
      </w:pPr>
    </w:p>
    <w:p w:rsidR="00D41BD8" w:rsidRDefault="00D41BD8" w:rsidP="00D41BD8">
      <w:pPr>
        <w:spacing w:before="0" w:beforeAutospacing="0" w:after="200" w:afterAutospacing="0" w:line="276" w:lineRule="auto"/>
        <w:ind w:firstLine="284"/>
        <w:jc w:val="both"/>
        <w:rPr>
          <w:rFonts w:ascii="Times New Roman" w:eastAsia="Times New Roman" w:hAnsi="Times New Roman" w:cs="Times New Roman"/>
          <w:sz w:val="24"/>
          <w:szCs w:val="24"/>
          <w:lang w:eastAsia="fr-FR"/>
        </w:rPr>
      </w:pPr>
    </w:p>
    <w:p w:rsidR="00D41BD8" w:rsidRDefault="00D41BD8" w:rsidP="00D41BD8">
      <w:pPr>
        <w:spacing w:before="0" w:beforeAutospacing="0" w:after="200" w:afterAutospacing="0" w:line="276" w:lineRule="auto"/>
        <w:ind w:firstLine="284"/>
        <w:jc w:val="both"/>
        <w:rPr>
          <w:rFonts w:ascii="Times New Roman" w:eastAsia="Times New Roman" w:hAnsi="Times New Roman" w:cs="Times New Roman"/>
          <w:sz w:val="24"/>
          <w:szCs w:val="24"/>
          <w:lang w:eastAsia="fr-FR"/>
        </w:rPr>
      </w:pPr>
    </w:p>
    <w:p w:rsidR="00D41BD8" w:rsidRDefault="00D41BD8" w:rsidP="00D41BD8">
      <w:pPr>
        <w:spacing w:before="0" w:beforeAutospacing="0" w:after="200" w:afterAutospacing="0" w:line="276" w:lineRule="auto"/>
        <w:ind w:firstLine="284"/>
        <w:jc w:val="both"/>
        <w:rPr>
          <w:rFonts w:ascii="Times New Roman" w:eastAsia="Times New Roman" w:hAnsi="Times New Roman" w:cs="Times New Roman"/>
          <w:sz w:val="24"/>
          <w:szCs w:val="24"/>
          <w:lang w:eastAsia="fr-FR"/>
        </w:rPr>
      </w:pPr>
    </w:p>
    <w:p w:rsidR="00D41BD8" w:rsidRDefault="00D41BD8" w:rsidP="00D41BD8">
      <w:pPr>
        <w:spacing w:before="0" w:beforeAutospacing="0" w:after="200" w:afterAutospacing="0" w:line="276" w:lineRule="auto"/>
        <w:ind w:firstLine="284"/>
        <w:jc w:val="both"/>
        <w:rPr>
          <w:rFonts w:ascii="Times New Roman" w:eastAsia="Times New Roman" w:hAnsi="Times New Roman" w:cs="Times New Roman"/>
          <w:sz w:val="24"/>
          <w:szCs w:val="24"/>
          <w:lang w:eastAsia="fr-FR"/>
        </w:rPr>
      </w:pPr>
    </w:p>
    <w:p w:rsidR="00D41BD8" w:rsidRDefault="00D41BD8" w:rsidP="00D41BD8">
      <w:pPr>
        <w:spacing w:before="0" w:beforeAutospacing="0" w:after="200" w:afterAutospacing="0" w:line="276" w:lineRule="auto"/>
        <w:ind w:firstLine="284"/>
        <w:jc w:val="both"/>
        <w:rPr>
          <w:rFonts w:ascii="Times New Roman" w:eastAsia="Times New Roman" w:hAnsi="Times New Roman" w:cs="Times New Roman"/>
          <w:sz w:val="24"/>
          <w:szCs w:val="24"/>
          <w:lang w:eastAsia="fr-FR"/>
        </w:rPr>
      </w:pPr>
    </w:p>
    <w:p w:rsidR="00D41BD8" w:rsidRPr="00D41BD8" w:rsidRDefault="00D41BD8" w:rsidP="00D41BD8">
      <w:pPr>
        <w:spacing w:before="0" w:beforeAutospacing="0" w:after="240" w:afterAutospacing="0"/>
        <w:jc w:val="both"/>
        <w:rPr>
          <w:rFonts w:ascii="Times New Roman" w:eastAsiaTheme="minorEastAsia" w:hAnsi="Times New Roman"/>
          <w:b/>
          <w:bCs/>
          <w:sz w:val="24"/>
          <w:szCs w:val="18"/>
          <w:lang w:eastAsia="zh-TW"/>
        </w:rPr>
      </w:pPr>
      <w:r w:rsidRPr="00D41BD8">
        <w:rPr>
          <w:rFonts w:ascii="Times New Roman" w:eastAsiaTheme="minorEastAsia" w:hAnsi="Times New Roman"/>
          <w:b/>
          <w:bCs/>
          <w:sz w:val="24"/>
          <w:szCs w:val="18"/>
          <w:lang w:eastAsia="zh-TW"/>
        </w:rPr>
        <w:lastRenderedPageBreak/>
        <w:t>Tableau (</w:t>
      </w:r>
      <w:r w:rsidRPr="00D41BD8">
        <w:rPr>
          <w:rFonts w:ascii="Times New Roman" w:eastAsiaTheme="minorEastAsia" w:hAnsi="Times New Roman"/>
          <w:b/>
          <w:bCs/>
          <w:sz w:val="24"/>
          <w:szCs w:val="18"/>
          <w:lang w:eastAsia="zh-TW"/>
        </w:rPr>
        <w:fldChar w:fldCharType="begin"/>
      </w:r>
      <w:r w:rsidRPr="00D41BD8">
        <w:rPr>
          <w:rFonts w:ascii="Times New Roman" w:eastAsiaTheme="minorEastAsia" w:hAnsi="Times New Roman"/>
          <w:b/>
          <w:bCs/>
          <w:sz w:val="24"/>
          <w:szCs w:val="18"/>
          <w:lang w:eastAsia="zh-TW"/>
        </w:rPr>
        <w:instrText xml:space="preserve"> SEQ Tableau \* ARABIC </w:instrText>
      </w:r>
      <w:r w:rsidRPr="00D41BD8">
        <w:rPr>
          <w:rFonts w:ascii="Times New Roman" w:eastAsiaTheme="minorEastAsia" w:hAnsi="Times New Roman"/>
          <w:b/>
          <w:bCs/>
          <w:sz w:val="24"/>
          <w:szCs w:val="18"/>
          <w:lang w:eastAsia="zh-TW"/>
        </w:rPr>
        <w:fldChar w:fldCharType="separate"/>
      </w:r>
      <w:r w:rsidRPr="00D41BD8">
        <w:rPr>
          <w:rFonts w:ascii="Times New Roman" w:eastAsiaTheme="minorEastAsia" w:hAnsi="Times New Roman"/>
          <w:b/>
          <w:bCs/>
          <w:noProof/>
          <w:sz w:val="24"/>
          <w:szCs w:val="18"/>
          <w:lang w:eastAsia="zh-TW"/>
        </w:rPr>
        <w:t>1</w:t>
      </w:r>
      <w:r w:rsidRPr="00D41BD8">
        <w:rPr>
          <w:rFonts w:ascii="Times New Roman" w:eastAsiaTheme="minorEastAsia" w:hAnsi="Times New Roman"/>
          <w:b/>
          <w:bCs/>
          <w:noProof/>
          <w:sz w:val="24"/>
          <w:szCs w:val="18"/>
          <w:lang w:eastAsia="zh-TW"/>
        </w:rPr>
        <w:fldChar w:fldCharType="end"/>
      </w:r>
      <w:r w:rsidRPr="00D41BD8">
        <w:rPr>
          <w:rFonts w:ascii="Times New Roman" w:eastAsiaTheme="minorEastAsia" w:hAnsi="Times New Roman"/>
          <w:b/>
          <w:bCs/>
          <w:noProof/>
          <w:sz w:val="24"/>
          <w:szCs w:val="18"/>
          <w:lang w:eastAsia="zh-TW"/>
        </w:rPr>
        <w:t>) :</w:t>
      </w:r>
      <w:r w:rsidRPr="00D41BD8">
        <w:rPr>
          <w:rFonts w:ascii="Times New Roman" w:eastAsiaTheme="minorEastAsia" w:hAnsi="Times New Roman"/>
          <w:b/>
          <w:bCs/>
          <w:sz w:val="24"/>
          <w:szCs w:val="18"/>
          <w:lang w:eastAsia="zh-TW"/>
        </w:rPr>
        <w:t xml:space="preserve"> Caractéristiques des modèles comptables anglo-saxons et de l’Europe continental</w:t>
      </w:r>
    </w:p>
    <w:tbl>
      <w:tblPr>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1E0" w:firstRow="1" w:lastRow="1" w:firstColumn="1" w:lastColumn="1" w:noHBand="0" w:noVBand="0"/>
      </w:tblPr>
      <w:tblGrid>
        <w:gridCol w:w="2862"/>
        <w:gridCol w:w="2863"/>
        <w:gridCol w:w="2863"/>
      </w:tblGrid>
      <w:tr w:rsidR="00D41BD8" w:rsidRPr="00D41BD8" w:rsidTr="00F61BE2">
        <w:trPr>
          <w:trHeight w:val="474"/>
          <w:jc w:val="center"/>
        </w:trPr>
        <w:tc>
          <w:tcPr>
            <w:tcW w:w="2862" w:type="dxa"/>
            <w:vAlign w:val="center"/>
          </w:tcPr>
          <w:p w:rsidR="00D41BD8" w:rsidRPr="00D41BD8" w:rsidRDefault="00D41BD8" w:rsidP="00D41BD8">
            <w:pPr>
              <w:spacing w:before="0" w:beforeAutospacing="0" w:after="0" w:afterAutospacing="0" w:line="276" w:lineRule="auto"/>
              <w:jc w:val="left"/>
              <w:rPr>
                <w:rFonts w:eastAsia="Calibri" w:cs="Times New Roman"/>
                <w:szCs w:val="24"/>
              </w:rPr>
            </w:pPr>
          </w:p>
        </w:tc>
        <w:tc>
          <w:tcPr>
            <w:tcW w:w="2863" w:type="dxa"/>
            <w:vAlign w:val="center"/>
          </w:tcPr>
          <w:p w:rsidR="00D41BD8" w:rsidRPr="00D41BD8" w:rsidRDefault="00D41BD8" w:rsidP="00D41BD8">
            <w:pPr>
              <w:spacing w:before="0" w:beforeAutospacing="0" w:after="0" w:afterAutospacing="0" w:line="276" w:lineRule="auto"/>
              <w:rPr>
                <w:rFonts w:ascii="Times New Roman" w:eastAsia="Calibri" w:hAnsi="Times New Roman" w:cs="Times New Roman"/>
                <w:b/>
                <w:szCs w:val="24"/>
              </w:rPr>
            </w:pPr>
            <w:r w:rsidRPr="00D41BD8">
              <w:rPr>
                <w:rFonts w:ascii="Times New Roman" w:eastAsia="Calibri" w:hAnsi="Times New Roman" w:cs="Times New Roman"/>
                <w:b/>
                <w:szCs w:val="24"/>
              </w:rPr>
              <w:t>Le modèle anglo-saxon</w:t>
            </w:r>
          </w:p>
        </w:tc>
        <w:tc>
          <w:tcPr>
            <w:tcW w:w="2863" w:type="dxa"/>
            <w:vAlign w:val="center"/>
          </w:tcPr>
          <w:p w:rsidR="00D41BD8" w:rsidRPr="00D41BD8" w:rsidRDefault="00D41BD8" w:rsidP="00D41BD8">
            <w:pPr>
              <w:spacing w:before="0" w:beforeAutospacing="0" w:after="0" w:afterAutospacing="0" w:line="276" w:lineRule="auto"/>
              <w:rPr>
                <w:rFonts w:ascii="Times New Roman" w:eastAsia="Calibri" w:hAnsi="Times New Roman" w:cs="Times New Roman"/>
                <w:b/>
                <w:szCs w:val="24"/>
              </w:rPr>
            </w:pPr>
            <w:r w:rsidRPr="00D41BD8">
              <w:rPr>
                <w:rFonts w:ascii="Times New Roman" w:eastAsia="Calibri" w:hAnsi="Times New Roman" w:cs="Times New Roman"/>
                <w:b/>
                <w:szCs w:val="24"/>
              </w:rPr>
              <w:t>Le modèle européen continental</w:t>
            </w:r>
          </w:p>
        </w:tc>
      </w:tr>
      <w:tr w:rsidR="00D41BD8" w:rsidRPr="00D41BD8" w:rsidTr="00F61BE2">
        <w:trPr>
          <w:trHeight w:val="641"/>
          <w:jc w:val="center"/>
        </w:trPr>
        <w:tc>
          <w:tcPr>
            <w:tcW w:w="2862" w:type="dxa"/>
            <w:vAlign w:val="center"/>
          </w:tcPr>
          <w:p w:rsidR="00D41BD8" w:rsidRPr="00D41BD8" w:rsidRDefault="00D41BD8" w:rsidP="00D41BD8">
            <w:pPr>
              <w:spacing w:before="0" w:beforeAutospacing="0" w:after="0" w:afterAutospacing="0" w:line="276" w:lineRule="auto"/>
              <w:jc w:val="left"/>
              <w:rPr>
                <w:rFonts w:ascii="Times New Roman" w:eastAsia="Calibri" w:hAnsi="Times New Roman" w:cs="Times New Roman"/>
                <w:b/>
                <w:szCs w:val="24"/>
              </w:rPr>
            </w:pPr>
            <w:r w:rsidRPr="00D41BD8">
              <w:rPr>
                <w:rFonts w:ascii="Times New Roman" w:eastAsia="Calibri" w:hAnsi="Times New Roman" w:cs="Times New Roman"/>
                <w:b/>
                <w:szCs w:val="24"/>
              </w:rPr>
              <w:t>Les utilisateurs de l’information comptable visés</w:t>
            </w:r>
          </w:p>
        </w:tc>
        <w:tc>
          <w:tcPr>
            <w:tcW w:w="2863" w:type="dxa"/>
            <w:vAlign w:val="center"/>
          </w:tcPr>
          <w:p w:rsidR="00D41BD8" w:rsidRPr="00D41BD8" w:rsidRDefault="00D41BD8" w:rsidP="00D41BD8">
            <w:pPr>
              <w:spacing w:before="0" w:beforeAutospacing="0" w:after="0" w:afterAutospacing="0" w:line="276" w:lineRule="auto"/>
              <w:rPr>
                <w:rFonts w:ascii="Times New Roman" w:eastAsia="Calibri" w:hAnsi="Times New Roman" w:cs="Times New Roman"/>
                <w:szCs w:val="24"/>
              </w:rPr>
            </w:pPr>
            <w:r w:rsidRPr="00D41BD8">
              <w:rPr>
                <w:rFonts w:ascii="Times New Roman" w:eastAsia="Calibri" w:hAnsi="Times New Roman" w:cs="Times New Roman"/>
                <w:szCs w:val="24"/>
              </w:rPr>
              <w:t>Essentiellement les investisseurs (actuels et potentiels)</w:t>
            </w:r>
          </w:p>
        </w:tc>
        <w:tc>
          <w:tcPr>
            <w:tcW w:w="2863" w:type="dxa"/>
            <w:vAlign w:val="center"/>
          </w:tcPr>
          <w:p w:rsidR="00D41BD8" w:rsidRPr="00D41BD8" w:rsidRDefault="00D41BD8" w:rsidP="00D41BD8">
            <w:pPr>
              <w:spacing w:before="0" w:beforeAutospacing="0" w:after="0" w:afterAutospacing="0" w:line="276" w:lineRule="auto"/>
              <w:rPr>
                <w:rFonts w:ascii="Times New Roman" w:eastAsia="Calibri" w:hAnsi="Times New Roman" w:cs="Times New Roman"/>
                <w:szCs w:val="24"/>
              </w:rPr>
            </w:pPr>
            <w:r w:rsidRPr="00D41BD8">
              <w:rPr>
                <w:rFonts w:ascii="Times New Roman" w:eastAsia="Calibri" w:hAnsi="Times New Roman" w:cs="Times New Roman"/>
                <w:szCs w:val="24"/>
              </w:rPr>
              <w:t>Une gamme relativement étendue (associés, créanciers, Etat, fisc, personnel…)</w:t>
            </w:r>
          </w:p>
        </w:tc>
      </w:tr>
      <w:tr w:rsidR="00D41BD8" w:rsidRPr="00D41BD8" w:rsidTr="00F61BE2">
        <w:trPr>
          <w:trHeight w:val="995"/>
          <w:jc w:val="center"/>
        </w:trPr>
        <w:tc>
          <w:tcPr>
            <w:tcW w:w="2862" w:type="dxa"/>
            <w:vAlign w:val="center"/>
          </w:tcPr>
          <w:p w:rsidR="00D41BD8" w:rsidRPr="00D41BD8" w:rsidRDefault="00D41BD8" w:rsidP="00D41BD8">
            <w:pPr>
              <w:spacing w:before="0" w:beforeAutospacing="0" w:after="0" w:afterAutospacing="0" w:line="276" w:lineRule="auto"/>
              <w:jc w:val="left"/>
              <w:rPr>
                <w:rFonts w:ascii="Times New Roman" w:eastAsia="Calibri" w:hAnsi="Times New Roman" w:cs="Times New Roman"/>
                <w:b/>
                <w:szCs w:val="24"/>
              </w:rPr>
            </w:pPr>
            <w:r w:rsidRPr="00D41BD8">
              <w:rPr>
                <w:rFonts w:ascii="Times New Roman" w:eastAsia="Calibri" w:hAnsi="Times New Roman" w:cs="Times New Roman"/>
                <w:b/>
                <w:szCs w:val="24"/>
              </w:rPr>
              <w:t>Principes comptables privilégiés</w:t>
            </w:r>
          </w:p>
        </w:tc>
        <w:tc>
          <w:tcPr>
            <w:tcW w:w="2863" w:type="dxa"/>
            <w:vAlign w:val="center"/>
          </w:tcPr>
          <w:p w:rsidR="00D41BD8" w:rsidRPr="00D41BD8" w:rsidRDefault="00D41BD8" w:rsidP="00D41BD8">
            <w:pPr>
              <w:spacing w:before="0" w:beforeAutospacing="0" w:after="0" w:afterAutospacing="0" w:line="276" w:lineRule="auto"/>
              <w:rPr>
                <w:rFonts w:ascii="Times New Roman" w:eastAsia="Calibri" w:hAnsi="Times New Roman" w:cs="Times New Roman"/>
                <w:szCs w:val="24"/>
                <w:lang w:val="en-GB"/>
              </w:rPr>
            </w:pPr>
            <w:r w:rsidRPr="00D41BD8">
              <w:rPr>
                <w:rFonts w:ascii="Times New Roman" w:eastAsia="Calibri" w:hAnsi="Times New Roman" w:cs="Times New Roman"/>
                <w:szCs w:val="24"/>
                <w:lang w:val="en-US"/>
              </w:rPr>
              <w:t xml:space="preserve">Le </w:t>
            </w:r>
            <w:proofErr w:type="spellStart"/>
            <w:r w:rsidRPr="00D41BD8">
              <w:rPr>
                <w:rFonts w:ascii="Times New Roman" w:eastAsia="Calibri" w:hAnsi="Times New Roman" w:cs="Times New Roman"/>
                <w:szCs w:val="24"/>
                <w:lang w:val="en-US"/>
              </w:rPr>
              <w:t>principe</w:t>
            </w:r>
            <w:proofErr w:type="spellEnd"/>
            <w:r w:rsidRPr="00D41BD8">
              <w:rPr>
                <w:rFonts w:ascii="Times New Roman" w:eastAsia="Calibri" w:hAnsi="Times New Roman" w:cs="Times New Roman"/>
                <w:szCs w:val="24"/>
                <w:lang w:val="en-US"/>
              </w:rPr>
              <w:t xml:space="preserve"> de                       </w:t>
            </w:r>
            <w:r w:rsidRPr="00D41BD8">
              <w:rPr>
                <w:rFonts w:ascii="Times New Roman" w:eastAsia="Calibri" w:hAnsi="Times New Roman" w:cs="Times New Roman"/>
                <w:i/>
                <w:szCs w:val="24"/>
                <w:lang w:val="en-GB"/>
              </w:rPr>
              <w:t>true and fair view</w:t>
            </w:r>
          </w:p>
          <w:p w:rsidR="00D41BD8" w:rsidRPr="00D41BD8" w:rsidRDefault="00D41BD8" w:rsidP="00D41BD8">
            <w:pPr>
              <w:spacing w:before="0" w:beforeAutospacing="0" w:after="0" w:afterAutospacing="0" w:line="276" w:lineRule="auto"/>
              <w:rPr>
                <w:rFonts w:ascii="Times New Roman" w:eastAsia="Calibri" w:hAnsi="Times New Roman" w:cs="Times New Roman"/>
                <w:szCs w:val="24"/>
              </w:rPr>
            </w:pPr>
            <w:r w:rsidRPr="00D41BD8">
              <w:rPr>
                <w:rFonts w:ascii="Times New Roman" w:eastAsia="Calibri" w:hAnsi="Times New Roman" w:cs="Times New Roman"/>
                <w:szCs w:val="24"/>
              </w:rPr>
              <w:t xml:space="preserve">Le principe de              </w:t>
            </w:r>
            <w:r w:rsidRPr="00D41BD8">
              <w:rPr>
                <w:rFonts w:ascii="Times New Roman" w:eastAsia="Calibri" w:hAnsi="Times New Roman" w:cs="Times New Roman"/>
                <w:i/>
                <w:szCs w:val="24"/>
              </w:rPr>
              <w:t xml:space="preserve">substance over </w:t>
            </w:r>
            <w:proofErr w:type="spellStart"/>
            <w:r w:rsidRPr="00D41BD8">
              <w:rPr>
                <w:rFonts w:ascii="Times New Roman" w:eastAsia="Calibri" w:hAnsi="Times New Roman" w:cs="Times New Roman"/>
                <w:i/>
                <w:szCs w:val="24"/>
              </w:rPr>
              <w:t>form</w:t>
            </w:r>
            <w:proofErr w:type="spellEnd"/>
          </w:p>
        </w:tc>
        <w:tc>
          <w:tcPr>
            <w:tcW w:w="2863" w:type="dxa"/>
            <w:vAlign w:val="center"/>
          </w:tcPr>
          <w:p w:rsidR="00D41BD8" w:rsidRPr="00D41BD8" w:rsidRDefault="00D41BD8" w:rsidP="00D41BD8">
            <w:pPr>
              <w:spacing w:before="0" w:beforeAutospacing="0" w:after="0" w:afterAutospacing="0" w:line="276" w:lineRule="auto"/>
              <w:rPr>
                <w:rFonts w:ascii="Times New Roman" w:eastAsia="Calibri" w:hAnsi="Times New Roman" w:cs="Times New Roman"/>
                <w:szCs w:val="24"/>
              </w:rPr>
            </w:pPr>
            <w:r w:rsidRPr="00D41BD8">
              <w:rPr>
                <w:rFonts w:ascii="Times New Roman" w:eastAsia="Calibri" w:hAnsi="Times New Roman" w:cs="Times New Roman"/>
                <w:szCs w:val="24"/>
              </w:rPr>
              <w:t>Le principe de régularité (conformité de la pratique à la règle)</w:t>
            </w:r>
          </w:p>
        </w:tc>
      </w:tr>
      <w:tr w:rsidR="00D41BD8" w:rsidRPr="00D41BD8" w:rsidTr="00F61BE2">
        <w:trPr>
          <w:trHeight w:val="641"/>
          <w:jc w:val="center"/>
        </w:trPr>
        <w:tc>
          <w:tcPr>
            <w:tcW w:w="2862" w:type="dxa"/>
            <w:vAlign w:val="center"/>
          </w:tcPr>
          <w:p w:rsidR="00D41BD8" w:rsidRPr="00D41BD8" w:rsidRDefault="00D41BD8" w:rsidP="00D41BD8">
            <w:pPr>
              <w:spacing w:before="0" w:beforeAutospacing="0" w:after="0" w:afterAutospacing="0" w:line="276" w:lineRule="auto"/>
              <w:jc w:val="left"/>
              <w:rPr>
                <w:rFonts w:ascii="Times New Roman" w:eastAsia="Calibri" w:hAnsi="Times New Roman" w:cs="Times New Roman"/>
                <w:b/>
                <w:szCs w:val="24"/>
              </w:rPr>
            </w:pPr>
            <w:r w:rsidRPr="00D41BD8">
              <w:rPr>
                <w:rFonts w:ascii="Times New Roman" w:eastAsia="Calibri" w:hAnsi="Times New Roman" w:cs="Times New Roman"/>
                <w:b/>
                <w:szCs w:val="24"/>
              </w:rPr>
              <w:t>Latitude laissée aux professionnels de la comptabilité</w:t>
            </w:r>
          </w:p>
        </w:tc>
        <w:tc>
          <w:tcPr>
            <w:tcW w:w="2863" w:type="dxa"/>
            <w:vAlign w:val="center"/>
          </w:tcPr>
          <w:p w:rsidR="00D41BD8" w:rsidRPr="00D41BD8" w:rsidRDefault="00D41BD8" w:rsidP="00D41BD8">
            <w:pPr>
              <w:spacing w:before="0" w:beforeAutospacing="0" w:after="0" w:afterAutospacing="0" w:line="276" w:lineRule="auto"/>
              <w:rPr>
                <w:rFonts w:ascii="Times New Roman" w:eastAsia="Calibri" w:hAnsi="Times New Roman" w:cs="Times New Roman"/>
                <w:szCs w:val="24"/>
              </w:rPr>
            </w:pPr>
            <w:r w:rsidRPr="00D41BD8">
              <w:rPr>
                <w:rFonts w:ascii="Times New Roman" w:eastAsia="Calibri" w:hAnsi="Times New Roman" w:cs="Times New Roman"/>
                <w:szCs w:val="24"/>
              </w:rPr>
              <w:t>Etendue</w:t>
            </w:r>
          </w:p>
        </w:tc>
        <w:tc>
          <w:tcPr>
            <w:tcW w:w="2863" w:type="dxa"/>
            <w:vAlign w:val="center"/>
          </w:tcPr>
          <w:p w:rsidR="00D41BD8" w:rsidRPr="00D41BD8" w:rsidRDefault="00D41BD8" w:rsidP="00D41BD8">
            <w:pPr>
              <w:spacing w:before="0" w:beforeAutospacing="0" w:after="0" w:afterAutospacing="0" w:line="276" w:lineRule="auto"/>
              <w:rPr>
                <w:rFonts w:ascii="Times New Roman" w:eastAsia="Calibri" w:hAnsi="Times New Roman" w:cs="Times New Roman"/>
                <w:szCs w:val="24"/>
              </w:rPr>
            </w:pPr>
            <w:r w:rsidRPr="00D41BD8">
              <w:rPr>
                <w:rFonts w:ascii="Times New Roman" w:eastAsia="Calibri" w:hAnsi="Times New Roman" w:cs="Times New Roman"/>
                <w:szCs w:val="24"/>
              </w:rPr>
              <w:t>Faible</w:t>
            </w:r>
          </w:p>
        </w:tc>
      </w:tr>
      <w:tr w:rsidR="00D41BD8" w:rsidRPr="00D41BD8" w:rsidTr="00F61BE2">
        <w:trPr>
          <w:trHeight w:val="474"/>
          <w:jc w:val="center"/>
        </w:trPr>
        <w:tc>
          <w:tcPr>
            <w:tcW w:w="2862" w:type="dxa"/>
            <w:vAlign w:val="center"/>
          </w:tcPr>
          <w:p w:rsidR="00D41BD8" w:rsidRPr="00D41BD8" w:rsidRDefault="00D41BD8" w:rsidP="00D41BD8">
            <w:pPr>
              <w:spacing w:before="0" w:beforeAutospacing="0" w:after="0" w:afterAutospacing="0" w:line="276" w:lineRule="auto"/>
              <w:jc w:val="left"/>
              <w:rPr>
                <w:rFonts w:ascii="Times New Roman" w:eastAsia="Calibri" w:hAnsi="Times New Roman" w:cs="Times New Roman"/>
                <w:b/>
                <w:szCs w:val="24"/>
              </w:rPr>
            </w:pPr>
            <w:r w:rsidRPr="00D41BD8">
              <w:rPr>
                <w:rFonts w:ascii="Times New Roman" w:eastAsia="Calibri" w:hAnsi="Times New Roman" w:cs="Times New Roman"/>
                <w:b/>
                <w:szCs w:val="24"/>
              </w:rPr>
              <w:t>Lien entre fiscalité et comptabilité</w:t>
            </w:r>
          </w:p>
        </w:tc>
        <w:tc>
          <w:tcPr>
            <w:tcW w:w="2863" w:type="dxa"/>
            <w:vAlign w:val="center"/>
          </w:tcPr>
          <w:p w:rsidR="00D41BD8" w:rsidRPr="00D41BD8" w:rsidRDefault="00D41BD8" w:rsidP="00D41BD8">
            <w:pPr>
              <w:spacing w:before="0" w:beforeAutospacing="0" w:after="0" w:afterAutospacing="0" w:line="276" w:lineRule="auto"/>
              <w:rPr>
                <w:rFonts w:ascii="Times New Roman" w:eastAsia="Calibri" w:hAnsi="Times New Roman" w:cs="Times New Roman"/>
                <w:szCs w:val="24"/>
              </w:rPr>
            </w:pPr>
            <w:r w:rsidRPr="00D41BD8">
              <w:rPr>
                <w:rFonts w:ascii="Times New Roman" w:eastAsia="Calibri" w:hAnsi="Times New Roman" w:cs="Times New Roman"/>
                <w:szCs w:val="24"/>
              </w:rPr>
              <w:t>Faible</w:t>
            </w:r>
          </w:p>
        </w:tc>
        <w:tc>
          <w:tcPr>
            <w:tcW w:w="2863" w:type="dxa"/>
            <w:vAlign w:val="center"/>
          </w:tcPr>
          <w:p w:rsidR="00D41BD8" w:rsidRPr="00D41BD8" w:rsidRDefault="00D41BD8" w:rsidP="00D41BD8">
            <w:pPr>
              <w:spacing w:before="0" w:beforeAutospacing="0" w:after="0" w:afterAutospacing="0" w:line="276" w:lineRule="auto"/>
              <w:rPr>
                <w:rFonts w:ascii="Times New Roman" w:eastAsia="Calibri" w:hAnsi="Times New Roman" w:cs="Times New Roman"/>
                <w:szCs w:val="24"/>
              </w:rPr>
            </w:pPr>
            <w:r w:rsidRPr="00D41BD8">
              <w:rPr>
                <w:rFonts w:ascii="Times New Roman" w:eastAsia="Calibri" w:hAnsi="Times New Roman" w:cs="Times New Roman"/>
                <w:szCs w:val="24"/>
              </w:rPr>
              <w:t>Fort</w:t>
            </w:r>
          </w:p>
        </w:tc>
      </w:tr>
      <w:tr w:rsidR="00D41BD8" w:rsidRPr="00D41BD8" w:rsidTr="00F61BE2">
        <w:trPr>
          <w:trHeight w:val="301"/>
          <w:jc w:val="center"/>
        </w:trPr>
        <w:tc>
          <w:tcPr>
            <w:tcW w:w="2862" w:type="dxa"/>
            <w:vAlign w:val="center"/>
          </w:tcPr>
          <w:p w:rsidR="00D41BD8" w:rsidRPr="00D41BD8" w:rsidRDefault="00D41BD8" w:rsidP="00D41BD8">
            <w:pPr>
              <w:spacing w:before="0" w:beforeAutospacing="0" w:after="0" w:afterAutospacing="0" w:line="276" w:lineRule="auto"/>
              <w:jc w:val="left"/>
              <w:rPr>
                <w:rFonts w:ascii="Times New Roman" w:eastAsia="Calibri" w:hAnsi="Times New Roman" w:cs="Times New Roman"/>
                <w:b/>
                <w:szCs w:val="24"/>
              </w:rPr>
            </w:pPr>
            <w:r w:rsidRPr="00D41BD8">
              <w:rPr>
                <w:rFonts w:ascii="Times New Roman" w:eastAsia="Calibri" w:hAnsi="Times New Roman" w:cs="Times New Roman"/>
                <w:b/>
                <w:szCs w:val="24"/>
              </w:rPr>
              <w:t>Rôle de la comptabilité</w:t>
            </w:r>
          </w:p>
        </w:tc>
        <w:tc>
          <w:tcPr>
            <w:tcW w:w="2863" w:type="dxa"/>
            <w:vAlign w:val="center"/>
          </w:tcPr>
          <w:p w:rsidR="00D41BD8" w:rsidRPr="00D41BD8" w:rsidRDefault="00D41BD8" w:rsidP="00D41BD8">
            <w:pPr>
              <w:spacing w:before="0" w:beforeAutospacing="0" w:after="0" w:afterAutospacing="0" w:line="276" w:lineRule="auto"/>
              <w:rPr>
                <w:rFonts w:ascii="Times New Roman" w:eastAsia="Calibri" w:hAnsi="Times New Roman" w:cs="Times New Roman"/>
                <w:szCs w:val="24"/>
              </w:rPr>
            </w:pPr>
            <w:r w:rsidRPr="00D41BD8">
              <w:rPr>
                <w:rFonts w:ascii="Times New Roman" w:eastAsia="Calibri" w:hAnsi="Times New Roman" w:cs="Times New Roman"/>
                <w:szCs w:val="24"/>
              </w:rPr>
              <w:t>Aide à la décision</w:t>
            </w:r>
          </w:p>
        </w:tc>
        <w:tc>
          <w:tcPr>
            <w:tcW w:w="2863" w:type="dxa"/>
            <w:vAlign w:val="center"/>
          </w:tcPr>
          <w:p w:rsidR="00D41BD8" w:rsidRPr="00D41BD8" w:rsidRDefault="00D41BD8" w:rsidP="00D41BD8">
            <w:pPr>
              <w:spacing w:before="0" w:beforeAutospacing="0" w:after="0" w:afterAutospacing="0" w:line="276" w:lineRule="auto"/>
              <w:rPr>
                <w:rFonts w:ascii="Times New Roman" w:eastAsia="Calibri" w:hAnsi="Times New Roman" w:cs="Times New Roman"/>
                <w:szCs w:val="24"/>
              </w:rPr>
            </w:pPr>
            <w:r w:rsidRPr="00D41BD8">
              <w:rPr>
                <w:rFonts w:ascii="Times New Roman" w:eastAsia="Calibri" w:hAnsi="Times New Roman" w:cs="Times New Roman"/>
                <w:szCs w:val="24"/>
              </w:rPr>
              <w:t>Reddition de compte</w:t>
            </w:r>
          </w:p>
        </w:tc>
      </w:tr>
    </w:tbl>
    <w:p w:rsidR="00D41BD8" w:rsidRPr="00D41BD8" w:rsidRDefault="00D41BD8" w:rsidP="00D41BD8">
      <w:pPr>
        <w:spacing w:before="0" w:beforeAutospacing="0" w:after="0" w:afterAutospacing="0" w:line="276" w:lineRule="auto"/>
        <w:ind w:firstLine="284"/>
        <w:jc w:val="both"/>
        <w:rPr>
          <w:rFonts w:ascii="Times New Roman" w:eastAsia="Times New Roman" w:hAnsi="Times New Roman" w:cs="Times New Roman"/>
          <w:b/>
          <w:sz w:val="24"/>
          <w:szCs w:val="24"/>
          <w:u w:val="single"/>
          <w:lang w:eastAsia="fr-FR"/>
        </w:rPr>
      </w:pPr>
    </w:p>
    <w:p w:rsidR="00D41BD8" w:rsidRPr="00D41BD8" w:rsidRDefault="00D41BD8" w:rsidP="00D41BD8">
      <w:pPr>
        <w:spacing w:before="0" w:beforeAutospacing="0" w:after="200" w:afterAutospacing="0" w:line="276" w:lineRule="auto"/>
        <w:ind w:firstLine="284"/>
        <w:jc w:val="both"/>
        <w:rPr>
          <w:rFonts w:ascii="Times New Roman" w:eastAsia="Times New Roman" w:hAnsi="Times New Roman" w:cs="Times New Roman"/>
          <w:sz w:val="24"/>
          <w:szCs w:val="24"/>
          <w:lang w:eastAsia="fr-FR"/>
        </w:rPr>
      </w:pPr>
      <w:r w:rsidRPr="00D41BD8">
        <w:rPr>
          <w:rFonts w:ascii="Times New Roman" w:eastAsia="Times New Roman" w:hAnsi="Times New Roman" w:cs="Times New Roman"/>
          <w:b/>
          <w:sz w:val="24"/>
          <w:szCs w:val="24"/>
          <w:u w:val="single"/>
          <w:lang w:eastAsia="fr-FR"/>
        </w:rPr>
        <w:t>Source </w:t>
      </w:r>
      <w:r w:rsidRPr="00D41BD8">
        <w:rPr>
          <w:rFonts w:ascii="Times New Roman" w:eastAsia="Times New Roman" w:hAnsi="Times New Roman" w:cs="Times New Roman"/>
          <w:b/>
          <w:sz w:val="24"/>
          <w:szCs w:val="24"/>
          <w:lang w:eastAsia="fr-FR"/>
        </w:rPr>
        <w:t>:</w:t>
      </w:r>
      <w:r w:rsidRPr="00D41BD8">
        <w:rPr>
          <w:rFonts w:ascii="Times New Roman" w:eastAsia="Times New Roman" w:hAnsi="Times New Roman" w:cs="Times New Roman"/>
          <w:sz w:val="24"/>
          <w:szCs w:val="24"/>
          <w:lang w:eastAsia="fr-FR"/>
        </w:rPr>
        <w:t xml:space="preserve"> B. </w:t>
      </w:r>
      <w:proofErr w:type="spellStart"/>
      <w:r w:rsidRPr="00D41BD8">
        <w:rPr>
          <w:rFonts w:ascii="Times New Roman" w:eastAsia="Times New Roman" w:hAnsi="Times New Roman" w:cs="Times New Roman"/>
          <w:sz w:val="24"/>
          <w:szCs w:val="24"/>
          <w:lang w:eastAsia="fr-FR"/>
        </w:rPr>
        <w:t>Colasse</w:t>
      </w:r>
      <w:proofErr w:type="spellEnd"/>
      <w:r w:rsidRPr="00D41BD8">
        <w:rPr>
          <w:rFonts w:ascii="Times New Roman" w:eastAsia="Times New Roman" w:hAnsi="Times New Roman" w:cs="Times New Roman"/>
          <w:sz w:val="24"/>
          <w:szCs w:val="24"/>
          <w:lang w:eastAsia="fr-FR"/>
        </w:rPr>
        <w:t>, « </w:t>
      </w:r>
      <w:r w:rsidRPr="00D41BD8">
        <w:rPr>
          <w:rFonts w:ascii="Times New Roman" w:eastAsia="Times New Roman" w:hAnsi="Times New Roman" w:cs="Times New Roman"/>
          <w:iCs/>
          <w:sz w:val="24"/>
          <w:szCs w:val="24"/>
          <w:lang w:eastAsia="fr-FR"/>
        </w:rPr>
        <w:t>Les fondements de la comptabilité</w:t>
      </w:r>
      <w:r w:rsidRPr="00D41BD8">
        <w:rPr>
          <w:rFonts w:ascii="Times New Roman" w:eastAsia="Times New Roman" w:hAnsi="Times New Roman" w:cs="Times New Roman"/>
          <w:i/>
          <w:iCs/>
          <w:sz w:val="24"/>
          <w:szCs w:val="24"/>
          <w:lang w:eastAsia="fr-FR"/>
        </w:rPr>
        <w:t> »,</w:t>
      </w:r>
      <w:r w:rsidRPr="00D41BD8">
        <w:rPr>
          <w:rFonts w:ascii="Times New Roman" w:eastAsia="Times New Roman" w:hAnsi="Times New Roman" w:cs="Times New Roman"/>
          <w:sz w:val="24"/>
          <w:szCs w:val="24"/>
          <w:lang w:eastAsia="fr-FR"/>
        </w:rPr>
        <w:t xml:space="preserve"> Paris: Editions la Découverte, 2007.</w:t>
      </w:r>
    </w:p>
    <w:p w:rsidR="00D41BD8" w:rsidRDefault="00D41BD8" w:rsidP="00D41BD8">
      <w:pPr>
        <w:spacing w:before="0" w:beforeAutospacing="0" w:after="200" w:afterAutospacing="0" w:line="276" w:lineRule="auto"/>
        <w:ind w:firstLine="284"/>
        <w:jc w:val="both"/>
        <w:rPr>
          <w:rFonts w:ascii="Times New Roman" w:eastAsia="Times New Roman" w:hAnsi="Times New Roman" w:cs="Times New Roman"/>
          <w:sz w:val="24"/>
          <w:szCs w:val="24"/>
          <w:lang w:eastAsia="fr-FR"/>
        </w:rPr>
      </w:pPr>
    </w:p>
    <w:p w:rsidR="00D41BD8" w:rsidRDefault="00D41BD8" w:rsidP="00D41BD8">
      <w:pPr>
        <w:spacing w:before="0" w:beforeAutospacing="0" w:after="200" w:afterAutospacing="0" w:line="276" w:lineRule="auto"/>
        <w:ind w:firstLine="284"/>
        <w:jc w:val="both"/>
        <w:rPr>
          <w:rFonts w:ascii="Times New Roman" w:eastAsia="Times New Roman" w:hAnsi="Times New Roman" w:cs="Times New Roman"/>
          <w:sz w:val="24"/>
          <w:szCs w:val="24"/>
          <w:lang w:eastAsia="fr-FR"/>
        </w:rPr>
      </w:pPr>
    </w:p>
    <w:p w:rsidR="00D41BD8" w:rsidRDefault="00D41BD8" w:rsidP="00D41BD8">
      <w:pPr>
        <w:spacing w:before="0" w:beforeAutospacing="0" w:after="200" w:afterAutospacing="0" w:line="276" w:lineRule="auto"/>
        <w:ind w:firstLine="284"/>
        <w:jc w:val="both"/>
        <w:rPr>
          <w:rFonts w:ascii="Times New Roman" w:eastAsia="Times New Roman" w:hAnsi="Times New Roman" w:cs="Times New Roman"/>
          <w:sz w:val="24"/>
          <w:szCs w:val="24"/>
          <w:lang w:eastAsia="fr-FR"/>
        </w:rPr>
      </w:pPr>
    </w:p>
    <w:p w:rsidR="00D41BD8" w:rsidRDefault="00D41BD8" w:rsidP="00D41BD8">
      <w:pPr>
        <w:spacing w:before="0" w:beforeAutospacing="0" w:after="200" w:afterAutospacing="0" w:line="276" w:lineRule="auto"/>
        <w:ind w:firstLine="284"/>
        <w:jc w:val="both"/>
        <w:rPr>
          <w:rFonts w:ascii="Times New Roman" w:eastAsia="Times New Roman" w:hAnsi="Times New Roman" w:cs="Times New Roman"/>
          <w:sz w:val="24"/>
          <w:szCs w:val="24"/>
          <w:lang w:eastAsia="fr-FR"/>
        </w:rPr>
      </w:pPr>
    </w:p>
    <w:p w:rsidR="00D41BD8" w:rsidRDefault="00D41BD8" w:rsidP="00D41BD8">
      <w:pPr>
        <w:spacing w:before="0" w:beforeAutospacing="0" w:after="200" w:afterAutospacing="0" w:line="276" w:lineRule="auto"/>
        <w:ind w:firstLine="284"/>
        <w:jc w:val="both"/>
        <w:rPr>
          <w:rFonts w:ascii="Times New Roman" w:eastAsia="Times New Roman" w:hAnsi="Times New Roman" w:cs="Times New Roman"/>
          <w:sz w:val="24"/>
          <w:szCs w:val="24"/>
          <w:lang w:eastAsia="fr-FR"/>
        </w:rPr>
      </w:pPr>
    </w:p>
    <w:p w:rsidR="00D41BD8" w:rsidRDefault="00D41BD8" w:rsidP="00D41BD8">
      <w:pPr>
        <w:spacing w:before="0" w:beforeAutospacing="0" w:after="200" w:afterAutospacing="0" w:line="276" w:lineRule="auto"/>
        <w:ind w:firstLine="284"/>
        <w:jc w:val="both"/>
        <w:rPr>
          <w:rFonts w:ascii="Times New Roman" w:eastAsia="Times New Roman" w:hAnsi="Times New Roman" w:cs="Times New Roman"/>
          <w:sz w:val="24"/>
          <w:szCs w:val="24"/>
          <w:lang w:eastAsia="fr-FR"/>
        </w:rPr>
      </w:pPr>
    </w:p>
    <w:p w:rsidR="00D41BD8" w:rsidRDefault="00D41BD8" w:rsidP="00D41BD8">
      <w:pPr>
        <w:spacing w:before="0" w:beforeAutospacing="0" w:after="200" w:afterAutospacing="0" w:line="276" w:lineRule="auto"/>
        <w:ind w:firstLine="284"/>
        <w:jc w:val="both"/>
        <w:rPr>
          <w:rFonts w:ascii="Times New Roman" w:eastAsia="Times New Roman" w:hAnsi="Times New Roman" w:cs="Times New Roman"/>
          <w:sz w:val="24"/>
          <w:szCs w:val="24"/>
          <w:lang w:eastAsia="fr-FR"/>
        </w:rPr>
      </w:pPr>
    </w:p>
    <w:p w:rsidR="00D41BD8" w:rsidRDefault="00D41BD8" w:rsidP="00D41BD8">
      <w:pPr>
        <w:spacing w:before="0" w:beforeAutospacing="0" w:after="200" w:afterAutospacing="0" w:line="276" w:lineRule="auto"/>
        <w:ind w:firstLine="284"/>
        <w:jc w:val="both"/>
        <w:rPr>
          <w:rFonts w:ascii="Times New Roman" w:eastAsia="Times New Roman" w:hAnsi="Times New Roman" w:cs="Times New Roman"/>
          <w:sz w:val="24"/>
          <w:szCs w:val="24"/>
          <w:lang w:eastAsia="fr-FR"/>
        </w:rPr>
      </w:pPr>
    </w:p>
    <w:p w:rsidR="00D41BD8" w:rsidRDefault="00D41BD8" w:rsidP="00D41BD8">
      <w:pPr>
        <w:spacing w:before="0" w:beforeAutospacing="0" w:after="200" w:afterAutospacing="0" w:line="276" w:lineRule="auto"/>
        <w:ind w:firstLine="284"/>
        <w:jc w:val="both"/>
        <w:rPr>
          <w:rFonts w:ascii="Times New Roman" w:eastAsia="Times New Roman" w:hAnsi="Times New Roman" w:cs="Times New Roman"/>
          <w:sz w:val="24"/>
          <w:szCs w:val="24"/>
          <w:lang w:eastAsia="fr-FR"/>
        </w:rPr>
      </w:pPr>
    </w:p>
    <w:p w:rsidR="00D41BD8" w:rsidRDefault="00D41BD8" w:rsidP="00D41BD8">
      <w:pPr>
        <w:spacing w:before="0" w:beforeAutospacing="0" w:after="200" w:afterAutospacing="0" w:line="276" w:lineRule="auto"/>
        <w:ind w:firstLine="284"/>
        <w:jc w:val="both"/>
        <w:rPr>
          <w:rFonts w:ascii="Times New Roman" w:eastAsia="Times New Roman" w:hAnsi="Times New Roman" w:cs="Times New Roman"/>
          <w:sz w:val="24"/>
          <w:szCs w:val="24"/>
          <w:lang w:eastAsia="fr-FR"/>
        </w:rPr>
      </w:pPr>
    </w:p>
    <w:p w:rsidR="00D41BD8" w:rsidRDefault="00D41BD8" w:rsidP="00D41BD8">
      <w:pPr>
        <w:spacing w:before="0" w:beforeAutospacing="0" w:after="200" w:afterAutospacing="0" w:line="276" w:lineRule="auto"/>
        <w:ind w:firstLine="284"/>
        <w:jc w:val="both"/>
        <w:rPr>
          <w:rFonts w:ascii="Times New Roman" w:eastAsia="Times New Roman" w:hAnsi="Times New Roman" w:cs="Times New Roman"/>
          <w:sz w:val="24"/>
          <w:szCs w:val="24"/>
          <w:lang w:eastAsia="fr-FR"/>
        </w:rPr>
      </w:pPr>
    </w:p>
    <w:p w:rsidR="00D41BD8" w:rsidRDefault="00D41BD8" w:rsidP="00D41BD8">
      <w:pPr>
        <w:spacing w:before="0" w:beforeAutospacing="0" w:after="200" w:afterAutospacing="0" w:line="276" w:lineRule="auto"/>
        <w:ind w:firstLine="284"/>
        <w:jc w:val="both"/>
        <w:rPr>
          <w:rFonts w:ascii="Times New Roman" w:eastAsia="Times New Roman" w:hAnsi="Times New Roman" w:cs="Times New Roman"/>
          <w:sz w:val="24"/>
          <w:szCs w:val="24"/>
          <w:lang w:eastAsia="fr-FR"/>
        </w:rPr>
      </w:pPr>
    </w:p>
    <w:p w:rsidR="00D41BD8" w:rsidRDefault="00D41BD8" w:rsidP="00D41BD8">
      <w:pPr>
        <w:spacing w:before="0" w:beforeAutospacing="0" w:after="200" w:afterAutospacing="0" w:line="276" w:lineRule="auto"/>
        <w:ind w:firstLine="284"/>
        <w:jc w:val="both"/>
        <w:rPr>
          <w:rFonts w:ascii="Times New Roman" w:eastAsia="Times New Roman" w:hAnsi="Times New Roman" w:cs="Times New Roman"/>
          <w:sz w:val="24"/>
          <w:szCs w:val="24"/>
          <w:lang w:eastAsia="fr-FR"/>
        </w:rPr>
      </w:pPr>
    </w:p>
    <w:p w:rsidR="00D41BD8" w:rsidRPr="00D41BD8" w:rsidRDefault="00D41BD8" w:rsidP="00D41BD8">
      <w:pPr>
        <w:spacing w:before="0" w:beforeAutospacing="0" w:after="200" w:afterAutospacing="0" w:line="276" w:lineRule="auto"/>
        <w:ind w:firstLine="284"/>
        <w:jc w:val="both"/>
        <w:rPr>
          <w:rFonts w:ascii="Times New Roman" w:eastAsia="Times New Roman" w:hAnsi="Times New Roman" w:cs="Times New Roman"/>
          <w:sz w:val="24"/>
          <w:szCs w:val="24"/>
          <w:lang w:eastAsia="fr-FR"/>
        </w:rPr>
      </w:pPr>
    </w:p>
    <w:p w:rsidR="00D41BD8" w:rsidRPr="00D41BD8" w:rsidRDefault="00D41BD8" w:rsidP="00D41BD8">
      <w:pPr>
        <w:spacing w:before="0" w:beforeAutospacing="0" w:after="200" w:afterAutospacing="0" w:line="276" w:lineRule="auto"/>
        <w:rPr>
          <w:rFonts w:ascii="Times New Roman" w:hAnsi="Times New Roman" w:cs="Times New Roman"/>
          <w:b/>
          <w:i/>
          <w:sz w:val="26"/>
          <w:szCs w:val="26"/>
        </w:rPr>
      </w:pPr>
      <w:r w:rsidRPr="00D41BD8">
        <w:rPr>
          <w:rFonts w:ascii="Times New Roman" w:hAnsi="Times New Roman" w:cs="Times New Roman"/>
          <w:b/>
          <w:i/>
          <w:sz w:val="26"/>
          <w:szCs w:val="26"/>
        </w:rPr>
        <w:lastRenderedPageBreak/>
        <w:t>Section 3 : Harmonisation comptable internationale : Histoire,  finalités et limites</w:t>
      </w:r>
    </w:p>
    <w:p w:rsidR="00D41BD8" w:rsidRPr="00D41BD8" w:rsidRDefault="00D41BD8" w:rsidP="00D41BD8">
      <w:pPr>
        <w:spacing w:before="0" w:beforeAutospacing="0" w:after="200" w:afterAutospacing="0" w:line="276" w:lineRule="auto"/>
        <w:ind w:firstLine="284"/>
        <w:jc w:val="both"/>
        <w:rPr>
          <w:rFonts w:ascii="Times New Roman" w:eastAsia="Times New Roman" w:hAnsi="Times New Roman" w:cs="Times New Roman"/>
          <w:sz w:val="24"/>
          <w:szCs w:val="24"/>
          <w:lang w:eastAsia="fr-FR"/>
        </w:rPr>
      </w:pPr>
      <w:r w:rsidRPr="00D41BD8">
        <w:rPr>
          <w:rFonts w:ascii="Times New Roman" w:eastAsia="Times New Roman" w:hAnsi="Times New Roman" w:cs="Times New Roman"/>
          <w:sz w:val="24"/>
          <w:szCs w:val="24"/>
          <w:lang w:eastAsia="fr-FR"/>
        </w:rPr>
        <w:t xml:space="preserve">Le paysage économique mondial a beaucoup changé au cours des quarante dernières années. Les progrès technologiques qui ont amplement facilité le mouvement des hommes et des marchandises conduisent à l’internationalisation des mouvements de capitaux. Si l’on admet que les règles et les pratiques comptables sont influencées par l’environnement dans lequel elles s’exercent, on peut s’attendre à ce que cette internationalisation économique et culturelle à laquelle on assiste depuis les années 1960 ait un impact sur la comptabilité, chose qu’on a bien décrit dans la section précédente. En revanche, l’objet de cette section consiste à fournir un aperçu détaillé sur l’histoire de l’évolution de la régulation comptable et déterminer l’importance de cette dernière par rapport aux différentes économies. </w:t>
      </w:r>
    </w:p>
    <w:p w:rsidR="00D41BD8" w:rsidRPr="00D41BD8" w:rsidRDefault="00D41BD8" w:rsidP="00D41BD8">
      <w:pPr>
        <w:spacing w:before="0" w:beforeAutospacing="0" w:after="200" w:afterAutospacing="0" w:line="276" w:lineRule="auto"/>
        <w:jc w:val="both"/>
        <w:rPr>
          <w:rFonts w:ascii="Times New Roman" w:hAnsi="Times New Roman" w:cs="Times New Roman"/>
          <w:b/>
          <w:iCs/>
          <w:sz w:val="26"/>
          <w:szCs w:val="26"/>
        </w:rPr>
      </w:pPr>
      <w:r w:rsidRPr="00D41BD8">
        <w:rPr>
          <w:rFonts w:ascii="Times New Roman" w:hAnsi="Times New Roman" w:cs="Times New Roman"/>
          <w:b/>
          <w:iCs/>
          <w:sz w:val="26"/>
          <w:szCs w:val="26"/>
        </w:rPr>
        <w:t>3.1. Harmonisation, normalisation et standardisation,  quelles différences ?</w:t>
      </w:r>
    </w:p>
    <w:p w:rsidR="00D41BD8" w:rsidRPr="00D41BD8" w:rsidRDefault="00D41BD8" w:rsidP="00D41BD8">
      <w:pPr>
        <w:spacing w:before="0" w:beforeAutospacing="0" w:after="200" w:afterAutospacing="0" w:line="276" w:lineRule="auto"/>
        <w:ind w:firstLine="284"/>
        <w:jc w:val="both"/>
        <w:rPr>
          <w:rFonts w:ascii="Times New Roman" w:hAnsi="Times New Roman" w:cs="Times New Roman"/>
          <w:sz w:val="24"/>
          <w:szCs w:val="24"/>
        </w:rPr>
      </w:pPr>
      <w:r w:rsidRPr="00D41BD8">
        <w:rPr>
          <w:rFonts w:ascii="Times New Roman" w:hAnsi="Times New Roman" w:cs="Times New Roman"/>
          <w:sz w:val="24"/>
          <w:szCs w:val="24"/>
        </w:rPr>
        <w:t>Le démantèlement du monde bipolaire, l’accélération de l’internationalisation des économies, le décloisonnement, la mondialisation et ses conséquences sur la globalisation financière qui en a résulté, ont placé la comptabilité, principale source de l'information financière, au cœur du fonctionnement des marchés financiers. Cette globalisation financière a rendu indispensable l’harmonisation à l'échelle mondiale de l'information financière fournie aux investisseurs.</w:t>
      </w:r>
    </w:p>
    <w:p w:rsidR="00D41BD8" w:rsidRPr="00D41BD8" w:rsidRDefault="00D41BD8" w:rsidP="00D41BD8">
      <w:pPr>
        <w:spacing w:before="0" w:beforeAutospacing="0" w:after="200" w:afterAutospacing="0" w:line="276" w:lineRule="auto"/>
        <w:jc w:val="both"/>
        <w:rPr>
          <w:rFonts w:ascii="Times New Roman" w:eastAsia="Times New Roman" w:hAnsi="Times New Roman" w:cs="Times New Roman"/>
          <w:b/>
          <w:i/>
          <w:sz w:val="24"/>
          <w:szCs w:val="24"/>
          <w:lang w:eastAsia="fr-FR"/>
        </w:rPr>
      </w:pPr>
      <w:r w:rsidRPr="00D41BD8">
        <w:rPr>
          <w:rFonts w:ascii="Times New Roman" w:eastAsia="Times New Roman" w:hAnsi="Times New Roman" w:cs="Times New Roman"/>
          <w:b/>
          <w:i/>
          <w:sz w:val="24"/>
          <w:szCs w:val="24"/>
          <w:lang w:eastAsia="fr-FR"/>
        </w:rPr>
        <w:t>3.1.1. Définition de l’harmonisation comptable internationale</w:t>
      </w:r>
    </w:p>
    <w:p w:rsidR="00D41BD8" w:rsidRPr="00D41BD8" w:rsidRDefault="00D41BD8" w:rsidP="00D41BD8">
      <w:pPr>
        <w:spacing w:before="0" w:beforeAutospacing="0" w:after="200" w:afterAutospacing="0" w:line="276" w:lineRule="auto"/>
        <w:ind w:firstLine="284"/>
        <w:jc w:val="both"/>
        <w:rPr>
          <w:rFonts w:ascii="Times New Roman" w:eastAsia="Times New Roman" w:hAnsi="Times New Roman" w:cs="Times New Roman"/>
          <w:sz w:val="24"/>
          <w:szCs w:val="24"/>
          <w:lang w:eastAsia="fr-FR"/>
        </w:rPr>
      </w:pPr>
      <w:r w:rsidRPr="00D41BD8">
        <w:rPr>
          <w:rFonts w:ascii="Times New Roman" w:eastAsia="Times New Roman" w:hAnsi="Times New Roman" w:cs="Times New Roman"/>
          <w:sz w:val="24"/>
          <w:szCs w:val="24"/>
          <w:lang w:eastAsia="fr-FR"/>
        </w:rPr>
        <w:t>Selon Barbu</w:t>
      </w:r>
      <w:r w:rsidRPr="00D41BD8">
        <w:rPr>
          <w:rFonts w:ascii="Times New Roman" w:eastAsia="Times New Roman" w:hAnsi="Times New Roman" w:cs="Times New Roman"/>
          <w:sz w:val="24"/>
          <w:szCs w:val="24"/>
          <w:vertAlign w:val="superscript"/>
          <w:lang w:eastAsia="fr-FR"/>
        </w:rPr>
        <w:footnoteReference w:id="36"/>
      </w:r>
      <w:r w:rsidRPr="00D41BD8">
        <w:rPr>
          <w:rFonts w:ascii="Times New Roman" w:eastAsia="Times New Roman" w:hAnsi="Times New Roman" w:cs="Times New Roman"/>
          <w:sz w:val="24"/>
          <w:szCs w:val="24"/>
          <w:lang w:eastAsia="fr-FR"/>
        </w:rPr>
        <w:t xml:space="preserve"> L’Harmonisation Comptable Internationale (HCI) vise à réduire la diversité des pratiques comptables afin de les rendre plus comparables et a comme but final l’adoption d’une seule règle comptable (telles que les normes comptables internationales de l’IASB) dont l’application est devenue universelle.</w:t>
      </w:r>
    </w:p>
    <w:p w:rsidR="00D41BD8" w:rsidRPr="00D41BD8" w:rsidRDefault="00D41BD8" w:rsidP="00D41BD8">
      <w:pPr>
        <w:spacing w:before="0" w:beforeAutospacing="0" w:after="200" w:afterAutospacing="0" w:line="276" w:lineRule="auto"/>
        <w:ind w:firstLine="284"/>
        <w:jc w:val="both"/>
        <w:rPr>
          <w:rFonts w:ascii="Times New Roman" w:eastAsia="Times New Roman" w:hAnsi="Times New Roman" w:cs="Times New Roman"/>
          <w:sz w:val="24"/>
          <w:szCs w:val="24"/>
          <w:lang w:eastAsia="fr-FR"/>
        </w:rPr>
      </w:pPr>
      <w:r w:rsidRPr="00D41BD8">
        <w:rPr>
          <w:rFonts w:ascii="Times New Roman" w:eastAsia="Times New Roman" w:hAnsi="Times New Roman" w:cs="Times New Roman"/>
          <w:sz w:val="24"/>
          <w:szCs w:val="24"/>
          <w:lang w:eastAsia="fr-FR"/>
        </w:rPr>
        <w:t xml:space="preserve">Mais il peut être constaté, par tout chercheur intéressé par la notion d’harmonisation comptable internationale, que plusieurs concepts sont utilisés dans ce cadre : on parle parfois d’harmonisation, mais également de normalisation et de standardisation comptable. Donc, il nous semble qu’il est nécessaire d’éclaircir la signification de ces différents concepts ainsi que la différence qui existe entre eux afin de pouvoir déterminer la finalité de l’harmonisation comptable internationale. </w:t>
      </w:r>
    </w:p>
    <w:p w:rsidR="00D41BD8" w:rsidRPr="00D41BD8" w:rsidRDefault="00D41BD8" w:rsidP="002A3F16">
      <w:pPr>
        <w:numPr>
          <w:ilvl w:val="0"/>
          <w:numId w:val="3"/>
        </w:numPr>
        <w:spacing w:before="0" w:beforeAutospacing="0" w:after="200" w:afterAutospacing="0" w:line="276" w:lineRule="auto"/>
        <w:contextualSpacing/>
        <w:jc w:val="both"/>
        <w:rPr>
          <w:rFonts w:ascii="Times New Roman" w:eastAsia="Times New Roman" w:hAnsi="Times New Roman" w:cs="Times New Roman"/>
          <w:b/>
          <w:sz w:val="24"/>
          <w:szCs w:val="24"/>
          <w:lang w:eastAsia="fr-FR"/>
        </w:rPr>
      </w:pPr>
      <w:r w:rsidRPr="00D41BD8">
        <w:rPr>
          <w:rFonts w:ascii="Times New Roman" w:eastAsia="Times New Roman" w:hAnsi="Times New Roman" w:cs="Times New Roman"/>
          <w:b/>
          <w:sz w:val="24"/>
          <w:szCs w:val="24"/>
          <w:lang w:eastAsia="fr-FR"/>
        </w:rPr>
        <w:t xml:space="preserve">L’harmonisation comptable  </w:t>
      </w:r>
    </w:p>
    <w:p w:rsidR="00D41BD8" w:rsidRPr="00D41BD8" w:rsidRDefault="00D41BD8" w:rsidP="00D41BD8">
      <w:pPr>
        <w:spacing w:before="0" w:beforeAutospacing="0" w:after="120" w:afterAutospacing="0" w:line="276" w:lineRule="auto"/>
        <w:ind w:firstLine="284"/>
        <w:jc w:val="both"/>
        <w:rPr>
          <w:rFonts w:ascii="Times New Roman" w:eastAsia="Times New Roman" w:hAnsi="Times New Roman" w:cs="Times New Roman"/>
          <w:sz w:val="24"/>
          <w:szCs w:val="24"/>
          <w:lang w:eastAsia="fr-FR"/>
        </w:rPr>
      </w:pPr>
      <w:r w:rsidRPr="00D41BD8">
        <w:rPr>
          <w:rFonts w:ascii="Times New Roman" w:eastAsia="Times New Roman" w:hAnsi="Times New Roman" w:cs="Times New Roman"/>
          <w:sz w:val="24"/>
          <w:szCs w:val="24"/>
          <w:lang w:eastAsia="fr-FR"/>
        </w:rPr>
        <w:t xml:space="preserve">La recherche d’une définition au concept de l’harmonisation comptable, nous a permis de conclure que le niveau d’importance accordé à cette notion diffère d’un auteur à un autre, mais la majorité des définitions considèrent que l’harmonisation comptable vise à diminuer les divergences qui existent entre les pratiques comptables exercées dans divers pays. Par exemple, pour </w:t>
      </w:r>
      <w:proofErr w:type="spellStart"/>
      <w:r w:rsidRPr="00D41BD8">
        <w:rPr>
          <w:rFonts w:ascii="Times New Roman" w:eastAsia="Times New Roman" w:hAnsi="Times New Roman" w:cs="Times New Roman"/>
          <w:sz w:val="24"/>
          <w:szCs w:val="24"/>
          <w:lang w:eastAsia="fr-FR"/>
        </w:rPr>
        <w:t>Nobes</w:t>
      </w:r>
      <w:proofErr w:type="spellEnd"/>
      <w:r w:rsidRPr="00D41BD8">
        <w:rPr>
          <w:rFonts w:ascii="Times New Roman" w:eastAsia="Times New Roman" w:hAnsi="Times New Roman" w:cs="Times New Roman"/>
          <w:sz w:val="24"/>
          <w:szCs w:val="24"/>
          <w:lang w:eastAsia="fr-FR"/>
        </w:rPr>
        <w:t xml:space="preserve"> et Parker l’harmonisation </w:t>
      </w:r>
      <w:r w:rsidRPr="00D41BD8">
        <w:rPr>
          <w:rFonts w:ascii="Times New Roman" w:eastAsia="Times New Roman" w:hAnsi="Times New Roman" w:cs="Times New Roman"/>
          <w:sz w:val="24"/>
          <w:szCs w:val="24"/>
          <w:lang w:eastAsia="fr-FR"/>
        </w:rPr>
        <w:lastRenderedPageBreak/>
        <w:t>comptable est « un processus destiné à accroître la compatibilité des pratiques comptables, grâce à une limitation de leurs niveau de variabilité»</w:t>
      </w:r>
      <w:r w:rsidRPr="00D41BD8">
        <w:rPr>
          <w:rFonts w:ascii="Times New Roman" w:eastAsia="Times New Roman" w:hAnsi="Times New Roman" w:cs="Times New Roman"/>
          <w:sz w:val="24"/>
          <w:szCs w:val="24"/>
          <w:vertAlign w:val="superscript"/>
          <w:lang w:eastAsia="fr-FR"/>
        </w:rPr>
        <w:footnoteReference w:id="37"/>
      </w:r>
      <w:r w:rsidRPr="00D41BD8">
        <w:rPr>
          <w:rFonts w:ascii="Times New Roman" w:eastAsia="Times New Roman" w:hAnsi="Times New Roman" w:cs="Times New Roman"/>
          <w:sz w:val="24"/>
          <w:szCs w:val="24"/>
          <w:lang w:eastAsia="fr-FR"/>
        </w:rPr>
        <w:t>. La même vision est admise par Choi et Mueller qui voient que l’harmonisation représente une absence de contradiction des normes</w:t>
      </w:r>
      <w:r w:rsidRPr="00D41BD8">
        <w:rPr>
          <w:rFonts w:ascii="Times New Roman" w:eastAsia="Times New Roman" w:hAnsi="Times New Roman" w:cs="Times New Roman"/>
          <w:sz w:val="24"/>
          <w:szCs w:val="24"/>
          <w:vertAlign w:val="superscript"/>
          <w:lang w:eastAsia="fr-FR"/>
        </w:rPr>
        <w:footnoteReference w:id="38"/>
      </w:r>
      <w:r w:rsidRPr="00D41BD8">
        <w:rPr>
          <w:rFonts w:ascii="Times New Roman" w:eastAsia="Times New Roman" w:hAnsi="Times New Roman" w:cs="Times New Roman"/>
          <w:sz w:val="24"/>
          <w:szCs w:val="24"/>
          <w:lang w:eastAsia="fr-FR"/>
        </w:rPr>
        <w:t>. Alors que, selon E. Barbu l’harmonisation comptable vise certainement à réduire la diversité des pratiques comptables afin de les rendre plus comparables</w:t>
      </w:r>
      <w:r w:rsidRPr="00D41BD8">
        <w:rPr>
          <w:rFonts w:ascii="Times New Roman" w:eastAsia="Times New Roman" w:hAnsi="Times New Roman" w:cs="Times New Roman"/>
          <w:sz w:val="24"/>
          <w:szCs w:val="24"/>
          <w:vertAlign w:val="superscript"/>
          <w:lang w:eastAsia="fr-FR"/>
        </w:rPr>
        <w:footnoteReference w:id="39"/>
      </w:r>
      <w:r w:rsidRPr="00D41BD8">
        <w:rPr>
          <w:rFonts w:ascii="Times New Roman" w:eastAsia="Times New Roman" w:hAnsi="Times New Roman" w:cs="Times New Roman"/>
          <w:sz w:val="24"/>
          <w:szCs w:val="24"/>
          <w:lang w:eastAsia="fr-FR"/>
        </w:rPr>
        <w:t xml:space="preserve">, mais elle considère que cette dernière pourrait être vue comme la première étape du processus de création des normes comptables. Cela en se référant à la définition de </w:t>
      </w:r>
      <w:proofErr w:type="spellStart"/>
      <w:r w:rsidRPr="00D41BD8">
        <w:rPr>
          <w:rFonts w:ascii="Times New Roman" w:eastAsia="Times New Roman" w:hAnsi="Times New Roman" w:cs="Times New Roman"/>
          <w:sz w:val="24"/>
          <w:szCs w:val="24"/>
          <w:lang w:eastAsia="fr-FR"/>
        </w:rPr>
        <w:t>Colasse</w:t>
      </w:r>
      <w:proofErr w:type="spellEnd"/>
      <w:r w:rsidRPr="00D41BD8">
        <w:rPr>
          <w:rFonts w:ascii="Times New Roman" w:eastAsia="Times New Roman" w:hAnsi="Times New Roman" w:cs="Times New Roman"/>
          <w:sz w:val="24"/>
          <w:szCs w:val="24"/>
          <w:lang w:eastAsia="fr-FR"/>
        </w:rPr>
        <w:t xml:space="preserve"> qui considère l’harmonisation comptable comme étant « un processus institutionnel, ayant pour objet de mettre en convergence les normes et les pratiques comptables nationales et, par conséquent, de faciliter la comparaison des états comptables produits par des entreprises de pays différents »</w:t>
      </w:r>
      <w:r w:rsidRPr="00D41BD8">
        <w:rPr>
          <w:rFonts w:ascii="Times New Roman" w:eastAsia="Times New Roman" w:hAnsi="Times New Roman" w:cs="Times New Roman"/>
          <w:sz w:val="24"/>
          <w:szCs w:val="24"/>
          <w:vertAlign w:val="superscript"/>
          <w:lang w:eastAsia="fr-FR"/>
        </w:rPr>
        <w:footnoteReference w:id="40"/>
      </w:r>
      <w:r w:rsidRPr="00D41BD8">
        <w:rPr>
          <w:rFonts w:ascii="Times New Roman" w:eastAsia="Times New Roman" w:hAnsi="Times New Roman" w:cs="Times New Roman"/>
          <w:sz w:val="24"/>
          <w:szCs w:val="24"/>
          <w:lang w:eastAsia="fr-FR"/>
        </w:rPr>
        <w:t>.</w:t>
      </w:r>
    </w:p>
    <w:p w:rsidR="00D41BD8" w:rsidRPr="00D41BD8" w:rsidRDefault="00D41BD8" w:rsidP="002A3F16">
      <w:pPr>
        <w:numPr>
          <w:ilvl w:val="0"/>
          <w:numId w:val="3"/>
        </w:numPr>
        <w:spacing w:before="0" w:beforeAutospacing="0" w:after="120" w:afterAutospacing="0" w:line="276" w:lineRule="auto"/>
        <w:contextualSpacing/>
        <w:jc w:val="both"/>
        <w:rPr>
          <w:rFonts w:ascii="Times New Roman" w:eastAsia="Times New Roman" w:hAnsi="Times New Roman" w:cs="Times New Roman"/>
          <w:b/>
          <w:sz w:val="24"/>
          <w:szCs w:val="24"/>
          <w:lang w:eastAsia="fr-FR"/>
        </w:rPr>
      </w:pPr>
      <w:r w:rsidRPr="00D41BD8">
        <w:rPr>
          <w:rFonts w:ascii="Times New Roman" w:eastAsia="Times New Roman" w:hAnsi="Times New Roman" w:cs="Times New Roman"/>
          <w:b/>
          <w:sz w:val="24"/>
          <w:szCs w:val="24"/>
          <w:lang w:eastAsia="fr-FR"/>
        </w:rPr>
        <w:t>La normalisation comptable</w:t>
      </w:r>
    </w:p>
    <w:p w:rsidR="00D41BD8" w:rsidRPr="00D41BD8" w:rsidRDefault="00D41BD8" w:rsidP="00D41BD8">
      <w:pPr>
        <w:spacing w:before="0" w:beforeAutospacing="0" w:after="120" w:afterAutospacing="0" w:line="276" w:lineRule="auto"/>
        <w:ind w:firstLine="284"/>
        <w:jc w:val="both"/>
        <w:rPr>
          <w:rFonts w:ascii="Times New Roman" w:eastAsia="Times New Roman" w:hAnsi="Times New Roman" w:cs="Times New Roman"/>
          <w:sz w:val="24"/>
          <w:szCs w:val="24"/>
          <w:lang w:eastAsia="fr-FR"/>
        </w:rPr>
      </w:pPr>
      <w:r w:rsidRPr="00D41BD8">
        <w:rPr>
          <w:rFonts w:ascii="Times New Roman" w:eastAsia="Times New Roman" w:hAnsi="Times New Roman" w:cs="Times New Roman"/>
          <w:sz w:val="24"/>
          <w:szCs w:val="24"/>
          <w:lang w:eastAsia="fr-FR"/>
        </w:rPr>
        <w:t>Ce terme était utilisé surtout dans la littérature européenne, où on a traduit le terme « standards » par « normes », et en conséquence, la traduction du terme relatif au processus d’élaboration de ces normes était « la normalisation ». Par ailleurs, E. Barbu considère que  la normalisation se situe entre l’harmonisation et la standardisation, comme deux étapes du processus de création des normes comptables. Autrement, la normalisation représente la transformation des règles harmonisées, qui sont selon Van der tas</w:t>
      </w:r>
      <w:r w:rsidRPr="00D41BD8">
        <w:rPr>
          <w:rFonts w:ascii="Times New Roman" w:eastAsia="Times New Roman" w:hAnsi="Times New Roman" w:cs="Times New Roman"/>
          <w:sz w:val="24"/>
          <w:szCs w:val="24"/>
          <w:vertAlign w:val="superscript"/>
          <w:lang w:eastAsia="fr-FR"/>
        </w:rPr>
        <w:footnoteReference w:id="41"/>
      </w:r>
      <w:r w:rsidRPr="00D41BD8">
        <w:rPr>
          <w:rFonts w:ascii="Times New Roman" w:eastAsia="Times New Roman" w:hAnsi="Times New Roman" w:cs="Times New Roman"/>
          <w:sz w:val="24"/>
          <w:szCs w:val="24"/>
          <w:lang w:eastAsia="fr-FR"/>
        </w:rPr>
        <w:t xml:space="preserve"> des règles moins strictes avec beaucoup d’options,  en des règles plus strictes et avec moins d’options, ce qui permettra d’avoir plus de rigidité. C’est la définition qu’accordent Tay et Parker au terme de standardisation, qui selon eux consiste à imposer un ensemble plus stricte de règles comptables.</w:t>
      </w:r>
    </w:p>
    <w:p w:rsidR="00D41BD8" w:rsidRPr="00D41BD8" w:rsidRDefault="00D41BD8" w:rsidP="002A3F16">
      <w:pPr>
        <w:numPr>
          <w:ilvl w:val="0"/>
          <w:numId w:val="3"/>
        </w:numPr>
        <w:spacing w:before="0" w:beforeAutospacing="0" w:after="120" w:afterAutospacing="0" w:line="276" w:lineRule="auto"/>
        <w:contextualSpacing/>
        <w:jc w:val="both"/>
        <w:rPr>
          <w:rFonts w:ascii="Times New Roman" w:eastAsia="Times New Roman" w:hAnsi="Times New Roman" w:cs="Times New Roman"/>
          <w:b/>
          <w:sz w:val="24"/>
          <w:szCs w:val="24"/>
          <w:lang w:eastAsia="fr-FR"/>
        </w:rPr>
      </w:pPr>
      <w:r w:rsidRPr="00D41BD8">
        <w:rPr>
          <w:rFonts w:ascii="Times New Roman" w:eastAsia="Times New Roman" w:hAnsi="Times New Roman" w:cs="Times New Roman"/>
          <w:b/>
          <w:sz w:val="24"/>
          <w:szCs w:val="24"/>
          <w:lang w:eastAsia="fr-FR"/>
        </w:rPr>
        <w:t>La standardisation</w:t>
      </w:r>
    </w:p>
    <w:p w:rsidR="00D41BD8" w:rsidRPr="00D41BD8" w:rsidRDefault="00D41BD8" w:rsidP="00D41BD8">
      <w:pPr>
        <w:spacing w:before="0" w:beforeAutospacing="0" w:after="120" w:afterAutospacing="0" w:line="276" w:lineRule="auto"/>
        <w:ind w:firstLine="284"/>
        <w:jc w:val="both"/>
        <w:rPr>
          <w:rFonts w:ascii="Times New Roman" w:eastAsia="Times New Roman" w:hAnsi="Times New Roman" w:cs="Times New Roman"/>
          <w:sz w:val="24"/>
          <w:szCs w:val="24"/>
          <w:lang w:eastAsia="fr-FR"/>
        </w:rPr>
      </w:pPr>
      <w:r w:rsidRPr="00D41BD8">
        <w:rPr>
          <w:rFonts w:ascii="Times New Roman" w:eastAsia="Times New Roman" w:hAnsi="Times New Roman" w:cs="Times New Roman"/>
          <w:sz w:val="24"/>
          <w:szCs w:val="24"/>
          <w:lang w:eastAsia="fr-FR"/>
        </w:rPr>
        <w:t>Selon E. Barbu, la standardisation permet d’avoir une uniformité totale des réglementations comptables. Dès lors, la standardisation conduit à l’adoption d’une seule règle comptable dans l’application sera universelle. Et où les choix comptables n’existeront plus</w:t>
      </w:r>
      <w:r w:rsidRPr="00D41BD8">
        <w:rPr>
          <w:rFonts w:ascii="Times New Roman" w:eastAsia="Times New Roman" w:hAnsi="Times New Roman" w:cs="Times New Roman"/>
          <w:sz w:val="24"/>
          <w:szCs w:val="24"/>
          <w:vertAlign w:val="superscript"/>
          <w:lang w:eastAsia="fr-FR"/>
        </w:rPr>
        <w:footnoteReference w:id="42"/>
      </w:r>
      <w:r w:rsidRPr="00D41BD8">
        <w:rPr>
          <w:rFonts w:ascii="Times New Roman" w:eastAsia="Times New Roman" w:hAnsi="Times New Roman" w:cs="Times New Roman"/>
          <w:sz w:val="24"/>
          <w:szCs w:val="24"/>
          <w:lang w:eastAsia="fr-FR"/>
        </w:rPr>
        <w:t xml:space="preserve">. </w:t>
      </w:r>
    </w:p>
    <w:p w:rsidR="00D41BD8" w:rsidRPr="00D41BD8" w:rsidRDefault="00D41BD8" w:rsidP="002A3F16">
      <w:pPr>
        <w:numPr>
          <w:ilvl w:val="0"/>
          <w:numId w:val="3"/>
        </w:numPr>
        <w:spacing w:before="0" w:beforeAutospacing="0" w:after="120" w:afterAutospacing="0" w:line="276" w:lineRule="auto"/>
        <w:contextualSpacing/>
        <w:jc w:val="both"/>
        <w:rPr>
          <w:rFonts w:ascii="Times New Roman" w:eastAsia="Times New Roman" w:hAnsi="Times New Roman" w:cs="Times New Roman"/>
          <w:b/>
          <w:sz w:val="24"/>
          <w:szCs w:val="24"/>
          <w:lang w:eastAsia="fr-FR"/>
        </w:rPr>
      </w:pPr>
      <w:r w:rsidRPr="00D41BD8">
        <w:rPr>
          <w:rFonts w:ascii="Times New Roman" w:eastAsia="Times New Roman" w:hAnsi="Times New Roman" w:cs="Times New Roman"/>
          <w:b/>
          <w:sz w:val="24"/>
          <w:szCs w:val="24"/>
          <w:lang w:eastAsia="fr-FR"/>
        </w:rPr>
        <w:t xml:space="preserve">Différence entre les trois aspects précédents </w:t>
      </w:r>
    </w:p>
    <w:p w:rsidR="00D41BD8" w:rsidRPr="00D41BD8" w:rsidRDefault="00D41BD8" w:rsidP="00D41BD8">
      <w:pPr>
        <w:spacing w:before="0" w:beforeAutospacing="0" w:after="120" w:afterAutospacing="0" w:line="276" w:lineRule="auto"/>
        <w:ind w:firstLine="284"/>
        <w:jc w:val="both"/>
        <w:rPr>
          <w:rFonts w:ascii="Times New Roman" w:eastAsia="Times New Roman" w:hAnsi="Times New Roman" w:cs="Times New Roman"/>
          <w:sz w:val="24"/>
          <w:szCs w:val="24"/>
          <w:lang w:eastAsia="fr-FR"/>
        </w:rPr>
      </w:pPr>
      <w:r w:rsidRPr="00D41BD8">
        <w:rPr>
          <w:rFonts w:ascii="Times New Roman" w:eastAsia="Times New Roman" w:hAnsi="Times New Roman" w:cs="Times New Roman"/>
          <w:sz w:val="24"/>
          <w:szCs w:val="24"/>
          <w:lang w:eastAsia="fr-FR"/>
        </w:rPr>
        <w:t xml:space="preserve">Pour mieux comprendre les différences entre ces concepts, on s’est  référé au schéma présenté par E. Barbu qui se présente comme suit. </w:t>
      </w:r>
    </w:p>
    <w:p w:rsidR="00D41BD8" w:rsidRPr="00D41BD8" w:rsidRDefault="00D41BD8" w:rsidP="00D41BD8">
      <w:pPr>
        <w:spacing w:before="0" w:beforeAutospacing="0" w:after="200" w:afterAutospacing="0" w:line="276" w:lineRule="auto"/>
        <w:jc w:val="both"/>
        <w:rPr>
          <w:rFonts w:ascii="Times New Roman" w:eastAsia="Times New Roman" w:hAnsi="Times New Roman" w:cs="Times New Roman"/>
          <w:sz w:val="24"/>
          <w:szCs w:val="24"/>
          <w:lang w:eastAsia="fr-FR"/>
        </w:rPr>
      </w:pPr>
      <w:r w:rsidRPr="00D41BD8">
        <w:rPr>
          <w:rFonts w:ascii="Times New Roman" w:eastAsia="Times New Roman" w:hAnsi="Times New Roman" w:cs="Times New Roman"/>
          <w:b/>
          <w:sz w:val="24"/>
          <w:szCs w:val="24"/>
          <w:lang w:eastAsia="fr-FR"/>
        </w:rPr>
        <w:t xml:space="preserve">Schémas (1) : </w:t>
      </w:r>
      <w:r w:rsidRPr="00D41BD8">
        <w:rPr>
          <w:rFonts w:ascii="Times New Roman" w:eastAsia="Times New Roman" w:hAnsi="Times New Roman" w:cs="Times New Roman"/>
          <w:sz w:val="24"/>
          <w:szCs w:val="24"/>
          <w:lang w:eastAsia="fr-FR"/>
        </w:rPr>
        <w:t xml:space="preserve">les caractéristiques de l’harmonisation, de la normalisation et de la </w:t>
      </w:r>
      <w:proofErr w:type="gramStart"/>
      <w:r w:rsidRPr="00D41BD8">
        <w:rPr>
          <w:rFonts w:ascii="Times New Roman" w:eastAsia="Times New Roman" w:hAnsi="Times New Roman" w:cs="Times New Roman"/>
          <w:sz w:val="24"/>
          <w:szCs w:val="24"/>
          <w:lang w:eastAsia="fr-FR"/>
        </w:rPr>
        <w:t>standardisation</w:t>
      </w:r>
      <w:proofErr w:type="gramEnd"/>
    </w:p>
    <w:p w:rsidR="00D41BD8" w:rsidRPr="00D41BD8" w:rsidRDefault="00D41BD8" w:rsidP="00D41BD8">
      <w:pPr>
        <w:spacing w:before="0" w:beforeAutospacing="0" w:after="200" w:afterAutospacing="0" w:line="276" w:lineRule="auto"/>
        <w:ind w:firstLine="284"/>
        <w:jc w:val="both"/>
        <w:rPr>
          <w:rFonts w:ascii="Times New Roman" w:eastAsia="Times New Roman" w:hAnsi="Times New Roman" w:cs="Times New Roman"/>
          <w:sz w:val="24"/>
          <w:szCs w:val="24"/>
          <w:lang w:eastAsia="fr-FR"/>
        </w:rPr>
      </w:pPr>
      <w:r w:rsidRPr="00D41BD8">
        <w:rPr>
          <w:rFonts w:ascii="Times New Roman" w:eastAsia="Times New Roman" w:hAnsi="Times New Roman" w:cs="Times New Roman"/>
          <w:noProof/>
          <w:sz w:val="24"/>
          <w:szCs w:val="24"/>
          <w:lang w:eastAsia="fr-FR"/>
        </w:rPr>
        <w:lastRenderedPageBreak/>
        <w:pict>
          <v:group id="_x0000_s1410" style="position:absolute;left:0;text-align:left;margin-left:-43.85pt;margin-top:.6pt;width:520.7pt;height:299.25pt;z-index:251662336" coordorigin="1213,2282" coordsize="10785,5985">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411" type="#_x0000_t65" style="position:absolute;left:1578;top:3265;width:1200;height:687">
              <v:textbox inset=".5mm,.3mm,.5mm,.3mm">
                <w:txbxContent>
                  <w:p w:rsidR="0039067A" w:rsidRPr="00F05EAC" w:rsidRDefault="0039067A" w:rsidP="00D41BD8">
                    <w:pPr>
                      <w:rPr>
                        <w:u w:val="single"/>
                      </w:rPr>
                    </w:pPr>
                    <w:r w:rsidRPr="00F05EAC">
                      <w:rPr>
                        <w:u w:val="single"/>
                      </w:rPr>
                      <w:t>Choix comptable</w:t>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_x0000_s1412" type="#_x0000_t21" style="position:absolute;left:1576;top:4437;width:1202;height:536">
              <v:textbox>
                <w:txbxContent>
                  <w:p w:rsidR="0039067A" w:rsidRPr="007A7790" w:rsidRDefault="0039067A" w:rsidP="00D41BD8">
                    <w:pPr>
                      <w:rPr>
                        <w:i/>
                      </w:rPr>
                    </w:pPr>
                    <w:r w:rsidRPr="007A7790">
                      <w:rPr>
                        <w:i/>
                      </w:rPr>
                      <w:t>Règles</w:t>
                    </w:r>
                  </w:p>
                </w:txbxContent>
              </v:textbox>
            </v:shape>
            <v:oval id="_x0000_s1413" style="position:absolute;left:1444;top:5781;width:1487;height:753">
              <v:textbox style="mso-next-textbox:#_x0000_s1413" inset=".5mm,.3mm,.5mm,.3mm">
                <w:txbxContent>
                  <w:p w:rsidR="0039067A" w:rsidRPr="00F05EAC" w:rsidRDefault="0039067A" w:rsidP="00D41BD8">
                    <w:pPr>
                      <w:rPr>
                        <w:sz w:val="20"/>
                      </w:rPr>
                    </w:pPr>
                    <w:r w:rsidRPr="00F05EAC">
                      <w:rPr>
                        <w:sz w:val="20"/>
                      </w:rPr>
                      <w:t>Caractéristiques</w:t>
                    </w:r>
                  </w:p>
                </w:txbxContent>
              </v:textbox>
            </v:oval>
            <v:oval id="_x0000_s1414" style="position:absolute;left:3211;top:5828;width:1323;height:586">
              <v:textbox inset="1.5mm,,1.5mm">
                <w:txbxContent>
                  <w:p w:rsidR="0039067A" w:rsidRDefault="0039067A" w:rsidP="00D41BD8">
                    <w:r>
                      <w:t>Diversité</w:t>
                    </w:r>
                  </w:p>
                </w:txbxContent>
              </v:textbox>
            </v:oval>
            <v:oval id="_x0000_s1415" style="position:absolute;left:5392;top:5851;width:1959;height:546">
              <v:textbox inset=".5mm,.3mm,.5mm,.3mm">
                <w:txbxContent>
                  <w:p w:rsidR="0039067A" w:rsidRDefault="0039067A" w:rsidP="00D41BD8">
                    <w:r>
                      <w:t>Comparabilité</w:t>
                    </w:r>
                  </w:p>
                </w:txbxContent>
              </v:textbox>
            </v:oval>
            <v:oval id="_x0000_s1416" style="position:absolute;left:8192;top:5834;width:1356;height:546">
              <v:textbox inset="1.5mm,,1.5mm">
                <w:txbxContent>
                  <w:p w:rsidR="0039067A" w:rsidRDefault="0039067A" w:rsidP="00D41BD8">
                    <w:r>
                      <w:t>Rigidité</w:t>
                    </w:r>
                  </w:p>
                </w:txbxContent>
              </v:textbox>
            </v:oval>
            <v:oval id="_x0000_s1417" style="position:absolute;left:10280;top:5879;width:1608;height:535">
              <v:textbox inset=".5mm,,.5mm">
                <w:txbxContent>
                  <w:p w:rsidR="0039067A" w:rsidRDefault="0039067A" w:rsidP="00D41BD8">
                    <w:r>
                      <w:t>Uniformité</w:t>
                    </w:r>
                  </w:p>
                </w:txbxContent>
              </v:textbox>
            </v:oval>
            <v:shape id="_x0000_s1418" type="#_x0000_t21" style="position:absolute;left:4088;top:4422;width:1463;height:536">
              <v:textbox style="mso-next-textbox:#_x0000_s1418" inset=".5mm,,.5mm">
                <w:txbxContent>
                  <w:p w:rsidR="0039067A" w:rsidRPr="007A7790" w:rsidRDefault="0039067A" w:rsidP="00D41BD8">
                    <w:pPr>
                      <w:rPr>
                        <w:i/>
                      </w:rPr>
                    </w:pPr>
                    <w:r w:rsidRPr="007A7790">
                      <w:rPr>
                        <w:i/>
                      </w:rPr>
                      <w:t>Moins strictes</w:t>
                    </w:r>
                  </w:p>
                </w:txbxContent>
              </v:textbox>
            </v:shape>
            <v:shape id="_x0000_s1419" type="#_x0000_t21" style="position:absolute;left:9389;top:4303;width:1626;height:819">
              <v:textbox inset=".5mm,.3mm,.5mm,.3mm">
                <w:txbxContent>
                  <w:p w:rsidR="0039067A" w:rsidRPr="007A7790" w:rsidRDefault="0039067A" w:rsidP="00D41BD8">
                    <w:pPr>
                      <w:rPr>
                        <w:i/>
                      </w:rPr>
                    </w:pPr>
                    <w:r w:rsidRPr="007A7790">
                      <w:rPr>
                        <w:i/>
                      </w:rPr>
                      <w:t>Uniques et universelles</w:t>
                    </w:r>
                  </w:p>
                </w:txbxContent>
              </v:textbox>
            </v:shape>
            <v:shape id="_x0000_s1420" type="#_x0000_t65" style="position:absolute;left:4266;top:3216;width:1200;height:687">
              <v:textbox inset="2.5mm,2.3mm,2.5mm,2.3mm">
                <w:txbxContent>
                  <w:p w:rsidR="0039067A" w:rsidRPr="00F05EAC" w:rsidRDefault="0039067A" w:rsidP="00D41BD8">
                    <w:pPr>
                      <w:rPr>
                        <w:u w:val="single"/>
                      </w:rPr>
                    </w:pPr>
                    <w:r>
                      <w:rPr>
                        <w:u w:val="single"/>
                      </w:rPr>
                      <w:t>Plusieurs</w:t>
                    </w:r>
                  </w:p>
                </w:txbxContent>
              </v:textbox>
            </v:shape>
            <v:shape id="_x0000_s1421" type="#_x0000_t65" style="position:absolute;left:9548;top:3181;width:1200;height:687">
              <v:textbox inset="2.5mm,2.3mm,2.5mm,2.3mm">
                <w:txbxContent>
                  <w:p w:rsidR="0039067A" w:rsidRPr="00F05EAC" w:rsidRDefault="0039067A" w:rsidP="00D41BD8">
                    <w:pPr>
                      <w:rPr>
                        <w:u w:val="single"/>
                      </w:rPr>
                    </w:pPr>
                    <w:r>
                      <w:rPr>
                        <w:u w:val="single"/>
                      </w:rPr>
                      <w:t>Un seul</w:t>
                    </w:r>
                  </w:p>
                </w:txbxContent>
              </v:textbox>
            </v:shape>
            <v:shape id="_x0000_s1422" type="#_x0000_t65" style="position:absolute;left:6808;top:3164;width:1200;height:687">
              <v:textbox inset=".5mm,.3mm,.5mm,.3mm">
                <w:txbxContent>
                  <w:p w:rsidR="0039067A" w:rsidRPr="00F05EAC" w:rsidRDefault="0039067A" w:rsidP="00D41BD8">
                    <w:pPr>
                      <w:rPr>
                        <w:u w:val="single"/>
                      </w:rPr>
                    </w:pPr>
                    <w:r>
                      <w:rPr>
                        <w:u w:val="single"/>
                      </w:rPr>
                      <w:t>Moins nombreux</w:t>
                    </w:r>
                  </w:p>
                </w:txbxContent>
              </v:textbox>
            </v:shape>
            <v:shape id="_x0000_s1423" type="#_x0000_t21" style="position:absolute;left:6725;top:4423;width:1463;height:536">
              <v:textbox style="mso-next-textbox:#_x0000_s1423" inset=".5mm,,.5mm">
                <w:txbxContent>
                  <w:p w:rsidR="0039067A" w:rsidRPr="007A7790" w:rsidRDefault="0039067A" w:rsidP="00D41BD8">
                    <w:pPr>
                      <w:rPr>
                        <w:i/>
                      </w:rPr>
                    </w:pPr>
                    <w:r w:rsidRPr="007A7790">
                      <w:rPr>
                        <w:i/>
                      </w:rPr>
                      <w:t>Plus strictes</w:t>
                    </w:r>
                  </w:p>
                </w:txbxContent>
              </v:textbox>
            </v:shape>
            <v:shapetype id="_x0000_t32" coordsize="21600,21600" o:spt="32" o:oned="t" path="m,l21600,21600e" filled="f">
              <v:path arrowok="t" fillok="f" o:connecttype="none"/>
              <o:lock v:ext="edit" shapetype="t"/>
            </v:shapetype>
            <v:shape id="_x0000_s1424" type="#_x0000_t32" style="position:absolute;left:3750;top:3031;width:33;height:2820" o:connectortype="straight">
              <v:stroke dashstyle="longDashDot"/>
            </v:shape>
            <v:shape id="_x0000_s1425" type="#_x0000_t32" style="position:absolute;left:8806;top:3059;width:33;height:2820" o:connectortype="straight">
              <v:stroke dashstyle="longDashDot"/>
            </v:shape>
            <v:shape id="_x0000_s1426" type="#_x0000_t32" style="position:absolute;left:6244;top:3059;width:33;height:2820" o:connectortype="straight">
              <v:stroke dashstyle="longDashDot"/>
            </v:shape>
            <v:shape id="_x0000_s1427" type="#_x0000_t32" style="position:absolute;left:11301;top:3059;width:33;height:2820" o:connectortype="straight">
              <v:stroke dashstyle="longDashDot"/>
            </v:shape>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_x0000_s1428" type="#_x0000_t64" style="position:absolute;left:3398;top:2546;width:690;height:519">
              <v:textbox inset="1.5mm,0,1.5mm,0">
                <w:txbxContent>
                  <w:p w:rsidR="0039067A" w:rsidRDefault="0039067A" w:rsidP="00D41BD8">
                    <w:r>
                      <w:t>1960</w:t>
                    </w:r>
                  </w:p>
                </w:txbxContent>
              </v:textbox>
            </v:shape>
            <v:shape id="_x0000_s1429" type="#_x0000_t64" style="position:absolute;left:5861;top:2546;width:690;height:519">
              <v:textbox inset="1.5mm,0,1.5mm,0">
                <w:txbxContent>
                  <w:p w:rsidR="0039067A" w:rsidRDefault="0039067A" w:rsidP="00D41BD8">
                    <w:r>
                      <w:t>1989</w:t>
                    </w:r>
                  </w:p>
                </w:txbxContent>
              </v:textbox>
            </v:shape>
            <v:shape id="_x0000_s1430" type="#_x0000_t64" style="position:absolute;left:8395;top:2507;width:690;height:519">
              <v:textbox inset="1.5mm,0,1.5mm,0">
                <w:txbxContent>
                  <w:p w:rsidR="0039067A" w:rsidRDefault="0039067A" w:rsidP="00D41BD8">
                    <w:r>
                      <w:t>2005</w:t>
                    </w:r>
                  </w:p>
                </w:txbxContent>
              </v:textbox>
            </v:shape>
            <v:shape id="_x0000_s1431" type="#_x0000_t32" style="position:absolute;left:3766;top:6798;width:7987;height:0" o:connectortype="straight">
              <v:stroke endarrow="block"/>
            </v:shape>
            <v:shape id="_x0000_s1432" type="#_x0000_t32" style="position:absolute;left:3750;top:6414;width:0;height:384" o:connectortype="straight"/>
            <v:shape id="_x0000_s1433" type="#_x0000_t32" style="position:absolute;left:6293;top:6397;width:0;height:401" o:connectortype="straight"/>
            <v:shape id="_x0000_s1434" type="#_x0000_t32" style="position:absolute;left:8839;top:6372;width:0;height:401" o:connectortype="straight"/>
            <v:shape id="_x0000_s1435" type="#_x0000_t32" style="position:absolute;left:11334;top:6372;width:0;height:401" o:connectortype="straigh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436" type="#_x0000_t87" style="position:absolute;left:4780;top:5805;width:483;height:2478;rotation:270" adj=",10810"/>
            <v:shape id="_x0000_s1437" type="#_x0000_t87" style="position:absolute;left:7308;top:5740;width:483;height:2578;rotation:270" adj=",10810"/>
            <v:shape id="_x0000_s1438" type="#_x0000_t87" style="position:absolute;left:9836;top:5805;width:483;height:2478;rotation:270" adj=",10810"/>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439" type="#_x0000_t84" style="position:absolute;left:3849;top:7328;width:2344;height:520">
              <v:textbox>
                <w:txbxContent>
                  <w:p w:rsidR="0039067A" w:rsidRDefault="0039067A" w:rsidP="00D41BD8">
                    <w:r w:rsidRPr="001A1AB9">
                      <w:rPr>
                        <w:b/>
                      </w:rPr>
                      <w:t>HARMONISATION</w:t>
                    </w:r>
                  </w:p>
                </w:txbxContent>
              </v:textbox>
            </v:shape>
            <v:shape id="_x0000_s1440" type="#_x0000_t84" style="position:absolute;left:6398;top:7345;width:2344;height:520">
              <v:textbox>
                <w:txbxContent>
                  <w:p w:rsidR="0039067A" w:rsidRDefault="0039067A" w:rsidP="00D41BD8">
                    <w:r w:rsidRPr="001A1AB9">
                      <w:rPr>
                        <w:b/>
                      </w:rPr>
                      <w:t>NORMALISATION</w:t>
                    </w:r>
                  </w:p>
                </w:txbxContent>
              </v:textbox>
            </v:shape>
            <v:shape id="_x0000_s1441" type="#_x0000_t84" style="position:absolute;left:8932;top:7328;width:2344;height:520">
              <v:textbox>
                <w:txbxContent>
                  <w:p w:rsidR="0039067A" w:rsidRDefault="0039067A" w:rsidP="00D41BD8">
                    <w:r w:rsidRPr="001A1AB9">
                      <w:rPr>
                        <w:b/>
                      </w:rPr>
                      <w:t>STANDARDISATION</w:t>
                    </w:r>
                  </w:p>
                </w:txbxContent>
              </v:textbox>
            </v:shape>
            <v:shape id="_x0000_s1442" type="#_x0000_t84" style="position:absolute;left:1494;top:7338;width:1437;height:517">
              <v:textbox>
                <w:txbxContent>
                  <w:p w:rsidR="0039067A" w:rsidRPr="001A1AB9" w:rsidRDefault="0039067A" w:rsidP="00D41BD8">
                    <w:pPr>
                      <w:rPr>
                        <w:b/>
                      </w:rPr>
                    </w:pPr>
                    <w:r w:rsidRPr="001A1AB9">
                      <w:rPr>
                        <w:b/>
                      </w:rPr>
                      <w:t>ETAPES</w:t>
                    </w:r>
                  </w:p>
                </w:txbxContent>
              </v:textbox>
            </v:shape>
            <v:rect id="_x0000_s1443" style="position:absolute;left:1213;top:2282;width:10785;height:5985" filled="f"/>
          </v:group>
        </w:pict>
      </w:r>
    </w:p>
    <w:p w:rsidR="00D41BD8" w:rsidRPr="00D41BD8" w:rsidRDefault="00D41BD8" w:rsidP="00D41BD8">
      <w:pPr>
        <w:spacing w:before="0" w:beforeAutospacing="0" w:after="200" w:afterAutospacing="0" w:line="276" w:lineRule="auto"/>
        <w:ind w:firstLine="284"/>
        <w:jc w:val="both"/>
        <w:rPr>
          <w:rFonts w:ascii="Times New Roman" w:eastAsia="Times New Roman" w:hAnsi="Times New Roman" w:cs="Times New Roman"/>
          <w:sz w:val="24"/>
          <w:szCs w:val="24"/>
          <w:lang w:eastAsia="fr-FR"/>
        </w:rPr>
      </w:pPr>
    </w:p>
    <w:p w:rsidR="00D41BD8" w:rsidRPr="00D41BD8" w:rsidRDefault="00D41BD8" w:rsidP="00D41BD8">
      <w:pPr>
        <w:spacing w:before="0" w:beforeAutospacing="0" w:after="200" w:afterAutospacing="0" w:line="276" w:lineRule="auto"/>
        <w:ind w:firstLine="284"/>
        <w:jc w:val="both"/>
        <w:rPr>
          <w:rFonts w:ascii="Times New Roman" w:eastAsia="Times New Roman" w:hAnsi="Times New Roman" w:cs="Times New Roman"/>
          <w:sz w:val="24"/>
          <w:szCs w:val="24"/>
          <w:lang w:eastAsia="fr-FR"/>
        </w:rPr>
      </w:pPr>
    </w:p>
    <w:p w:rsidR="00D41BD8" w:rsidRPr="00D41BD8" w:rsidRDefault="00D41BD8" w:rsidP="00D41BD8">
      <w:pPr>
        <w:spacing w:before="0" w:beforeAutospacing="0" w:after="200" w:afterAutospacing="0" w:line="276" w:lineRule="auto"/>
        <w:ind w:firstLine="284"/>
        <w:jc w:val="both"/>
        <w:rPr>
          <w:rFonts w:ascii="Times New Roman" w:eastAsia="Times New Roman" w:hAnsi="Times New Roman" w:cs="Times New Roman"/>
          <w:sz w:val="24"/>
          <w:szCs w:val="24"/>
          <w:lang w:eastAsia="fr-FR"/>
        </w:rPr>
      </w:pPr>
    </w:p>
    <w:p w:rsidR="00D41BD8" w:rsidRPr="00D41BD8" w:rsidRDefault="00D41BD8" w:rsidP="00D41BD8">
      <w:pPr>
        <w:spacing w:before="0" w:beforeAutospacing="0" w:after="200" w:afterAutospacing="0" w:line="276" w:lineRule="auto"/>
        <w:ind w:firstLine="284"/>
        <w:jc w:val="both"/>
        <w:rPr>
          <w:rFonts w:ascii="Times New Roman" w:eastAsia="Times New Roman" w:hAnsi="Times New Roman" w:cs="Times New Roman"/>
          <w:sz w:val="24"/>
          <w:szCs w:val="24"/>
          <w:lang w:eastAsia="fr-FR"/>
        </w:rPr>
      </w:pPr>
    </w:p>
    <w:p w:rsidR="00D41BD8" w:rsidRPr="00D41BD8" w:rsidRDefault="00D41BD8" w:rsidP="00D41BD8">
      <w:pPr>
        <w:spacing w:before="0" w:beforeAutospacing="0" w:after="200" w:afterAutospacing="0" w:line="276" w:lineRule="auto"/>
        <w:ind w:firstLine="284"/>
        <w:jc w:val="both"/>
        <w:rPr>
          <w:rFonts w:ascii="Times New Roman" w:eastAsia="Times New Roman" w:hAnsi="Times New Roman" w:cs="Times New Roman"/>
          <w:sz w:val="24"/>
          <w:szCs w:val="24"/>
          <w:lang w:eastAsia="fr-FR"/>
        </w:rPr>
      </w:pPr>
    </w:p>
    <w:p w:rsidR="00D41BD8" w:rsidRPr="00D41BD8" w:rsidRDefault="00D41BD8" w:rsidP="00D41BD8">
      <w:pPr>
        <w:spacing w:before="0" w:beforeAutospacing="0" w:after="200" w:afterAutospacing="0" w:line="276" w:lineRule="auto"/>
        <w:ind w:firstLine="284"/>
        <w:jc w:val="both"/>
        <w:rPr>
          <w:rFonts w:ascii="Times New Roman" w:eastAsia="Times New Roman" w:hAnsi="Times New Roman" w:cs="Times New Roman"/>
          <w:sz w:val="24"/>
          <w:szCs w:val="24"/>
          <w:lang w:eastAsia="fr-FR"/>
        </w:rPr>
      </w:pPr>
    </w:p>
    <w:p w:rsidR="00D41BD8" w:rsidRPr="00D41BD8" w:rsidRDefault="00D41BD8" w:rsidP="00D41BD8">
      <w:pPr>
        <w:spacing w:before="0" w:beforeAutospacing="0" w:after="200" w:afterAutospacing="0" w:line="276" w:lineRule="auto"/>
        <w:ind w:firstLine="284"/>
        <w:jc w:val="both"/>
        <w:rPr>
          <w:rFonts w:ascii="Times New Roman" w:eastAsia="Times New Roman" w:hAnsi="Times New Roman" w:cs="Times New Roman"/>
          <w:sz w:val="24"/>
          <w:szCs w:val="24"/>
          <w:lang w:eastAsia="fr-FR"/>
        </w:rPr>
      </w:pPr>
    </w:p>
    <w:p w:rsidR="00D41BD8" w:rsidRPr="00D41BD8" w:rsidRDefault="00D41BD8" w:rsidP="00D41BD8">
      <w:pPr>
        <w:spacing w:before="0" w:beforeAutospacing="0" w:after="200" w:afterAutospacing="0" w:line="276" w:lineRule="auto"/>
        <w:ind w:firstLine="284"/>
        <w:jc w:val="both"/>
        <w:rPr>
          <w:rFonts w:ascii="Times New Roman" w:eastAsia="Times New Roman" w:hAnsi="Times New Roman" w:cs="Times New Roman"/>
          <w:sz w:val="24"/>
          <w:szCs w:val="24"/>
          <w:lang w:eastAsia="fr-FR"/>
        </w:rPr>
      </w:pPr>
    </w:p>
    <w:p w:rsidR="00D41BD8" w:rsidRPr="00D41BD8" w:rsidRDefault="00D41BD8" w:rsidP="00D41BD8">
      <w:pPr>
        <w:spacing w:before="0" w:beforeAutospacing="0" w:after="200" w:afterAutospacing="0" w:line="276" w:lineRule="auto"/>
        <w:ind w:firstLine="284"/>
        <w:jc w:val="both"/>
        <w:rPr>
          <w:rFonts w:ascii="Times New Roman" w:eastAsia="Times New Roman" w:hAnsi="Times New Roman" w:cs="Times New Roman"/>
          <w:sz w:val="24"/>
          <w:szCs w:val="24"/>
          <w:lang w:eastAsia="fr-FR"/>
        </w:rPr>
      </w:pPr>
    </w:p>
    <w:p w:rsidR="00D41BD8" w:rsidRPr="00D41BD8" w:rsidRDefault="00D41BD8" w:rsidP="00D41BD8">
      <w:pPr>
        <w:spacing w:before="0" w:beforeAutospacing="0" w:after="200" w:afterAutospacing="0" w:line="276" w:lineRule="auto"/>
        <w:ind w:firstLine="284"/>
        <w:jc w:val="both"/>
        <w:rPr>
          <w:rFonts w:ascii="Times New Roman" w:eastAsia="Times New Roman" w:hAnsi="Times New Roman" w:cs="Times New Roman"/>
          <w:sz w:val="24"/>
          <w:szCs w:val="24"/>
          <w:lang w:eastAsia="fr-FR"/>
        </w:rPr>
      </w:pPr>
    </w:p>
    <w:p w:rsidR="00D41BD8" w:rsidRPr="00D41BD8" w:rsidRDefault="00D41BD8" w:rsidP="00D41BD8">
      <w:pPr>
        <w:spacing w:before="0" w:beforeAutospacing="0" w:after="200" w:afterAutospacing="0" w:line="276" w:lineRule="auto"/>
        <w:ind w:firstLine="284"/>
        <w:jc w:val="both"/>
        <w:rPr>
          <w:rFonts w:ascii="Times New Roman" w:eastAsia="Times New Roman" w:hAnsi="Times New Roman" w:cs="Times New Roman"/>
          <w:sz w:val="24"/>
          <w:szCs w:val="24"/>
          <w:lang w:eastAsia="fr-FR"/>
        </w:rPr>
      </w:pPr>
    </w:p>
    <w:p w:rsidR="00D41BD8" w:rsidRPr="00D41BD8" w:rsidRDefault="00D41BD8" w:rsidP="00D41BD8">
      <w:pPr>
        <w:spacing w:before="0" w:beforeAutospacing="0" w:after="200" w:afterAutospacing="0" w:line="276" w:lineRule="auto"/>
        <w:ind w:firstLine="284"/>
        <w:jc w:val="both"/>
        <w:rPr>
          <w:rFonts w:ascii="Times New Roman" w:eastAsia="Times New Roman" w:hAnsi="Times New Roman" w:cs="Times New Roman"/>
          <w:sz w:val="24"/>
          <w:szCs w:val="24"/>
          <w:lang w:eastAsia="fr-FR"/>
        </w:rPr>
      </w:pPr>
      <w:r w:rsidRPr="00D41BD8">
        <w:rPr>
          <w:rFonts w:ascii="Times New Roman" w:eastAsia="Times New Roman" w:hAnsi="Times New Roman" w:cs="Times New Roman"/>
          <w:b/>
          <w:sz w:val="24"/>
          <w:szCs w:val="24"/>
          <w:u w:val="single"/>
          <w:lang w:eastAsia="fr-FR"/>
        </w:rPr>
        <w:t>Source</w:t>
      </w:r>
      <w:r w:rsidRPr="00D41BD8">
        <w:rPr>
          <w:rFonts w:ascii="Times New Roman" w:eastAsia="Times New Roman" w:hAnsi="Times New Roman" w:cs="Times New Roman"/>
          <w:b/>
          <w:sz w:val="24"/>
          <w:szCs w:val="24"/>
          <w:lang w:eastAsia="fr-FR"/>
        </w:rPr>
        <w:t> : </w:t>
      </w:r>
      <w:r w:rsidRPr="00D41BD8">
        <w:rPr>
          <w:rFonts w:ascii="Times New Roman" w:eastAsia="Times New Roman" w:hAnsi="Times New Roman" w:cs="Times New Roman"/>
          <w:sz w:val="24"/>
          <w:szCs w:val="24"/>
          <w:lang w:eastAsia="fr-FR"/>
        </w:rPr>
        <w:t xml:space="preserve">E. Barbu, </w:t>
      </w:r>
      <w:proofErr w:type="spellStart"/>
      <w:r w:rsidRPr="00D41BD8">
        <w:rPr>
          <w:rFonts w:ascii="Times New Roman" w:eastAsia="Times New Roman" w:hAnsi="Times New Roman" w:cs="Times New Roman"/>
          <w:sz w:val="24"/>
          <w:szCs w:val="24"/>
          <w:lang w:eastAsia="fr-FR"/>
        </w:rPr>
        <w:t>Op-Cit</w:t>
      </w:r>
      <w:proofErr w:type="spellEnd"/>
      <w:r w:rsidRPr="00D41BD8">
        <w:rPr>
          <w:rFonts w:ascii="Times New Roman" w:eastAsia="Times New Roman" w:hAnsi="Times New Roman" w:cs="Times New Roman"/>
          <w:sz w:val="24"/>
          <w:szCs w:val="24"/>
          <w:lang w:eastAsia="fr-FR"/>
        </w:rPr>
        <w:t>, p : 4.</w:t>
      </w:r>
    </w:p>
    <w:p w:rsidR="00D41BD8" w:rsidRPr="00D41BD8" w:rsidRDefault="00D41BD8" w:rsidP="00D41BD8">
      <w:pPr>
        <w:spacing w:before="0" w:beforeAutospacing="0" w:after="120" w:afterAutospacing="0" w:line="276" w:lineRule="auto"/>
        <w:ind w:firstLine="284"/>
        <w:jc w:val="both"/>
        <w:rPr>
          <w:rFonts w:ascii="Times New Roman" w:eastAsia="Times New Roman" w:hAnsi="Times New Roman" w:cs="Times New Roman"/>
          <w:sz w:val="24"/>
          <w:szCs w:val="24"/>
          <w:lang w:eastAsia="fr-FR"/>
        </w:rPr>
      </w:pPr>
      <w:r w:rsidRPr="00D41BD8">
        <w:rPr>
          <w:rFonts w:ascii="Times New Roman" w:eastAsia="Times New Roman" w:hAnsi="Times New Roman" w:cs="Times New Roman"/>
          <w:sz w:val="24"/>
          <w:szCs w:val="24"/>
          <w:lang w:eastAsia="fr-FR"/>
        </w:rPr>
        <w:t xml:space="preserve">A travers ce schéma, on peut conclure que les trois termes sont définis selon une perspective historique liée à l’évolution de la régulation comptable internationale. Dès lors, «l’Harmonisation» est le terme consacré pour désigner la réduction des différences entre réglementations comptables nationales. Il est distingué de «standardisation» qui suppose plutôt l’uniformisation totale des règles. Hors que la « normalisation » constitue, selon la définition présentée par Barbu, une étape transitoire entre deux étapes principales liées au processus d’harmonisation comptable internationale. </w:t>
      </w:r>
    </w:p>
    <w:p w:rsidR="00D41BD8" w:rsidRPr="00D41BD8" w:rsidRDefault="00D41BD8" w:rsidP="00D41BD8">
      <w:pPr>
        <w:spacing w:before="0" w:beforeAutospacing="0" w:after="120" w:afterAutospacing="0" w:line="276" w:lineRule="auto"/>
        <w:jc w:val="both"/>
        <w:rPr>
          <w:rFonts w:ascii="Times New Roman" w:eastAsia="Times New Roman" w:hAnsi="Times New Roman" w:cs="Times New Roman"/>
          <w:b/>
          <w:i/>
          <w:sz w:val="24"/>
          <w:szCs w:val="24"/>
          <w:lang w:eastAsia="fr-FR"/>
        </w:rPr>
      </w:pPr>
      <w:r w:rsidRPr="00D41BD8">
        <w:rPr>
          <w:rFonts w:ascii="Times New Roman" w:eastAsia="Times New Roman" w:hAnsi="Times New Roman" w:cs="Times New Roman"/>
          <w:b/>
          <w:i/>
          <w:sz w:val="24"/>
          <w:szCs w:val="24"/>
          <w:lang w:eastAsia="fr-FR"/>
        </w:rPr>
        <w:t>3.1.2. Un bref aperçu sur l’histoire de l’harmonisation comptable internationale</w:t>
      </w:r>
    </w:p>
    <w:p w:rsidR="00D41BD8" w:rsidRPr="00D41BD8" w:rsidRDefault="00D41BD8" w:rsidP="00D41BD8">
      <w:pPr>
        <w:spacing w:before="0" w:beforeAutospacing="0" w:after="120" w:afterAutospacing="0" w:line="276" w:lineRule="auto"/>
        <w:ind w:firstLine="284"/>
        <w:jc w:val="both"/>
        <w:rPr>
          <w:rFonts w:ascii="Times New Roman" w:eastAsia="Times New Roman" w:hAnsi="Times New Roman" w:cs="Times New Roman"/>
          <w:sz w:val="24"/>
          <w:szCs w:val="24"/>
          <w:lang w:eastAsia="fr-FR"/>
        </w:rPr>
      </w:pPr>
      <w:r w:rsidRPr="00D41BD8">
        <w:rPr>
          <w:rFonts w:ascii="Times New Roman" w:eastAsia="Times New Roman" w:hAnsi="Times New Roman" w:cs="Times New Roman"/>
          <w:sz w:val="24"/>
          <w:szCs w:val="24"/>
          <w:lang w:eastAsia="fr-FR"/>
        </w:rPr>
        <w:t xml:space="preserve">L’harmonisation comptable internationale est un processus qui a débuté dans les années 60.Il a coïncidé avec l’évolution des marchés de capitaux qui se sont transformés en marchés de plus en plus globalisés. Au niveau mondial, plusieurs tentatives d’harmonisation comptable ont été poursuivies durant les quarante dernières années. Un schéma récapitulatif des événements les plus marquants concernant ce processus était présenté par E. Barbu (voir schéma 2). Ce schéma reprend l’histoire de l’harmonisation comptable constatée sur trois niveaux : au niveau européen, au niveau américain et au </w:t>
      </w:r>
      <w:proofErr w:type="gramStart"/>
      <w:r w:rsidRPr="00D41BD8">
        <w:rPr>
          <w:rFonts w:ascii="Times New Roman" w:eastAsia="Times New Roman" w:hAnsi="Times New Roman" w:cs="Times New Roman"/>
          <w:sz w:val="24"/>
          <w:szCs w:val="24"/>
          <w:lang w:eastAsia="fr-FR"/>
        </w:rPr>
        <w:t>niveau</w:t>
      </w:r>
      <w:proofErr w:type="gramEnd"/>
      <w:r w:rsidRPr="00D41BD8">
        <w:rPr>
          <w:rFonts w:ascii="Times New Roman" w:eastAsia="Times New Roman" w:hAnsi="Times New Roman" w:cs="Times New Roman"/>
          <w:sz w:val="24"/>
          <w:szCs w:val="24"/>
          <w:lang w:eastAsia="fr-FR"/>
        </w:rPr>
        <w:t xml:space="preserve"> international. </w:t>
      </w:r>
    </w:p>
    <w:p w:rsidR="00D41BD8" w:rsidRPr="00D41BD8" w:rsidRDefault="00D41BD8" w:rsidP="00D41BD8">
      <w:pPr>
        <w:spacing w:before="0" w:beforeAutospacing="0" w:after="200" w:afterAutospacing="0" w:line="276" w:lineRule="auto"/>
        <w:jc w:val="both"/>
        <w:rPr>
          <w:rFonts w:ascii="Times New Roman" w:eastAsia="Times New Roman" w:hAnsi="Times New Roman" w:cs="Times New Roman"/>
          <w:b/>
          <w:sz w:val="24"/>
          <w:szCs w:val="24"/>
          <w:lang w:eastAsia="fr-FR"/>
        </w:rPr>
        <w:sectPr w:rsidR="00D41BD8" w:rsidRPr="00D41BD8" w:rsidSect="00D41BD8">
          <w:headerReference w:type="default" r:id="rId14"/>
          <w:footerReference w:type="default" r:id="rId15"/>
          <w:footerReference w:type="first" r:id="rId16"/>
          <w:pgSz w:w="11906" w:h="16838"/>
          <w:pgMar w:top="1418" w:right="1418" w:bottom="1418" w:left="1418" w:header="567" w:footer="567" w:gutter="567"/>
          <w:cols w:space="708"/>
          <w:titlePg/>
          <w:docGrid w:linePitch="360"/>
        </w:sectPr>
      </w:pPr>
    </w:p>
    <w:p w:rsidR="00D41BD8" w:rsidRPr="00D41BD8" w:rsidRDefault="00D41BD8" w:rsidP="00D41BD8">
      <w:pPr>
        <w:spacing w:before="0" w:beforeAutospacing="0" w:after="200" w:afterAutospacing="0" w:line="276" w:lineRule="auto"/>
        <w:rPr>
          <w:rFonts w:ascii="Times New Roman" w:eastAsia="Times New Roman" w:hAnsi="Times New Roman" w:cs="Times New Roman"/>
          <w:b/>
          <w:sz w:val="24"/>
          <w:szCs w:val="24"/>
          <w:lang w:eastAsia="fr-FR"/>
        </w:rPr>
      </w:pPr>
      <w:r w:rsidRPr="00D41BD8">
        <w:rPr>
          <w:rFonts w:ascii="Times New Roman" w:eastAsia="Times New Roman" w:hAnsi="Times New Roman" w:cs="Times New Roman"/>
          <w:noProof/>
          <w:sz w:val="24"/>
          <w:szCs w:val="24"/>
          <w:lang w:eastAsia="fr-FR"/>
        </w:rPr>
        <w:lastRenderedPageBreak/>
        <w:pict>
          <v:group id="_x0000_s1444" style="position:absolute;left:0;text-align:left;margin-left:-3.05pt;margin-top:14.95pt;width:755pt;height:379.75pt;z-index:251663360" coordorigin="518,1735" coordsize="15982,7595">
            <v:rect id="_x0000_s1445" style="position:absolute;left:518;top:1735;width:368;height:1880">
              <v:textbox style="mso-next-textbox:#_x0000_s1445">
                <w:txbxContent>
                  <w:p w:rsidR="0039067A" w:rsidRPr="005757C7" w:rsidRDefault="0039067A" w:rsidP="00D41BD8">
                    <w:pPr>
                      <w:spacing w:after="0"/>
                      <w:rPr>
                        <w:b/>
                        <w:sz w:val="18"/>
                        <w:szCs w:val="20"/>
                      </w:rPr>
                    </w:pPr>
                    <w:r w:rsidRPr="005757C7">
                      <w:rPr>
                        <w:b/>
                        <w:sz w:val="16"/>
                        <w:szCs w:val="20"/>
                      </w:rPr>
                      <w:t>AMERICAIN</w:t>
                    </w:r>
                  </w:p>
                </w:txbxContent>
              </v:textbox>
            </v:rect>
            <v:rect id="_x0000_s1446" style="position:absolute;left:518;top:3629;width:368;height:2687">
              <v:textbox style="mso-next-textbox:#_x0000_s1446">
                <w:txbxContent>
                  <w:p w:rsidR="0039067A" w:rsidRPr="005757C7" w:rsidRDefault="0039067A" w:rsidP="00D41BD8">
                    <w:pPr>
                      <w:spacing w:after="0"/>
                      <w:rPr>
                        <w:b/>
                        <w:sz w:val="18"/>
                      </w:rPr>
                    </w:pPr>
                    <w:r w:rsidRPr="005757C7">
                      <w:rPr>
                        <w:b/>
                        <w:sz w:val="16"/>
                        <w:szCs w:val="20"/>
                      </w:rPr>
                      <w:t>INTERNATIONA</w:t>
                    </w:r>
                    <w:r w:rsidRPr="005757C7">
                      <w:rPr>
                        <w:b/>
                        <w:sz w:val="16"/>
                      </w:rPr>
                      <w:t>L</w:t>
                    </w:r>
                  </w:p>
                </w:txbxContent>
              </v:textbox>
            </v:rect>
            <v:rect id="_x0000_s1447" style="position:absolute;left:533;top:6557;width:368;height:1933">
              <v:textbox style="mso-next-textbox:#_x0000_s1447">
                <w:txbxContent>
                  <w:p w:rsidR="0039067A" w:rsidRPr="00694462" w:rsidRDefault="0039067A" w:rsidP="00D41BD8">
                    <w:pPr>
                      <w:spacing w:after="0"/>
                      <w:rPr>
                        <w:b/>
                        <w:sz w:val="18"/>
                        <w:szCs w:val="20"/>
                      </w:rPr>
                    </w:pPr>
                    <w:r w:rsidRPr="00694462">
                      <w:rPr>
                        <w:b/>
                        <w:sz w:val="18"/>
                        <w:szCs w:val="20"/>
                      </w:rPr>
                      <w:t>EUROPEEN</w:t>
                    </w:r>
                  </w:p>
                </w:txbxContent>
              </v:textbox>
            </v:rect>
            <v:shape id="_x0000_s1448" type="#_x0000_t32" style="position:absolute;left:556;top:6404;width:15944;height:0" o:connectortype="straight" strokeweight="3pt">
              <v:stroke startarrow="diamond" endarrow="block"/>
            </v:shape>
            <v:oval id="_x0000_s1449" style="position:absolute;left:1171;top:6272;width:1005;height:370;v-text-anchor:middle">
              <v:textbox style="mso-next-textbox:#_x0000_s1449" inset=".5mm,.3mm,.5mm,.3mm">
                <w:txbxContent>
                  <w:p w:rsidR="0039067A" w:rsidRPr="004648CE" w:rsidRDefault="0039067A" w:rsidP="00D41BD8">
                    <w:pPr>
                      <w:spacing w:after="0"/>
                      <w:rPr>
                        <w:sz w:val="20"/>
                      </w:rPr>
                    </w:pPr>
                    <w:r w:rsidRPr="004648CE">
                      <w:rPr>
                        <w:sz w:val="20"/>
                      </w:rPr>
                      <w:t>1967</w:t>
                    </w:r>
                  </w:p>
                </w:txbxContent>
              </v:textbox>
            </v:oval>
            <v:oval id="_x0000_s1450" style="position:absolute;left:2626;top:6275;width:1005;height:367;v-text-anchor:middle">
              <v:textbox style="mso-next-textbox:#_x0000_s1450" inset=".5mm,.3mm,.5mm,.3mm">
                <w:txbxContent>
                  <w:p w:rsidR="0039067A" w:rsidRDefault="0039067A" w:rsidP="00D41BD8">
                    <w:r>
                      <w:t>1973</w:t>
                    </w:r>
                  </w:p>
                  <w:p w:rsidR="0039067A" w:rsidRDefault="0039067A" w:rsidP="00D41BD8"/>
                </w:txbxContent>
              </v:textbox>
            </v:oval>
            <v:oval id="_x0000_s1451" style="position:absolute;left:3976;top:6272;width:1005;height:370;v-text-anchor:middle">
              <v:textbox style="mso-next-textbox:#_x0000_s1451" inset=".5mm,.3mm,.5mm,.3mm">
                <w:txbxContent>
                  <w:p w:rsidR="0039067A" w:rsidRDefault="0039067A" w:rsidP="00D41BD8">
                    <w:r>
                      <w:t>1978</w:t>
                    </w:r>
                  </w:p>
                </w:txbxContent>
              </v:textbox>
            </v:oval>
            <v:oval id="_x0000_s1452" style="position:absolute;left:5490;top:6272;width:1005;height:370;v-text-anchor:middle">
              <v:textbox style="mso-next-textbox:#_x0000_s1452" inset=".5mm,.3mm,.5mm,.3mm">
                <w:txbxContent>
                  <w:p w:rsidR="0039067A" w:rsidRDefault="0039067A" w:rsidP="00D41BD8">
                    <w:r>
                      <w:t>1983</w:t>
                    </w:r>
                  </w:p>
                </w:txbxContent>
              </v:textbox>
            </v:oval>
            <v:oval id="_x0000_s1453" style="position:absolute;left:6840;top:6257;width:1005;height:370;v-text-anchor:middle">
              <v:textbox style="mso-next-textbox:#_x0000_s1453" inset=".5mm,.3mm,.5mm,.3mm">
                <w:txbxContent>
                  <w:p w:rsidR="0039067A" w:rsidRDefault="0039067A" w:rsidP="00D41BD8">
                    <w:r>
                      <w:t>1984</w:t>
                    </w:r>
                  </w:p>
                </w:txbxContent>
              </v:textbox>
            </v:oval>
            <v:oval id="_x0000_s1454" style="position:absolute;left:7848;top:6257;width:1005;height:370;v-text-anchor:middle">
              <v:textbox style="mso-next-textbox:#_x0000_s1454" inset=".5mm,.3mm,.5mm,.3mm">
                <w:txbxContent>
                  <w:p w:rsidR="0039067A" w:rsidRDefault="0039067A" w:rsidP="00D41BD8">
                    <w:r>
                      <w:t>1986</w:t>
                    </w:r>
                  </w:p>
                </w:txbxContent>
              </v:textbox>
            </v:oval>
            <v:oval id="_x0000_s1455" style="position:absolute;left:8835;top:6260;width:1005;height:382;v-text-anchor:middle">
              <v:textbox style="mso-next-textbox:#_x0000_s1455" inset=".5mm,.3mm,.5mm,.3mm">
                <w:txbxContent>
                  <w:p w:rsidR="0039067A" w:rsidRDefault="0039067A" w:rsidP="00D41BD8">
                    <w:r>
                      <w:t>1989</w:t>
                    </w:r>
                  </w:p>
                </w:txbxContent>
              </v:textbox>
            </v:oval>
            <v:oval id="_x0000_s1456" style="position:absolute;left:9826;top:6230;width:1005;height:397;v-text-anchor:middle">
              <v:textbox style="mso-next-textbox:#_x0000_s1456" inset=".5mm,.3mm,.5mm,.3mm">
                <w:txbxContent>
                  <w:p w:rsidR="0039067A" w:rsidRDefault="0039067A" w:rsidP="00D41BD8">
                    <w:r>
                      <w:t>1990</w:t>
                    </w:r>
                  </w:p>
                </w:txbxContent>
              </v:textbox>
            </v:oval>
            <v:oval id="_x0000_s1457" style="position:absolute;left:10831;top:6242;width:1005;height:400;v-text-anchor:middle">
              <v:textbox style="mso-next-textbox:#_x0000_s1457" inset=".5mm,.3mm,.5mm,.3mm">
                <w:txbxContent>
                  <w:p w:rsidR="0039067A" w:rsidRDefault="0039067A" w:rsidP="00D41BD8">
                    <w:r>
                      <w:t>1995</w:t>
                    </w:r>
                  </w:p>
                </w:txbxContent>
              </v:textbox>
            </v:oval>
            <v:oval id="_x0000_s1458" style="position:absolute;left:12736;top:6200;width:1005;height:400;v-text-anchor:middle">
              <v:textbox style="mso-next-textbox:#_x0000_s1458" inset=".5mm,.3mm,.5mm,.3mm">
                <w:txbxContent>
                  <w:p w:rsidR="0039067A" w:rsidRDefault="0039067A" w:rsidP="00D41BD8">
                    <w:r>
                      <w:t>2000</w:t>
                    </w:r>
                  </w:p>
                </w:txbxContent>
              </v:textbox>
            </v:oval>
            <v:oval id="_x0000_s1459" style="position:absolute;left:15060;top:6197;width:1005;height:403;v-text-anchor:middle">
              <v:textbox style="mso-next-textbox:#_x0000_s1459" inset=".5mm,.3mm,.5mm,.3mm">
                <w:txbxContent>
                  <w:p w:rsidR="0039067A" w:rsidRDefault="0039067A" w:rsidP="00D41BD8">
                    <w:r>
                      <w:t>2005</w:t>
                    </w:r>
                  </w:p>
                </w:txbxContent>
              </v:textbox>
            </v:oval>
            <v:oval id="_x0000_s1460" style="position:absolute;left:13725;top:6197;width:1005;height:403;v-text-anchor:middle">
              <v:textbox style="mso-next-textbox:#_x0000_s1460" inset=".5mm,.3mm,.5mm,.3mm">
                <w:txbxContent>
                  <w:p w:rsidR="0039067A" w:rsidRDefault="0039067A" w:rsidP="00D41BD8">
                    <w:r>
                      <w:t>2001</w:t>
                    </w:r>
                  </w:p>
                </w:txbxContent>
              </v:textbox>
            </v:oval>
            <v:rect id="_x0000_s1461" style="position:absolute;left:1231;top:1755;width:2609;height:690;v-text-anchor:middle">
              <v:textbox style="mso-next-textbox:#_x0000_s1461" inset=".5mm,,.5mm">
                <w:txbxContent>
                  <w:p w:rsidR="0039067A" w:rsidRPr="00694462" w:rsidRDefault="0039067A" w:rsidP="00D41BD8">
                    <w:r w:rsidRPr="00694462">
                      <w:t>Création de l’</w:t>
                    </w:r>
                    <w:proofErr w:type="spellStart"/>
                    <w:r w:rsidRPr="00694462">
                      <w:t>Accountants</w:t>
                    </w:r>
                    <w:proofErr w:type="spellEnd"/>
                    <w:r w:rsidRPr="00694462">
                      <w:t xml:space="preserve"> International </w:t>
                    </w:r>
                    <w:proofErr w:type="spellStart"/>
                    <w:r w:rsidRPr="00694462">
                      <w:t>Study</w:t>
                    </w:r>
                    <w:proofErr w:type="spellEnd"/>
                    <w:r w:rsidRPr="00694462">
                      <w:t xml:space="preserve"> Group</w:t>
                    </w:r>
                  </w:p>
                </w:txbxContent>
              </v:textbox>
            </v:rect>
            <v:rect id="_x0000_s1462" style="position:absolute;left:2595;top:4527;width:1381;height:870;v-text-anchor:middle">
              <v:textbox style="mso-next-textbox:#_x0000_s1462">
                <w:txbxContent>
                  <w:p w:rsidR="0039067A" w:rsidRDefault="0039067A" w:rsidP="00D41BD8">
                    <w:r>
                      <w:t>Création de l’IASB</w:t>
                    </w:r>
                  </w:p>
                </w:txbxContent>
              </v:textbox>
            </v:rect>
            <v:rect id="_x0000_s1463" style="position:absolute;left:14730;top:4530;width:1409;height:990">
              <v:textbox style="mso-next-textbox:#_x0000_s1463">
                <w:txbxContent>
                  <w:p w:rsidR="0039067A" w:rsidRDefault="0039067A" w:rsidP="00D41BD8">
                    <w:r>
                      <w:t>Application généralisée dans l’UE</w:t>
                    </w:r>
                  </w:p>
                </w:txbxContent>
              </v:textbox>
            </v:rect>
            <v:rect id="_x0000_s1464" style="position:absolute;left:10620;top:4530;width:1770;height:867">
              <v:textbox style="mso-next-textbox:#_x0000_s1464">
                <w:txbxContent>
                  <w:p w:rsidR="0039067A" w:rsidRDefault="0039067A" w:rsidP="00D41BD8">
                    <w:pPr>
                      <w:spacing w:after="60"/>
                    </w:pPr>
                    <w:r>
                      <w:t>Accord</w:t>
                    </w:r>
                  </w:p>
                  <w:p w:rsidR="0039067A" w:rsidRDefault="0039067A" w:rsidP="00D41BD8">
                    <w:pPr>
                      <w:spacing w:after="60"/>
                    </w:pPr>
                    <w:r>
                      <w:t>IASC/IOSCO</w:t>
                    </w:r>
                  </w:p>
                </w:txbxContent>
              </v:textbox>
            </v:rect>
            <v:rect id="_x0000_s1465" style="position:absolute;left:8746;top:4455;width:1289;height:942;v-text-anchor:middle">
              <v:textbox style="mso-next-textbox:#_x0000_s1465" inset=".5mm,.3mm,.5mm,.3mm">
                <w:txbxContent>
                  <w:p w:rsidR="0039067A" w:rsidRDefault="0039067A" w:rsidP="00D41BD8">
                    <w:r>
                      <w:t>Cadre comptable conceptuel</w:t>
                    </w:r>
                  </w:p>
                </w:txbxContent>
              </v:textbox>
            </v:rect>
            <v:rect id="_x0000_s1466" style="position:absolute;left:12736;top:4530;width:1484;height:990">
              <v:textbox style="mso-next-textbox:#_x0000_s1466">
                <w:txbxContent>
                  <w:p w:rsidR="0039067A" w:rsidRDefault="0039067A" w:rsidP="00D41BD8">
                    <w:r>
                      <w:t>Acceptation européenne des IFRS</w:t>
                    </w:r>
                  </w:p>
                </w:txbxContent>
              </v:textbox>
            </v:rect>
            <v:rect id="_x0000_s1467" style="position:absolute;left:7729;top:2445;width:1289;height:900;v-text-anchor:middle">
              <v:textbox style="mso-next-textbox:#_x0000_s1467" inset=".5mm,.3mm,.5mm,.3mm">
                <w:txbxContent>
                  <w:p w:rsidR="0039067A" w:rsidRPr="00694462" w:rsidRDefault="0039067A" w:rsidP="00D41BD8">
                    <w:r w:rsidRPr="00694462">
                      <w:t>Cadre comptable conceptuel</w:t>
                    </w:r>
                  </w:p>
                </w:txbxContent>
              </v:textbox>
            </v:rect>
            <v:rect id="_x0000_s1468" style="position:absolute;left:10035;top:3750;width:1801;height:705">
              <v:textbox style="mso-next-textbox:#_x0000_s1468">
                <w:txbxContent>
                  <w:p w:rsidR="0039067A" w:rsidRDefault="0039067A" w:rsidP="00D41BD8">
                    <w:r>
                      <w:t>Projet de comparabilité</w:t>
                    </w:r>
                  </w:p>
                </w:txbxContent>
              </v:textbox>
            </v:rect>
            <v:rect id="_x0000_s1469" style="position:absolute;left:2595;top:2610;width:1381;height:690">
              <v:textbox style="mso-next-textbox:#_x0000_s1469">
                <w:txbxContent>
                  <w:p w:rsidR="0039067A" w:rsidRPr="00694462" w:rsidRDefault="0039067A" w:rsidP="00D41BD8">
                    <w:r w:rsidRPr="00694462">
                      <w:t>Création du FASB</w:t>
                    </w:r>
                  </w:p>
                </w:txbxContent>
              </v:textbox>
            </v:rect>
            <v:shape id="_x0000_s1470" type="#_x0000_t32" style="position:absolute;left:1681;top:2520;width:0;height:3737;flip:y" o:connectortype="straight">
              <v:stroke dashstyle="longDashDot" endarrow="block"/>
            </v:shape>
            <v:shape id="_x0000_s1471" type="#_x0000_t32" style="position:absolute;left:3135;top:5397;width:1;height:878;flip:y" o:connectortype="straight">
              <v:stroke dashstyle="longDashDot" endarrow="block"/>
            </v:shape>
            <v:shape id="_x0000_s1472" type="#_x0000_t32" style="position:absolute;left:3135;top:3315;width:0;height:1200;flip:y" o:connectortype="straight">
              <v:stroke dashstyle="longDashDot" endarrow="block"/>
            </v:shape>
            <v:shape id="_x0000_s1473" type="#_x0000_t32" style="position:absolute;left:8325;top:3330;width:1;height:2900;flip:y" o:connectortype="straight">
              <v:stroke dashstyle="longDashDot" endarrow="block"/>
            </v:shape>
            <v:shape id="_x0000_s1474" type="#_x0000_t32" style="position:absolute;left:9345;top:5397;width:1;height:878;flip:y" o:connectortype="straight">
              <v:stroke dashstyle="longDashDot" endarrow="block"/>
            </v:shape>
            <v:shape id="_x0000_s1475" type="#_x0000_t32" style="position:absolute;left:10320;top:4455;width:1;height:1745;flip:y" o:connectortype="straight">
              <v:stroke dashstyle="longDashDot" endarrow="block"/>
            </v:shape>
            <v:shape id="_x0000_s1476" type="#_x0000_t32" style="position:absolute;left:11309;top:5397;width:1;height:800;flip:y" o:connectortype="straight">
              <v:stroke dashstyle="longDashDot" endarrow="block"/>
            </v:shape>
            <v:shape id="_x0000_s1477" type="#_x0000_t32" style="position:absolute;left:13230;top:5520;width:1;height:677;flip:y" o:connectortype="straight">
              <v:stroke dashstyle="longDashDot" endarrow="block"/>
            </v:shape>
            <v:shape id="_x0000_s1478" type="#_x0000_t32" style="position:absolute;left:15510;top:5520;width:1;height:677;flip:y" o:connectortype="straight">
              <v:stroke dashstyle="longDashDot" endarrow="block"/>
            </v:shape>
            <v:shape id="_x0000_s1479" type="#_x0000_t32" style="position:absolute;left:901;top:3618;width:15238;height:0" o:connectortype="straight">
              <v:stroke dashstyle="dashDot"/>
            </v:shape>
            <v:shape id="_x0000_s1480" type="#_x0000_t32" style="position:absolute;left:932;top:8477;width:15238;height:0" o:connectortype="straight">
              <v:stroke dashstyle="dashDot"/>
            </v:shape>
            <v:shape id="_x0000_s1481" type="#_x0000_t21" style="position:absolute;left:3720;top:6735;width:1590;height:1650;v-text-anchor:middle">
              <v:textbox style="mso-next-textbox:#_x0000_s1481" inset=".5mm,.3mm,.5mm,.3mm">
                <w:txbxContent>
                  <w:p w:rsidR="0039067A" w:rsidRDefault="0039067A" w:rsidP="00D41BD8">
                    <w:r>
                      <w:t>4</w:t>
                    </w:r>
                    <w:r w:rsidRPr="004A4085">
                      <w:rPr>
                        <w:vertAlign w:val="superscript"/>
                      </w:rPr>
                      <w:t>e</w:t>
                    </w:r>
                    <w:r>
                      <w:t xml:space="preserve"> directive comptable européenne 78/660/CEE</w:t>
                    </w:r>
                  </w:p>
                </w:txbxContent>
              </v:textbox>
            </v:shape>
            <v:shape id="_x0000_s1482" type="#_x0000_t21" style="position:absolute;left:5310;top:6735;width:1635;height:1650;v-text-anchor:middle">
              <v:textbox style="mso-next-textbox:#_x0000_s1482" inset=".5mm,.3mm,.5mm,.3mm">
                <w:txbxContent>
                  <w:p w:rsidR="0039067A" w:rsidRDefault="0039067A" w:rsidP="00D41BD8">
                    <w:r>
                      <w:t>7</w:t>
                    </w:r>
                    <w:r w:rsidRPr="004A4085">
                      <w:rPr>
                        <w:vertAlign w:val="superscript"/>
                      </w:rPr>
                      <w:t>e</w:t>
                    </w:r>
                    <w:r>
                      <w:t xml:space="preserve"> directive comptable européenne 83/349 CEE</w:t>
                    </w:r>
                  </w:p>
                </w:txbxContent>
              </v:textbox>
            </v:shape>
            <v:shape id="_x0000_s1483" type="#_x0000_t21" style="position:absolute;left:6945;top:6735;width:1635;height:1650;v-text-anchor:middle">
              <v:textbox style="mso-next-textbox:#_x0000_s1483" inset=".5mm,.3mm,.5mm,.3mm">
                <w:txbxContent>
                  <w:p w:rsidR="0039067A" w:rsidRDefault="0039067A" w:rsidP="00D41BD8">
                    <w:r>
                      <w:t>8</w:t>
                    </w:r>
                    <w:r w:rsidRPr="00626BC0">
                      <w:rPr>
                        <w:vertAlign w:val="superscript"/>
                      </w:rPr>
                      <w:t>e</w:t>
                    </w:r>
                    <w:r>
                      <w:t xml:space="preserve"> directive comptable européenne 84/253/CEE</w:t>
                    </w:r>
                  </w:p>
                </w:txbxContent>
              </v:textbox>
            </v:shape>
            <v:shape id="_x0000_s1484" type="#_x0000_t21" style="position:absolute;left:13140;top:6735;width:1485;height:1650;v-text-anchor:middle">
              <v:textbox style="mso-next-textbox:#_x0000_s1484" inset=".5mm,.3mm,.5mm,.3mm">
                <w:txbxContent>
                  <w:p w:rsidR="0039067A" w:rsidRDefault="0039067A" w:rsidP="00D41BD8">
                    <w:r>
                      <w:t>Directive comptable sur la juste valeur</w:t>
                    </w:r>
                  </w:p>
                </w:txbxContent>
              </v:textbox>
            </v:shape>
            <v:rect id="_x0000_s1485" style="position:absolute;left:932;top:8640;width:8563;height:690">
              <v:textbox style="mso-next-textbox:#_x0000_s1485">
                <w:txbxContent>
                  <w:p w:rsidR="0039067A" w:rsidRPr="009F383D" w:rsidRDefault="0039067A" w:rsidP="00D41BD8">
                    <w:pPr>
                      <w:spacing w:before="120" w:after="120"/>
                      <w:rPr>
                        <w:rFonts w:ascii="Times New Roman" w:hAnsi="Times New Roman" w:cs="Times New Roman"/>
                        <w:b/>
                        <w:sz w:val="32"/>
                      </w:rPr>
                    </w:pPr>
                    <w:r w:rsidRPr="009F383D">
                      <w:rPr>
                        <w:rFonts w:ascii="Times New Roman" w:hAnsi="Times New Roman" w:cs="Times New Roman"/>
                        <w:b/>
                        <w:sz w:val="32"/>
                      </w:rPr>
                      <w:t>H</w:t>
                    </w:r>
                  </w:p>
                </w:txbxContent>
              </v:textbox>
            </v:rect>
            <v:rect id="_x0000_s1486" style="position:absolute;left:9495;top:8640;width:6015;height:690">
              <v:textbox style="mso-next-textbox:#_x0000_s1486">
                <w:txbxContent>
                  <w:p w:rsidR="0039067A" w:rsidRPr="00C842D8" w:rsidRDefault="0039067A" w:rsidP="00D41BD8">
                    <w:pPr>
                      <w:spacing w:before="120" w:after="120"/>
                      <w:rPr>
                        <w:rFonts w:ascii="Times New Roman" w:hAnsi="Times New Roman" w:cs="Times New Roman"/>
                        <w:b/>
                        <w:sz w:val="32"/>
                      </w:rPr>
                    </w:pPr>
                    <w:r w:rsidRPr="00C842D8">
                      <w:rPr>
                        <w:rFonts w:ascii="Times New Roman" w:hAnsi="Times New Roman" w:cs="Times New Roman"/>
                        <w:b/>
                        <w:sz w:val="32"/>
                      </w:rPr>
                      <w:t>N</w:t>
                    </w:r>
                  </w:p>
                </w:txbxContent>
              </v:textbox>
            </v:rect>
            <v:rect id="_x0000_s1487" style="position:absolute;left:15511;top:8640;width:853;height:690">
              <v:textbox style="mso-next-textbox:#_x0000_s1487">
                <w:txbxContent>
                  <w:p w:rsidR="0039067A" w:rsidRPr="00C842D8" w:rsidRDefault="0039067A" w:rsidP="00D41BD8">
                    <w:pPr>
                      <w:spacing w:before="120" w:after="120"/>
                      <w:rPr>
                        <w:rFonts w:ascii="Times New Roman" w:hAnsi="Times New Roman" w:cs="Times New Roman"/>
                        <w:b/>
                        <w:sz w:val="32"/>
                      </w:rPr>
                    </w:pPr>
                    <w:r w:rsidRPr="00C842D8">
                      <w:rPr>
                        <w:rFonts w:ascii="Times New Roman" w:hAnsi="Times New Roman" w:cs="Times New Roman"/>
                        <w:b/>
                        <w:sz w:val="32"/>
                      </w:rPr>
                      <w:t>S</w:t>
                    </w:r>
                  </w:p>
                </w:txbxContent>
              </v:textbox>
            </v:rect>
          </v:group>
        </w:pict>
      </w:r>
      <w:r w:rsidRPr="00D41BD8">
        <w:rPr>
          <w:rFonts w:ascii="Times New Roman" w:eastAsia="Times New Roman" w:hAnsi="Times New Roman" w:cs="Times New Roman"/>
          <w:b/>
          <w:sz w:val="24"/>
          <w:szCs w:val="24"/>
          <w:lang w:eastAsia="fr-FR"/>
        </w:rPr>
        <w:t xml:space="preserve">Schéma (2) : </w:t>
      </w:r>
      <w:r w:rsidRPr="00D41BD8">
        <w:rPr>
          <w:rFonts w:ascii="Times New Roman" w:eastAsia="Times New Roman" w:hAnsi="Times New Roman" w:cs="Times New Roman"/>
          <w:sz w:val="24"/>
          <w:szCs w:val="24"/>
          <w:lang w:eastAsia="fr-FR"/>
        </w:rPr>
        <w:t>Evénements importants du processus d’harmonisation comptable internationale</w:t>
      </w:r>
    </w:p>
    <w:p w:rsidR="00D41BD8" w:rsidRPr="00D41BD8" w:rsidRDefault="00D41BD8" w:rsidP="00D41BD8">
      <w:pPr>
        <w:spacing w:before="0" w:beforeAutospacing="0" w:after="200" w:afterAutospacing="0" w:line="276" w:lineRule="auto"/>
        <w:ind w:firstLine="284"/>
        <w:jc w:val="both"/>
        <w:rPr>
          <w:rFonts w:ascii="Times New Roman" w:eastAsia="Times New Roman" w:hAnsi="Times New Roman" w:cs="Times New Roman"/>
          <w:sz w:val="24"/>
          <w:szCs w:val="24"/>
          <w:lang w:eastAsia="fr-FR"/>
        </w:rPr>
      </w:pPr>
    </w:p>
    <w:p w:rsidR="00D41BD8" w:rsidRPr="00D41BD8" w:rsidRDefault="00D41BD8" w:rsidP="00D41BD8">
      <w:pPr>
        <w:spacing w:before="0" w:beforeAutospacing="0" w:after="200" w:afterAutospacing="0" w:line="276" w:lineRule="auto"/>
        <w:ind w:firstLine="284"/>
        <w:jc w:val="both"/>
        <w:rPr>
          <w:rFonts w:ascii="Times New Roman" w:eastAsia="Times New Roman" w:hAnsi="Times New Roman" w:cs="Times New Roman"/>
          <w:sz w:val="24"/>
          <w:szCs w:val="24"/>
          <w:lang w:eastAsia="fr-FR"/>
        </w:rPr>
      </w:pPr>
    </w:p>
    <w:p w:rsidR="00D41BD8" w:rsidRPr="00D41BD8" w:rsidRDefault="00D41BD8" w:rsidP="00D41BD8">
      <w:pPr>
        <w:spacing w:before="0" w:beforeAutospacing="0" w:after="200" w:afterAutospacing="0" w:line="276" w:lineRule="auto"/>
        <w:ind w:firstLine="284"/>
        <w:jc w:val="both"/>
        <w:rPr>
          <w:rFonts w:ascii="Times New Roman" w:eastAsia="Times New Roman" w:hAnsi="Times New Roman" w:cs="Times New Roman"/>
          <w:sz w:val="24"/>
          <w:szCs w:val="24"/>
          <w:lang w:eastAsia="fr-FR"/>
        </w:rPr>
      </w:pPr>
    </w:p>
    <w:p w:rsidR="00D41BD8" w:rsidRPr="00D41BD8" w:rsidRDefault="00D41BD8" w:rsidP="00D41BD8">
      <w:pPr>
        <w:spacing w:before="0" w:beforeAutospacing="0" w:after="200" w:afterAutospacing="0" w:line="276" w:lineRule="auto"/>
        <w:ind w:firstLine="284"/>
        <w:jc w:val="both"/>
        <w:rPr>
          <w:rFonts w:ascii="Times New Roman" w:eastAsia="Times New Roman" w:hAnsi="Times New Roman" w:cs="Times New Roman"/>
          <w:sz w:val="24"/>
          <w:szCs w:val="24"/>
          <w:lang w:eastAsia="fr-FR"/>
        </w:rPr>
      </w:pPr>
    </w:p>
    <w:p w:rsidR="00D41BD8" w:rsidRPr="00D41BD8" w:rsidRDefault="00D41BD8" w:rsidP="00D41BD8">
      <w:pPr>
        <w:spacing w:before="0" w:beforeAutospacing="0" w:after="200" w:afterAutospacing="0" w:line="276" w:lineRule="auto"/>
        <w:ind w:firstLine="284"/>
        <w:jc w:val="both"/>
        <w:rPr>
          <w:rFonts w:ascii="Times New Roman" w:eastAsia="Times New Roman" w:hAnsi="Times New Roman" w:cs="Times New Roman"/>
          <w:sz w:val="24"/>
          <w:szCs w:val="24"/>
          <w:lang w:eastAsia="fr-FR"/>
        </w:rPr>
      </w:pPr>
    </w:p>
    <w:p w:rsidR="00D41BD8" w:rsidRPr="00D41BD8" w:rsidRDefault="00D41BD8" w:rsidP="00D41BD8">
      <w:pPr>
        <w:spacing w:before="0" w:beforeAutospacing="0" w:after="200" w:afterAutospacing="0" w:line="276" w:lineRule="auto"/>
        <w:ind w:firstLine="284"/>
        <w:jc w:val="both"/>
        <w:rPr>
          <w:rFonts w:ascii="Times New Roman" w:eastAsia="Times New Roman" w:hAnsi="Times New Roman" w:cs="Times New Roman"/>
          <w:sz w:val="24"/>
          <w:szCs w:val="24"/>
          <w:lang w:eastAsia="fr-FR"/>
        </w:rPr>
      </w:pPr>
    </w:p>
    <w:p w:rsidR="00D41BD8" w:rsidRPr="00D41BD8" w:rsidRDefault="00D41BD8" w:rsidP="00D41BD8">
      <w:pPr>
        <w:spacing w:before="0" w:beforeAutospacing="0" w:after="200" w:afterAutospacing="0" w:line="276" w:lineRule="auto"/>
        <w:ind w:firstLine="284"/>
        <w:jc w:val="both"/>
        <w:rPr>
          <w:rFonts w:ascii="Times New Roman" w:eastAsia="Times New Roman" w:hAnsi="Times New Roman" w:cs="Times New Roman"/>
          <w:sz w:val="24"/>
          <w:szCs w:val="24"/>
          <w:lang w:eastAsia="fr-FR"/>
        </w:rPr>
      </w:pPr>
    </w:p>
    <w:p w:rsidR="00D41BD8" w:rsidRPr="00D41BD8" w:rsidRDefault="00D41BD8" w:rsidP="00D41BD8">
      <w:pPr>
        <w:spacing w:before="0" w:beforeAutospacing="0" w:after="200" w:afterAutospacing="0" w:line="276" w:lineRule="auto"/>
        <w:ind w:firstLine="284"/>
        <w:jc w:val="both"/>
        <w:rPr>
          <w:rFonts w:ascii="Times New Roman" w:eastAsia="Times New Roman" w:hAnsi="Times New Roman" w:cs="Times New Roman"/>
          <w:sz w:val="24"/>
          <w:szCs w:val="24"/>
          <w:lang w:eastAsia="fr-FR"/>
        </w:rPr>
      </w:pPr>
    </w:p>
    <w:p w:rsidR="00D41BD8" w:rsidRPr="00D41BD8" w:rsidRDefault="00D41BD8" w:rsidP="00D41BD8">
      <w:pPr>
        <w:spacing w:before="0" w:beforeAutospacing="0" w:after="200" w:afterAutospacing="0" w:line="276" w:lineRule="auto"/>
        <w:ind w:firstLine="284"/>
        <w:jc w:val="both"/>
        <w:rPr>
          <w:rFonts w:ascii="Times New Roman" w:eastAsia="Times New Roman" w:hAnsi="Times New Roman" w:cs="Times New Roman"/>
          <w:sz w:val="24"/>
          <w:szCs w:val="24"/>
          <w:lang w:eastAsia="fr-FR"/>
        </w:rPr>
      </w:pPr>
    </w:p>
    <w:p w:rsidR="00D41BD8" w:rsidRPr="00D41BD8" w:rsidRDefault="00D41BD8" w:rsidP="00D41BD8">
      <w:pPr>
        <w:spacing w:before="0" w:beforeAutospacing="0" w:after="200" w:afterAutospacing="0" w:line="276" w:lineRule="auto"/>
        <w:ind w:firstLine="284"/>
        <w:jc w:val="both"/>
        <w:rPr>
          <w:rFonts w:ascii="Times New Roman" w:eastAsia="Times New Roman" w:hAnsi="Times New Roman" w:cs="Times New Roman"/>
          <w:sz w:val="24"/>
          <w:szCs w:val="24"/>
          <w:lang w:eastAsia="fr-FR"/>
        </w:rPr>
      </w:pPr>
    </w:p>
    <w:p w:rsidR="00D41BD8" w:rsidRPr="00D41BD8" w:rsidRDefault="00D41BD8" w:rsidP="00D41BD8">
      <w:pPr>
        <w:spacing w:before="0" w:beforeAutospacing="0" w:after="200" w:afterAutospacing="0" w:line="276" w:lineRule="auto"/>
        <w:ind w:firstLine="284"/>
        <w:jc w:val="both"/>
        <w:rPr>
          <w:rFonts w:ascii="Times New Roman" w:eastAsia="Times New Roman" w:hAnsi="Times New Roman" w:cs="Times New Roman"/>
          <w:sz w:val="24"/>
          <w:szCs w:val="24"/>
          <w:lang w:eastAsia="fr-FR"/>
        </w:rPr>
      </w:pPr>
    </w:p>
    <w:p w:rsidR="00D41BD8" w:rsidRPr="00D41BD8" w:rsidRDefault="00D41BD8" w:rsidP="00D41BD8">
      <w:pPr>
        <w:spacing w:before="0" w:beforeAutospacing="0" w:after="200" w:afterAutospacing="0" w:line="276" w:lineRule="auto"/>
        <w:ind w:firstLine="284"/>
        <w:jc w:val="both"/>
        <w:rPr>
          <w:rFonts w:ascii="Times New Roman" w:eastAsia="Times New Roman" w:hAnsi="Times New Roman" w:cs="Times New Roman"/>
          <w:sz w:val="24"/>
          <w:szCs w:val="24"/>
          <w:lang w:eastAsia="fr-FR"/>
        </w:rPr>
      </w:pPr>
    </w:p>
    <w:p w:rsidR="00D41BD8" w:rsidRPr="00D41BD8" w:rsidRDefault="00D41BD8" w:rsidP="00D41BD8">
      <w:pPr>
        <w:spacing w:before="0" w:beforeAutospacing="0" w:after="200" w:afterAutospacing="0" w:line="276" w:lineRule="auto"/>
        <w:ind w:firstLine="284"/>
        <w:jc w:val="both"/>
        <w:rPr>
          <w:rFonts w:ascii="Times New Roman" w:eastAsia="Times New Roman" w:hAnsi="Times New Roman" w:cs="Times New Roman"/>
          <w:sz w:val="24"/>
          <w:szCs w:val="24"/>
          <w:lang w:eastAsia="fr-FR"/>
        </w:rPr>
      </w:pPr>
    </w:p>
    <w:p w:rsidR="00D41BD8" w:rsidRPr="00D41BD8" w:rsidRDefault="00D41BD8" w:rsidP="00D41BD8">
      <w:pPr>
        <w:spacing w:before="0" w:beforeAutospacing="0" w:after="200" w:afterAutospacing="0" w:line="276" w:lineRule="auto"/>
        <w:ind w:firstLine="284"/>
        <w:jc w:val="both"/>
        <w:rPr>
          <w:rFonts w:ascii="Times New Roman" w:eastAsia="Times New Roman" w:hAnsi="Times New Roman" w:cs="Times New Roman"/>
          <w:sz w:val="24"/>
          <w:szCs w:val="24"/>
          <w:lang w:eastAsia="fr-FR"/>
        </w:rPr>
      </w:pPr>
    </w:p>
    <w:p w:rsidR="00D41BD8" w:rsidRPr="00D41BD8" w:rsidRDefault="00D41BD8" w:rsidP="00D41BD8">
      <w:pPr>
        <w:spacing w:before="0" w:beforeAutospacing="0" w:after="200" w:afterAutospacing="0" w:line="276" w:lineRule="auto"/>
        <w:ind w:firstLine="284"/>
        <w:jc w:val="both"/>
        <w:rPr>
          <w:rFonts w:ascii="Times New Roman" w:eastAsia="Times New Roman" w:hAnsi="Times New Roman" w:cs="Times New Roman"/>
          <w:sz w:val="24"/>
          <w:szCs w:val="24"/>
          <w:lang w:eastAsia="fr-FR"/>
        </w:rPr>
      </w:pPr>
    </w:p>
    <w:p w:rsidR="00D41BD8" w:rsidRPr="00D41BD8" w:rsidRDefault="00D41BD8" w:rsidP="00D41BD8">
      <w:pPr>
        <w:spacing w:before="0" w:beforeAutospacing="0" w:after="200" w:afterAutospacing="0" w:line="276" w:lineRule="auto"/>
        <w:jc w:val="left"/>
        <w:rPr>
          <w:rFonts w:ascii="Times New Roman" w:eastAsia="Times New Roman" w:hAnsi="Times New Roman" w:cs="Times New Roman"/>
          <w:b/>
          <w:sz w:val="24"/>
          <w:szCs w:val="24"/>
          <w:lang w:eastAsia="fr-FR"/>
        </w:rPr>
        <w:sectPr w:rsidR="00D41BD8" w:rsidRPr="00D41BD8" w:rsidSect="00F61BE2">
          <w:pgSz w:w="16838" w:h="11906" w:orient="landscape"/>
          <w:pgMar w:top="1418" w:right="1418" w:bottom="1418" w:left="1418" w:header="709" w:footer="709" w:gutter="0"/>
          <w:cols w:space="708"/>
          <w:titlePg/>
          <w:docGrid w:linePitch="360"/>
        </w:sectPr>
      </w:pPr>
      <w:r w:rsidRPr="00D41BD8">
        <w:rPr>
          <w:rFonts w:ascii="Times New Roman" w:eastAsia="Times New Roman" w:hAnsi="Times New Roman" w:cs="Times New Roman"/>
          <w:b/>
          <w:sz w:val="24"/>
          <w:szCs w:val="24"/>
          <w:lang w:eastAsia="fr-FR"/>
        </w:rPr>
        <w:t xml:space="preserve">Source : </w:t>
      </w:r>
      <w:r w:rsidRPr="00D41BD8">
        <w:rPr>
          <w:rFonts w:ascii="Times New Roman" w:hAnsi="Times New Roman" w:cs="Times New Roman"/>
        </w:rPr>
        <w:t xml:space="preserve">E. Barbu, </w:t>
      </w:r>
      <w:proofErr w:type="spellStart"/>
      <w:r w:rsidRPr="00D41BD8">
        <w:rPr>
          <w:rFonts w:ascii="Times New Roman" w:hAnsi="Times New Roman" w:cs="Times New Roman"/>
        </w:rPr>
        <w:t>Op-Cit</w:t>
      </w:r>
      <w:proofErr w:type="spellEnd"/>
      <w:r w:rsidRPr="00D41BD8">
        <w:rPr>
          <w:rFonts w:ascii="Times New Roman" w:hAnsi="Times New Roman" w:cs="Times New Roman"/>
        </w:rPr>
        <w:t>, p </w:t>
      </w:r>
      <w:proofErr w:type="gramStart"/>
      <w:r w:rsidRPr="00D41BD8">
        <w:rPr>
          <w:rFonts w:ascii="Times New Roman" w:hAnsi="Times New Roman" w:cs="Times New Roman"/>
        </w:rPr>
        <w:t>:7</w:t>
      </w:r>
      <w:proofErr w:type="gramEnd"/>
      <w:r w:rsidRPr="00D41BD8">
        <w:rPr>
          <w:rFonts w:ascii="Times New Roman" w:hAnsi="Times New Roman" w:cs="Times New Roman"/>
        </w:rPr>
        <w:t>.</w:t>
      </w:r>
    </w:p>
    <w:p w:rsidR="00D41BD8" w:rsidRPr="00D41BD8" w:rsidRDefault="00D41BD8" w:rsidP="00D41BD8">
      <w:pPr>
        <w:spacing w:before="0" w:beforeAutospacing="0" w:after="200" w:afterAutospacing="0" w:line="276" w:lineRule="auto"/>
        <w:ind w:firstLine="284"/>
        <w:jc w:val="both"/>
        <w:rPr>
          <w:rFonts w:ascii="Times New Roman" w:eastAsia="Times New Roman" w:hAnsi="Times New Roman" w:cs="Times New Roman"/>
          <w:sz w:val="24"/>
          <w:szCs w:val="24"/>
          <w:lang w:eastAsia="fr-FR"/>
        </w:rPr>
      </w:pPr>
      <w:r w:rsidRPr="00D41BD8">
        <w:rPr>
          <w:rFonts w:ascii="Times New Roman" w:eastAsia="Times New Roman" w:hAnsi="Times New Roman" w:cs="Times New Roman"/>
          <w:sz w:val="24"/>
          <w:szCs w:val="24"/>
          <w:lang w:eastAsia="fr-FR"/>
        </w:rPr>
        <w:lastRenderedPageBreak/>
        <w:t xml:space="preserve">Selon ce schéma, la création de l’International </w:t>
      </w:r>
      <w:proofErr w:type="spellStart"/>
      <w:r w:rsidRPr="00D41BD8">
        <w:rPr>
          <w:rFonts w:ascii="Times New Roman" w:eastAsia="Times New Roman" w:hAnsi="Times New Roman" w:cs="Times New Roman"/>
          <w:sz w:val="24"/>
          <w:szCs w:val="24"/>
          <w:lang w:eastAsia="fr-FR"/>
        </w:rPr>
        <w:t>Study</w:t>
      </w:r>
      <w:proofErr w:type="spellEnd"/>
      <w:r w:rsidRPr="00D41BD8">
        <w:rPr>
          <w:rFonts w:ascii="Times New Roman" w:eastAsia="Times New Roman" w:hAnsi="Times New Roman" w:cs="Times New Roman"/>
          <w:sz w:val="24"/>
          <w:szCs w:val="24"/>
          <w:lang w:eastAsia="fr-FR"/>
        </w:rPr>
        <w:t xml:space="preserve"> Group, en 1966, représente l’événement déclencheur du processus d’harmonisation comptable. Ce groupe était créé par des organismes comptables représentant trois pays anglo-saxons, les Etats Unis, l’Angleterre et le Canada, à savoir : the Américain Institute of </w:t>
      </w:r>
      <w:proofErr w:type="spellStart"/>
      <w:r w:rsidRPr="00D41BD8">
        <w:rPr>
          <w:rFonts w:ascii="Times New Roman" w:eastAsia="Times New Roman" w:hAnsi="Times New Roman" w:cs="Times New Roman"/>
          <w:sz w:val="24"/>
          <w:szCs w:val="24"/>
          <w:lang w:eastAsia="fr-FR"/>
        </w:rPr>
        <w:t>Certified</w:t>
      </w:r>
      <w:proofErr w:type="spellEnd"/>
      <w:r w:rsidRPr="00D41BD8">
        <w:rPr>
          <w:rFonts w:ascii="Times New Roman" w:eastAsia="Times New Roman" w:hAnsi="Times New Roman" w:cs="Times New Roman"/>
          <w:sz w:val="24"/>
          <w:szCs w:val="24"/>
          <w:lang w:eastAsia="fr-FR"/>
        </w:rPr>
        <w:t xml:space="preserve"> Public </w:t>
      </w:r>
      <w:proofErr w:type="spellStart"/>
      <w:r w:rsidRPr="00D41BD8">
        <w:rPr>
          <w:rFonts w:ascii="Times New Roman" w:eastAsia="Times New Roman" w:hAnsi="Times New Roman" w:cs="Times New Roman"/>
          <w:sz w:val="24"/>
          <w:szCs w:val="24"/>
          <w:lang w:eastAsia="fr-FR"/>
        </w:rPr>
        <w:t>Accountants</w:t>
      </w:r>
      <w:proofErr w:type="spellEnd"/>
      <w:r w:rsidRPr="00D41BD8">
        <w:rPr>
          <w:rFonts w:ascii="Times New Roman" w:eastAsia="Times New Roman" w:hAnsi="Times New Roman" w:cs="Times New Roman"/>
          <w:sz w:val="24"/>
          <w:szCs w:val="24"/>
          <w:lang w:eastAsia="fr-FR"/>
        </w:rPr>
        <w:t xml:space="preserve"> (AICPA), the Institute of </w:t>
      </w:r>
      <w:proofErr w:type="spellStart"/>
      <w:r w:rsidRPr="00D41BD8">
        <w:rPr>
          <w:rFonts w:ascii="Times New Roman" w:eastAsia="Times New Roman" w:hAnsi="Times New Roman" w:cs="Times New Roman"/>
          <w:sz w:val="24"/>
          <w:szCs w:val="24"/>
          <w:lang w:eastAsia="fr-FR"/>
        </w:rPr>
        <w:t>Chartered</w:t>
      </w:r>
      <w:proofErr w:type="spellEnd"/>
      <w:r w:rsidRPr="00D41BD8">
        <w:rPr>
          <w:rFonts w:ascii="Times New Roman" w:eastAsia="Times New Roman" w:hAnsi="Times New Roman" w:cs="Times New Roman"/>
          <w:sz w:val="24"/>
          <w:szCs w:val="24"/>
          <w:lang w:eastAsia="fr-FR"/>
        </w:rPr>
        <w:t xml:space="preserve"> </w:t>
      </w:r>
      <w:proofErr w:type="spellStart"/>
      <w:r w:rsidRPr="00D41BD8">
        <w:rPr>
          <w:rFonts w:ascii="Times New Roman" w:eastAsia="Times New Roman" w:hAnsi="Times New Roman" w:cs="Times New Roman"/>
          <w:sz w:val="24"/>
          <w:szCs w:val="24"/>
          <w:lang w:eastAsia="fr-FR"/>
        </w:rPr>
        <w:t>Accountants</w:t>
      </w:r>
      <w:proofErr w:type="spellEnd"/>
      <w:r w:rsidRPr="00D41BD8">
        <w:rPr>
          <w:rFonts w:ascii="Times New Roman" w:eastAsia="Times New Roman" w:hAnsi="Times New Roman" w:cs="Times New Roman"/>
          <w:sz w:val="24"/>
          <w:szCs w:val="24"/>
          <w:lang w:eastAsia="fr-FR"/>
        </w:rPr>
        <w:t xml:space="preserve"> of </w:t>
      </w:r>
      <w:proofErr w:type="spellStart"/>
      <w:r w:rsidRPr="00D41BD8">
        <w:rPr>
          <w:rFonts w:ascii="Times New Roman" w:eastAsia="Times New Roman" w:hAnsi="Times New Roman" w:cs="Times New Roman"/>
          <w:sz w:val="24"/>
          <w:szCs w:val="24"/>
          <w:lang w:eastAsia="fr-FR"/>
        </w:rPr>
        <w:t>England</w:t>
      </w:r>
      <w:proofErr w:type="spellEnd"/>
      <w:r w:rsidRPr="00D41BD8">
        <w:rPr>
          <w:rFonts w:ascii="Times New Roman" w:eastAsia="Times New Roman" w:hAnsi="Times New Roman" w:cs="Times New Roman"/>
          <w:sz w:val="24"/>
          <w:szCs w:val="24"/>
          <w:lang w:eastAsia="fr-FR"/>
        </w:rPr>
        <w:t xml:space="preserve"> and Wales (ICAEW) et the Canadian Institute of </w:t>
      </w:r>
      <w:proofErr w:type="spellStart"/>
      <w:r w:rsidRPr="00D41BD8">
        <w:rPr>
          <w:rFonts w:ascii="Times New Roman" w:eastAsia="Times New Roman" w:hAnsi="Times New Roman" w:cs="Times New Roman"/>
          <w:sz w:val="24"/>
          <w:szCs w:val="24"/>
          <w:lang w:eastAsia="fr-FR"/>
        </w:rPr>
        <w:t>Chartered</w:t>
      </w:r>
      <w:proofErr w:type="spellEnd"/>
      <w:r w:rsidRPr="00D41BD8">
        <w:rPr>
          <w:rFonts w:ascii="Times New Roman" w:eastAsia="Times New Roman" w:hAnsi="Times New Roman" w:cs="Times New Roman"/>
          <w:sz w:val="24"/>
          <w:szCs w:val="24"/>
          <w:lang w:eastAsia="fr-FR"/>
        </w:rPr>
        <w:t xml:space="preserve"> </w:t>
      </w:r>
      <w:proofErr w:type="spellStart"/>
      <w:r w:rsidRPr="00D41BD8">
        <w:rPr>
          <w:rFonts w:ascii="Times New Roman" w:eastAsia="Times New Roman" w:hAnsi="Times New Roman" w:cs="Times New Roman"/>
          <w:sz w:val="24"/>
          <w:szCs w:val="24"/>
          <w:lang w:eastAsia="fr-FR"/>
        </w:rPr>
        <w:t>Accountants</w:t>
      </w:r>
      <w:proofErr w:type="spellEnd"/>
      <w:r w:rsidRPr="00D41BD8">
        <w:rPr>
          <w:rFonts w:ascii="Times New Roman" w:eastAsia="Times New Roman" w:hAnsi="Times New Roman" w:cs="Times New Roman"/>
          <w:sz w:val="24"/>
          <w:szCs w:val="24"/>
          <w:lang w:eastAsia="fr-FR"/>
        </w:rPr>
        <w:t xml:space="preserve"> (CICA). Il avait pour objectif de comparer les pratiques comptables et les approches des comptables américains, anglais et canadiens. </w:t>
      </w:r>
    </w:p>
    <w:p w:rsidR="00D41BD8" w:rsidRPr="00D41BD8" w:rsidRDefault="00D41BD8" w:rsidP="00D41BD8">
      <w:pPr>
        <w:spacing w:before="0" w:beforeAutospacing="0" w:after="200" w:afterAutospacing="0" w:line="276" w:lineRule="auto"/>
        <w:ind w:firstLine="284"/>
        <w:jc w:val="both"/>
        <w:rPr>
          <w:rFonts w:ascii="Times New Roman" w:eastAsia="Times New Roman" w:hAnsi="Times New Roman" w:cs="Times New Roman"/>
          <w:sz w:val="24"/>
          <w:szCs w:val="24"/>
          <w:lang w:eastAsia="fr-FR"/>
        </w:rPr>
      </w:pPr>
      <w:proofErr w:type="spellStart"/>
      <w:r w:rsidRPr="00D41BD8">
        <w:rPr>
          <w:rFonts w:ascii="Times New Roman" w:eastAsia="Times New Roman" w:hAnsi="Times New Roman" w:cs="Times New Roman"/>
          <w:sz w:val="24"/>
          <w:szCs w:val="24"/>
          <w:lang w:eastAsia="fr-FR"/>
        </w:rPr>
        <w:t>En suite</w:t>
      </w:r>
      <w:proofErr w:type="spellEnd"/>
      <w:r w:rsidRPr="00D41BD8">
        <w:rPr>
          <w:rFonts w:ascii="Times New Roman" w:eastAsia="Times New Roman" w:hAnsi="Times New Roman" w:cs="Times New Roman"/>
          <w:sz w:val="24"/>
          <w:szCs w:val="24"/>
          <w:lang w:eastAsia="fr-FR"/>
        </w:rPr>
        <w:t>, initié par l’idée du Lord anglais Henry Benson, on a assisté en 1967, à la création d’une association de comptables « </w:t>
      </w:r>
      <w:proofErr w:type="spellStart"/>
      <w:r w:rsidRPr="00D41BD8">
        <w:rPr>
          <w:rFonts w:ascii="Times New Roman" w:eastAsia="Times New Roman" w:hAnsi="Times New Roman" w:cs="Times New Roman"/>
          <w:sz w:val="24"/>
          <w:szCs w:val="24"/>
          <w:lang w:eastAsia="fr-FR"/>
        </w:rPr>
        <w:t>Accountants</w:t>
      </w:r>
      <w:proofErr w:type="spellEnd"/>
      <w:r w:rsidRPr="00D41BD8">
        <w:rPr>
          <w:rFonts w:ascii="Times New Roman" w:eastAsia="Times New Roman" w:hAnsi="Times New Roman" w:cs="Times New Roman"/>
          <w:sz w:val="24"/>
          <w:szCs w:val="24"/>
          <w:lang w:eastAsia="fr-FR"/>
        </w:rPr>
        <w:t xml:space="preserve"> International </w:t>
      </w:r>
      <w:proofErr w:type="spellStart"/>
      <w:r w:rsidRPr="00D41BD8">
        <w:rPr>
          <w:rFonts w:ascii="Times New Roman" w:eastAsia="Times New Roman" w:hAnsi="Times New Roman" w:cs="Times New Roman"/>
          <w:sz w:val="24"/>
          <w:szCs w:val="24"/>
          <w:lang w:eastAsia="fr-FR"/>
        </w:rPr>
        <w:t>Study</w:t>
      </w:r>
      <w:proofErr w:type="spellEnd"/>
      <w:r w:rsidRPr="00D41BD8">
        <w:rPr>
          <w:rFonts w:ascii="Times New Roman" w:eastAsia="Times New Roman" w:hAnsi="Times New Roman" w:cs="Times New Roman"/>
          <w:sz w:val="24"/>
          <w:szCs w:val="24"/>
          <w:lang w:eastAsia="fr-FR"/>
        </w:rPr>
        <w:t xml:space="preserve"> Group ». Les publications de cette association portées sur des thèmes encourageant les comptables à renoncer la diversité des règles comptables ; cela en optant pour la création d’un organisme international qui se chargerait de l’écriture des normes comptables pour un usage international. Chose qui s’est concrétisée par la décision de créer l’International </w:t>
      </w:r>
      <w:proofErr w:type="spellStart"/>
      <w:r w:rsidRPr="00D41BD8">
        <w:rPr>
          <w:rFonts w:ascii="Times New Roman" w:eastAsia="Times New Roman" w:hAnsi="Times New Roman" w:cs="Times New Roman"/>
          <w:sz w:val="24"/>
          <w:szCs w:val="15"/>
          <w:lang w:eastAsia="fr-FR"/>
        </w:rPr>
        <w:t>Accounting</w:t>
      </w:r>
      <w:proofErr w:type="spellEnd"/>
      <w:r w:rsidRPr="00D41BD8">
        <w:rPr>
          <w:rFonts w:ascii="Times New Roman" w:eastAsia="Times New Roman" w:hAnsi="Times New Roman" w:cs="Times New Roman"/>
          <w:sz w:val="24"/>
          <w:szCs w:val="15"/>
          <w:lang w:eastAsia="fr-FR"/>
        </w:rPr>
        <w:t xml:space="preserve"> Standards </w:t>
      </w:r>
      <w:proofErr w:type="spellStart"/>
      <w:r w:rsidRPr="00D41BD8">
        <w:rPr>
          <w:rFonts w:ascii="Times New Roman" w:eastAsia="Times New Roman" w:hAnsi="Times New Roman" w:cs="Times New Roman"/>
          <w:sz w:val="24"/>
          <w:szCs w:val="15"/>
          <w:lang w:eastAsia="fr-FR"/>
        </w:rPr>
        <w:t>Committee</w:t>
      </w:r>
      <w:proofErr w:type="spellEnd"/>
      <w:r w:rsidRPr="00D41BD8">
        <w:rPr>
          <w:rFonts w:ascii="Times New Roman" w:eastAsia="Times New Roman" w:hAnsi="Times New Roman" w:cs="Times New Roman"/>
          <w:sz w:val="24"/>
          <w:szCs w:val="15"/>
          <w:lang w:eastAsia="fr-FR"/>
        </w:rPr>
        <w:t xml:space="preserve"> (IASC), prise lors du </w:t>
      </w:r>
      <w:r w:rsidRPr="00D41BD8">
        <w:rPr>
          <w:rFonts w:ascii="Times New Roman" w:eastAsia="Times New Roman" w:hAnsi="Times New Roman" w:cs="Times New Roman"/>
          <w:sz w:val="24"/>
          <w:szCs w:val="24"/>
          <w:lang w:eastAsia="fr-FR"/>
        </w:rPr>
        <w:t>10</w:t>
      </w:r>
      <w:r w:rsidRPr="00D41BD8">
        <w:rPr>
          <w:rFonts w:ascii="Times New Roman" w:eastAsia="Times New Roman" w:hAnsi="Times New Roman" w:cs="Times New Roman"/>
          <w:sz w:val="24"/>
          <w:szCs w:val="24"/>
          <w:vertAlign w:val="superscript"/>
          <w:lang w:eastAsia="fr-FR"/>
        </w:rPr>
        <w:t>e</w:t>
      </w:r>
      <w:r w:rsidRPr="00D41BD8">
        <w:rPr>
          <w:rFonts w:ascii="Times New Roman" w:eastAsia="Times New Roman" w:hAnsi="Times New Roman" w:cs="Times New Roman"/>
          <w:sz w:val="24"/>
          <w:szCs w:val="24"/>
          <w:lang w:eastAsia="fr-FR"/>
        </w:rPr>
        <w:t xml:space="preserve"> congrès international des comptables qui a été tenu à Sydney (Australie), en 1972.</w:t>
      </w:r>
    </w:p>
    <w:p w:rsidR="00D41BD8" w:rsidRPr="00D41BD8" w:rsidRDefault="00D41BD8" w:rsidP="00D41BD8">
      <w:pPr>
        <w:spacing w:before="0" w:beforeAutospacing="0" w:after="200" w:afterAutospacing="0" w:line="276" w:lineRule="auto"/>
        <w:ind w:firstLine="284"/>
        <w:jc w:val="both"/>
        <w:rPr>
          <w:rFonts w:ascii="Times New Roman" w:eastAsia="Times New Roman" w:hAnsi="Times New Roman" w:cs="Times New Roman"/>
          <w:sz w:val="24"/>
          <w:szCs w:val="24"/>
          <w:lang w:eastAsia="fr-FR"/>
        </w:rPr>
      </w:pPr>
      <w:r w:rsidRPr="00D41BD8">
        <w:rPr>
          <w:rFonts w:ascii="Times New Roman" w:eastAsia="Times New Roman" w:hAnsi="Times New Roman" w:cs="Times New Roman"/>
          <w:sz w:val="24"/>
          <w:szCs w:val="24"/>
          <w:lang w:eastAsia="fr-FR"/>
        </w:rPr>
        <w:t xml:space="preserve">En 1973, la création de l’IASC marquera définitivement le début du processus d’harmonisation comptable internationale. L’IASC est un organisme privé international d’origine professionnelle, dont la mission accordée est de produire des normes comptables admises à l’échelle internationale. </w:t>
      </w:r>
    </w:p>
    <w:p w:rsidR="00D41BD8" w:rsidRPr="00D41BD8" w:rsidRDefault="00D41BD8" w:rsidP="00D41BD8">
      <w:pPr>
        <w:spacing w:before="0" w:beforeAutospacing="0" w:after="200" w:afterAutospacing="0" w:line="276" w:lineRule="auto"/>
        <w:ind w:firstLine="284"/>
        <w:jc w:val="both"/>
        <w:rPr>
          <w:rFonts w:ascii="Times New Roman" w:eastAsia="Times New Roman" w:hAnsi="Times New Roman" w:cs="Times New Roman"/>
          <w:sz w:val="24"/>
          <w:szCs w:val="24"/>
          <w:lang w:eastAsia="fr-FR"/>
        </w:rPr>
      </w:pPr>
      <w:r w:rsidRPr="00D41BD8">
        <w:rPr>
          <w:rFonts w:ascii="Times New Roman" w:eastAsia="Times New Roman" w:hAnsi="Times New Roman" w:cs="Times New Roman"/>
          <w:sz w:val="24"/>
          <w:szCs w:val="24"/>
          <w:lang w:eastAsia="fr-FR"/>
        </w:rPr>
        <w:t>La période entre 1978 et 1984, était marquée par les tentatives d’harmonisation comptable au niveau de l’union européenne. Dans le cadre de l’Union Européenne, on a assisté à la diffusion de trois directives comptables européennes : la 4</w:t>
      </w:r>
      <w:r w:rsidRPr="00D41BD8">
        <w:rPr>
          <w:rFonts w:ascii="Times New Roman" w:eastAsia="Times New Roman" w:hAnsi="Times New Roman" w:cs="Times New Roman"/>
          <w:sz w:val="24"/>
          <w:szCs w:val="24"/>
          <w:vertAlign w:val="superscript"/>
          <w:lang w:eastAsia="fr-FR"/>
        </w:rPr>
        <w:t>e</w:t>
      </w:r>
      <w:r w:rsidRPr="00D41BD8">
        <w:rPr>
          <w:rFonts w:ascii="Times New Roman" w:eastAsia="Times New Roman" w:hAnsi="Times New Roman" w:cs="Times New Roman"/>
          <w:sz w:val="24"/>
          <w:szCs w:val="24"/>
          <w:lang w:eastAsia="fr-FR"/>
        </w:rPr>
        <w:t xml:space="preserve"> directive (78/660/CEE), la 7</w:t>
      </w:r>
      <w:r w:rsidRPr="00D41BD8">
        <w:rPr>
          <w:rFonts w:ascii="Times New Roman" w:eastAsia="Times New Roman" w:hAnsi="Times New Roman" w:cs="Times New Roman"/>
          <w:sz w:val="24"/>
          <w:szCs w:val="24"/>
          <w:vertAlign w:val="superscript"/>
          <w:lang w:eastAsia="fr-FR"/>
        </w:rPr>
        <w:t>e</w:t>
      </w:r>
      <w:r w:rsidRPr="00D41BD8">
        <w:rPr>
          <w:rFonts w:ascii="Times New Roman" w:eastAsia="Times New Roman" w:hAnsi="Times New Roman" w:cs="Times New Roman"/>
          <w:sz w:val="24"/>
          <w:szCs w:val="24"/>
          <w:lang w:eastAsia="fr-FR"/>
        </w:rPr>
        <w:t xml:space="preserve"> directive (83/349/CEE) et la 8</w:t>
      </w:r>
      <w:r w:rsidRPr="00D41BD8">
        <w:rPr>
          <w:rFonts w:ascii="Times New Roman" w:eastAsia="Times New Roman" w:hAnsi="Times New Roman" w:cs="Times New Roman"/>
          <w:sz w:val="24"/>
          <w:szCs w:val="24"/>
          <w:vertAlign w:val="superscript"/>
          <w:lang w:eastAsia="fr-FR"/>
        </w:rPr>
        <w:t>e</w:t>
      </w:r>
      <w:r w:rsidRPr="00D41BD8">
        <w:rPr>
          <w:rFonts w:ascii="Times New Roman" w:eastAsia="Times New Roman" w:hAnsi="Times New Roman" w:cs="Times New Roman"/>
          <w:sz w:val="24"/>
          <w:szCs w:val="24"/>
          <w:lang w:eastAsia="fr-FR"/>
        </w:rPr>
        <w:t xml:space="preserve"> directive (84/253/CEE). Ces tentatives n’ont pas abouti aux attentes voulues et n’ont pas réussi à harmoniser les pratiques comptables dans les pays constituant l’Union Européenne.</w:t>
      </w:r>
    </w:p>
    <w:p w:rsidR="00D41BD8" w:rsidRPr="00D41BD8" w:rsidRDefault="00D41BD8" w:rsidP="00D41BD8">
      <w:pPr>
        <w:spacing w:before="0" w:beforeAutospacing="0" w:after="200" w:afterAutospacing="0" w:line="276" w:lineRule="auto"/>
        <w:ind w:firstLine="284"/>
        <w:jc w:val="both"/>
        <w:rPr>
          <w:rFonts w:ascii="Times New Roman" w:eastAsia="Times New Roman" w:hAnsi="Times New Roman" w:cs="Times New Roman"/>
          <w:sz w:val="24"/>
          <w:szCs w:val="24"/>
          <w:lang w:eastAsia="fr-FR"/>
        </w:rPr>
      </w:pPr>
      <w:r w:rsidRPr="00D41BD8">
        <w:rPr>
          <w:rFonts w:ascii="Times New Roman" w:eastAsia="Times New Roman" w:hAnsi="Times New Roman" w:cs="Times New Roman"/>
          <w:sz w:val="24"/>
          <w:szCs w:val="24"/>
          <w:lang w:eastAsia="fr-FR"/>
        </w:rPr>
        <w:t>L’année 1989 était marquée par la création du projet de comparabilité au sein de l’IASC, projet qui a conduit à la réduction des options des normes comptables internationales et à leur acceptation, en 1995 par l’IOSCO</w:t>
      </w:r>
      <w:r w:rsidRPr="00D41BD8">
        <w:rPr>
          <w:rFonts w:ascii="Times New Roman" w:eastAsia="Times New Roman" w:hAnsi="Times New Roman" w:cs="Times New Roman"/>
          <w:sz w:val="24"/>
          <w:szCs w:val="24"/>
          <w:vertAlign w:val="superscript"/>
          <w:lang w:eastAsia="fr-FR"/>
        </w:rPr>
        <w:footnoteReference w:id="43"/>
      </w:r>
      <w:r w:rsidRPr="00D41BD8">
        <w:rPr>
          <w:rFonts w:ascii="Times New Roman" w:eastAsia="Times New Roman" w:hAnsi="Times New Roman" w:cs="Times New Roman"/>
          <w:sz w:val="24"/>
          <w:szCs w:val="24"/>
          <w:lang w:eastAsia="fr-FR"/>
        </w:rPr>
        <w:t>et par les entreprises. Cette année a connu également la publication d’un cadre conceptuel comptable de l’IASC.</w:t>
      </w:r>
    </w:p>
    <w:p w:rsidR="00D41BD8" w:rsidRPr="00D41BD8" w:rsidRDefault="00D41BD8" w:rsidP="00D41BD8">
      <w:pPr>
        <w:spacing w:before="0" w:beforeAutospacing="0" w:after="200" w:afterAutospacing="0" w:line="276" w:lineRule="auto"/>
        <w:ind w:firstLine="284"/>
        <w:jc w:val="both"/>
        <w:rPr>
          <w:rFonts w:ascii="Times New Roman" w:eastAsia="Times New Roman" w:hAnsi="Times New Roman" w:cs="Times New Roman"/>
          <w:sz w:val="24"/>
          <w:szCs w:val="24"/>
          <w:lang w:eastAsia="fr-FR"/>
        </w:rPr>
      </w:pPr>
      <w:r w:rsidRPr="00D41BD8">
        <w:rPr>
          <w:rFonts w:ascii="Times New Roman" w:eastAsia="Times New Roman" w:hAnsi="Times New Roman" w:cs="Times New Roman"/>
          <w:sz w:val="24"/>
          <w:szCs w:val="24"/>
          <w:lang w:eastAsia="fr-FR"/>
        </w:rPr>
        <w:t xml:space="preserve">Depuis l’an 2000, on assiste à une application généralisée des normes de l’IASB (successeur de l’IASC). Cette généralisation était marquée par l’adoption des normes IAS/IFRS par l’Union Européenne. En effet, trente ans après la création de l’IASC (actuellement IASB), les groupes européens confrontés à la mondialisation croissante de l’économie, à l’élargissement de l’Union Européenne, à la globalisation accrue des </w:t>
      </w:r>
      <w:r w:rsidRPr="00D41BD8">
        <w:rPr>
          <w:rFonts w:ascii="Times New Roman" w:eastAsia="Times New Roman" w:hAnsi="Times New Roman" w:cs="Times New Roman"/>
          <w:sz w:val="24"/>
          <w:szCs w:val="24"/>
          <w:lang w:eastAsia="fr-FR"/>
        </w:rPr>
        <w:lastRenderedPageBreak/>
        <w:t>marchés de capitaux et aux mouvements de privatisation, se verront obligés d’appliquer les normes de l’IASB.</w:t>
      </w:r>
    </w:p>
    <w:p w:rsidR="00D41BD8" w:rsidRPr="00D41BD8" w:rsidRDefault="00D41BD8" w:rsidP="00D41BD8">
      <w:pPr>
        <w:spacing w:before="0" w:beforeAutospacing="0" w:after="200" w:afterAutospacing="0" w:line="276" w:lineRule="auto"/>
        <w:ind w:firstLine="284"/>
        <w:jc w:val="both"/>
        <w:rPr>
          <w:rFonts w:ascii="Times New Roman" w:eastAsia="Times New Roman" w:hAnsi="Times New Roman" w:cs="Times New Roman"/>
          <w:sz w:val="24"/>
          <w:szCs w:val="24"/>
          <w:lang w:eastAsia="fr-FR"/>
        </w:rPr>
      </w:pPr>
    </w:p>
    <w:p w:rsidR="00D41BD8" w:rsidRPr="00D41BD8" w:rsidRDefault="00D41BD8" w:rsidP="00D41BD8">
      <w:pPr>
        <w:spacing w:before="0" w:beforeAutospacing="0" w:after="200" w:afterAutospacing="0" w:line="276" w:lineRule="auto"/>
        <w:jc w:val="both"/>
        <w:rPr>
          <w:rFonts w:ascii="Times New Roman" w:eastAsia="Times New Roman" w:hAnsi="Times New Roman" w:cs="Times New Roman"/>
          <w:b/>
          <w:bCs/>
          <w:i/>
          <w:sz w:val="24"/>
          <w:szCs w:val="24"/>
          <w:lang w:eastAsia="fr-FR"/>
        </w:rPr>
      </w:pPr>
      <w:r w:rsidRPr="00D41BD8">
        <w:rPr>
          <w:rFonts w:ascii="Times New Roman" w:eastAsia="Times New Roman" w:hAnsi="Times New Roman" w:cs="Times New Roman"/>
          <w:b/>
          <w:bCs/>
          <w:i/>
          <w:sz w:val="24"/>
          <w:szCs w:val="24"/>
          <w:lang w:eastAsia="fr-FR"/>
        </w:rPr>
        <w:t xml:space="preserve">3.1.3. Etat des </w:t>
      </w:r>
      <w:r w:rsidRPr="00D41BD8">
        <w:rPr>
          <w:rFonts w:ascii="Times New Roman" w:eastAsia="Times New Roman" w:hAnsi="Times New Roman" w:cs="Times New Roman"/>
          <w:b/>
          <w:i/>
          <w:sz w:val="24"/>
          <w:szCs w:val="24"/>
          <w:lang w:eastAsia="fr-FR"/>
        </w:rPr>
        <w:t>IFRS</w:t>
      </w:r>
      <w:r w:rsidRPr="00D41BD8">
        <w:rPr>
          <w:rFonts w:ascii="Times New Roman" w:eastAsia="Times New Roman" w:hAnsi="Times New Roman" w:cs="Times New Roman"/>
          <w:b/>
          <w:bCs/>
          <w:i/>
          <w:sz w:val="24"/>
          <w:szCs w:val="24"/>
          <w:lang w:eastAsia="fr-FR"/>
        </w:rPr>
        <w:t xml:space="preserve"> dans le monde </w:t>
      </w:r>
    </w:p>
    <w:p w:rsidR="00D41BD8" w:rsidRPr="00D41BD8" w:rsidRDefault="00D41BD8" w:rsidP="00D41BD8">
      <w:pPr>
        <w:spacing w:before="0" w:beforeAutospacing="0" w:after="200" w:afterAutospacing="0" w:line="276" w:lineRule="auto"/>
        <w:ind w:firstLine="284"/>
        <w:jc w:val="both"/>
        <w:rPr>
          <w:rFonts w:ascii="Times New Roman" w:eastAsia="Times New Roman" w:hAnsi="Times New Roman" w:cs="Times New Roman"/>
          <w:bCs/>
          <w:sz w:val="24"/>
          <w:lang w:eastAsia="fr-FR"/>
        </w:rPr>
      </w:pPr>
      <w:r w:rsidRPr="00D41BD8">
        <w:rPr>
          <w:rFonts w:ascii="Times New Roman" w:eastAsia="Times New Roman" w:hAnsi="Times New Roman" w:cs="Times New Roman"/>
          <w:bCs/>
          <w:sz w:val="24"/>
          <w:lang w:eastAsia="fr-FR"/>
        </w:rPr>
        <w:t xml:space="preserve">La cartographie des pays ayant adopté les normes IAS/IFRS a connu un véritable changement durant cette dernière décennie. On constate que la majorité des pays développés cherchent à mettre en place des systèmes comptables conformes aux normes de l’IASB, particulièrement pour les entreprises ou groupes côtés dans des marchés financiers internationaux. L’exemple le plus marquant est celui des pays de l’Union Européenne. Face à la concurrence accrue que connaissent les sociétés européennes cotées en bourse, l’Union Européenne a rendu obligatoire la publication d’informations financières établis selon les normes internationales. </w:t>
      </w:r>
    </w:p>
    <w:p w:rsidR="00D41BD8" w:rsidRPr="00D41BD8" w:rsidRDefault="00D41BD8" w:rsidP="00D41BD8">
      <w:pPr>
        <w:spacing w:before="0" w:beforeAutospacing="0" w:after="200" w:afterAutospacing="0" w:line="276" w:lineRule="auto"/>
        <w:ind w:firstLine="284"/>
        <w:jc w:val="both"/>
        <w:rPr>
          <w:rFonts w:ascii="Times New Roman" w:eastAsia="Times New Roman" w:hAnsi="Times New Roman" w:cs="Times New Roman"/>
          <w:sz w:val="24"/>
          <w:lang w:eastAsia="fr-FR"/>
        </w:rPr>
      </w:pPr>
      <w:r w:rsidRPr="00D41BD8">
        <w:rPr>
          <w:rFonts w:ascii="Times New Roman" w:eastAsia="Times New Roman" w:hAnsi="Times New Roman" w:cs="Times New Roman"/>
          <w:sz w:val="24"/>
          <w:lang w:eastAsia="fr-FR"/>
        </w:rPr>
        <w:t xml:space="preserve">En revanche, les Etats-Unis et le Japon n’ont pas encore adopté les IFRS. Aux Etats-Unis, la question reste en suspens, vu que le normalisateur Américain le FASB (Financial </w:t>
      </w:r>
      <w:proofErr w:type="spellStart"/>
      <w:r w:rsidRPr="00D41BD8">
        <w:rPr>
          <w:rFonts w:ascii="Times New Roman" w:eastAsia="Times New Roman" w:hAnsi="Times New Roman" w:cs="Times New Roman"/>
          <w:sz w:val="24"/>
          <w:lang w:eastAsia="fr-FR"/>
        </w:rPr>
        <w:t>Accounting</w:t>
      </w:r>
      <w:proofErr w:type="spellEnd"/>
      <w:r w:rsidRPr="00D41BD8">
        <w:rPr>
          <w:rFonts w:ascii="Times New Roman" w:eastAsia="Times New Roman" w:hAnsi="Times New Roman" w:cs="Times New Roman"/>
          <w:sz w:val="24"/>
          <w:lang w:eastAsia="fr-FR"/>
        </w:rPr>
        <w:t xml:space="preserve"> Standard </w:t>
      </w:r>
      <w:proofErr w:type="spellStart"/>
      <w:r w:rsidRPr="00D41BD8">
        <w:rPr>
          <w:rFonts w:ascii="Times New Roman" w:eastAsia="Times New Roman" w:hAnsi="Times New Roman" w:cs="Times New Roman"/>
          <w:sz w:val="24"/>
          <w:lang w:eastAsia="fr-FR"/>
        </w:rPr>
        <w:t>Board</w:t>
      </w:r>
      <w:proofErr w:type="spellEnd"/>
      <w:r w:rsidRPr="00D41BD8">
        <w:rPr>
          <w:rFonts w:ascii="Times New Roman" w:eastAsia="Times New Roman" w:hAnsi="Times New Roman" w:cs="Times New Roman"/>
          <w:sz w:val="24"/>
          <w:lang w:eastAsia="fr-FR"/>
        </w:rPr>
        <w:t xml:space="preserve">), tient à faire appliquer ces règles  « US GAAP (United States </w:t>
      </w:r>
      <w:proofErr w:type="spellStart"/>
      <w:r w:rsidRPr="00D41BD8">
        <w:rPr>
          <w:rFonts w:ascii="Times New Roman" w:eastAsia="Times New Roman" w:hAnsi="Times New Roman" w:cs="Times New Roman"/>
          <w:sz w:val="24"/>
          <w:lang w:eastAsia="fr-FR"/>
        </w:rPr>
        <w:t>Generally</w:t>
      </w:r>
      <w:proofErr w:type="spellEnd"/>
      <w:r w:rsidRPr="00D41BD8">
        <w:rPr>
          <w:rFonts w:ascii="Times New Roman" w:eastAsia="Times New Roman" w:hAnsi="Times New Roman" w:cs="Times New Roman"/>
          <w:sz w:val="24"/>
          <w:lang w:eastAsia="fr-FR"/>
        </w:rPr>
        <w:t xml:space="preserve"> </w:t>
      </w:r>
      <w:proofErr w:type="spellStart"/>
      <w:r w:rsidRPr="00D41BD8">
        <w:rPr>
          <w:rFonts w:ascii="Times New Roman" w:eastAsia="Times New Roman" w:hAnsi="Times New Roman" w:cs="Times New Roman"/>
          <w:sz w:val="24"/>
          <w:lang w:eastAsia="fr-FR"/>
        </w:rPr>
        <w:t>Accepted</w:t>
      </w:r>
      <w:proofErr w:type="spellEnd"/>
      <w:r w:rsidRPr="00D41BD8">
        <w:rPr>
          <w:rFonts w:ascii="Times New Roman" w:eastAsia="Times New Roman" w:hAnsi="Times New Roman" w:cs="Times New Roman"/>
          <w:sz w:val="24"/>
          <w:lang w:eastAsia="fr-FR"/>
        </w:rPr>
        <w:t xml:space="preserve"> </w:t>
      </w:r>
      <w:proofErr w:type="spellStart"/>
      <w:r w:rsidRPr="00D41BD8">
        <w:rPr>
          <w:rFonts w:ascii="Times New Roman" w:eastAsia="Times New Roman" w:hAnsi="Times New Roman" w:cs="Times New Roman"/>
          <w:sz w:val="24"/>
          <w:lang w:eastAsia="fr-FR"/>
        </w:rPr>
        <w:t>Acounting</w:t>
      </w:r>
      <w:proofErr w:type="spellEnd"/>
      <w:r w:rsidRPr="00D41BD8">
        <w:rPr>
          <w:rFonts w:ascii="Times New Roman" w:eastAsia="Times New Roman" w:hAnsi="Times New Roman" w:cs="Times New Roman"/>
          <w:sz w:val="24"/>
          <w:lang w:eastAsia="fr-FR"/>
        </w:rPr>
        <w:t xml:space="preserve"> </w:t>
      </w:r>
      <w:proofErr w:type="spellStart"/>
      <w:r w:rsidRPr="00D41BD8">
        <w:rPr>
          <w:rFonts w:ascii="Times New Roman" w:eastAsia="Times New Roman" w:hAnsi="Times New Roman" w:cs="Times New Roman"/>
          <w:sz w:val="24"/>
          <w:lang w:eastAsia="fr-FR"/>
        </w:rPr>
        <w:t>Principles</w:t>
      </w:r>
      <w:proofErr w:type="spellEnd"/>
      <w:r w:rsidRPr="00D41BD8">
        <w:rPr>
          <w:rFonts w:ascii="Times New Roman" w:eastAsia="Times New Roman" w:hAnsi="Times New Roman" w:cs="Times New Roman"/>
          <w:sz w:val="24"/>
          <w:lang w:eastAsia="fr-FR"/>
        </w:rPr>
        <w:t>) ».Cependant, le FASB et l’IASB se sont engagés, par l’accord de Norwalk signé en octobre 2002, à harmoniser les deux référentiels et réduire les divergences.</w:t>
      </w:r>
    </w:p>
    <w:p w:rsidR="00D41BD8" w:rsidRPr="00D41BD8" w:rsidRDefault="00D41BD8" w:rsidP="00D41BD8">
      <w:pPr>
        <w:spacing w:before="0" w:beforeAutospacing="0" w:after="200" w:afterAutospacing="0" w:line="276" w:lineRule="auto"/>
        <w:ind w:firstLine="284"/>
        <w:jc w:val="both"/>
        <w:rPr>
          <w:rFonts w:ascii="Times New Roman" w:eastAsia="Times New Roman" w:hAnsi="Times New Roman" w:cs="Times New Roman"/>
          <w:sz w:val="24"/>
          <w:lang w:eastAsia="fr-FR"/>
        </w:rPr>
      </w:pPr>
      <w:r w:rsidRPr="00D41BD8">
        <w:rPr>
          <w:rFonts w:ascii="Times New Roman" w:eastAsia="Times New Roman" w:hAnsi="Times New Roman" w:cs="Times New Roman"/>
          <w:sz w:val="24"/>
          <w:lang w:eastAsia="fr-FR"/>
        </w:rPr>
        <w:t>Au Japon, il a aussi été entamé un mouvement de convergence et d’harmonisation comme dans la plupart des grands dragons asiatiques. La Chine a d’ailleurs adopté récemment 38 nouvelles normes qui concordent quasi-totalement avec les IFRS</w:t>
      </w:r>
      <w:r w:rsidRPr="00D41BD8">
        <w:rPr>
          <w:rFonts w:ascii="Times New Roman" w:eastAsia="Times New Roman" w:hAnsi="Times New Roman" w:cs="Times New Roman"/>
          <w:color w:val="00B050"/>
          <w:sz w:val="24"/>
          <w:lang w:eastAsia="fr-FR"/>
        </w:rPr>
        <w:t>.</w:t>
      </w:r>
    </w:p>
    <w:p w:rsidR="00D41BD8" w:rsidRPr="00D41BD8" w:rsidRDefault="00D41BD8" w:rsidP="00D41BD8">
      <w:pPr>
        <w:spacing w:before="0" w:beforeAutospacing="0" w:after="200" w:afterAutospacing="0" w:line="276" w:lineRule="auto"/>
        <w:ind w:firstLine="284"/>
        <w:jc w:val="both"/>
        <w:rPr>
          <w:rFonts w:ascii="Times New Roman" w:eastAsia="Times New Roman" w:hAnsi="Times New Roman" w:cs="Times New Roman"/>
          <w:bCs/>
          <w:sz w:val="24"/>
          <w:lang w:eastAsia="fr-FR"/>
        </w:rPr>
      </w:pPr>
      <w:r w:rsidRPr="00D41BD8">
        <w:rPr>
          <w:rFonts w:ascii="Times New Roman" w:eastAsia="Times New Roman" w:hAnsi="Times New Roman" w:cs="Times New Roman"/>
          <w:bCs/>
          <w:sz w:val="24"/>
          <w:lang w:eastAsia="fr-FR"/>
        </w:rPr>
        <w:t xml:space="preserve">Le Canada avait depuis le début, entamé une convergence vers les US GAAP, étant donné que la plupart de ses sociétés étaient cotées sur le marché américain. Ainsi les sociétés cotées aux Etats-Unis appliquent les US GAAP. Tandis que les sociétés locales appliquent toujours les règles canadiennes et les sociétés étrangères ont le droit d’appliquer les normes IFRS. </w:t>
      </w:r>
      <w:r w:rsidRPr="00D41BD8">
        <w:rPr>
          <w:rFonts w:ascii="Times New Roman" w:hAnsi="Times New Roman"/>
          <w:bCs/>
          <w:sz w:val="24"/>
          <w:szCs w:val="24"/>
        </w:rPr>
        <w:t>Le revirement de situation est intervenu ces dernières années, le Canada a alors décidé de converger vers les IFRS et même d’adopter ces normes à horizon 2011.</w:t>
      </w:r>
    </w:p>
    <w:p w:rsidR="00D41BD8" w:rsidRPr="00D41BD8" w:rsidRDefault="00D41BD8" w:rsidP="00D41BD8">
      <w:pPr>
        <w:spacing w:before="0" w:beforeAutospacing="0" w:after="200" w:afterAutospacing="0" w:line="276" w:lineRule="auto"/>
        <w:ind w:firstLine="284"/>
        <w:jc w:val="both"/>
        <w:rPr>
          <w:rFonts w:ascii="Times New Roman" w:eastAsia="Times New Roman" w:hAnsi="Times New Roman" w:cs="Times New Roman"/>
          <w:sz w:val="24"/>
          <w:lang w:eastAsia="fr-FR"/>
        </w:rPr>
      </w:pPr>
      <w:r w:rsidRPr="00D41BD8">
        <w:rPr>
          <w:rFonts w:ascii="Times New Roman" w:eastAsia="Times New Roman" w:hAnsi="Times New Roman" w:cs="Times New Roman"/>
          <w:sz w:val="24"/>
          <w:lang w:eastAsia="fr-FR"/>
        </w:rPr>
        <w:t>Au titre des autres pays qui ont adopté les normes IFRS, on peut citer l’Afrique du Sud, Hong-Kong ou encore le Liban. Comme cela est le cas dans l’Union Européenne, ils exigent l’application des IFRS pour leurs sociétés côtés en bourse.</w:t>
      </w:r>
    </w:p>
    <w:p w:rsidR="00D41BD8" w:rsidRPr="00D41BD8" w:rsidRDefault="00D41BD8" w:rsidP="00D41BD8">
      <w:pPr>
        <w:spacing w:before="0" w:beforeAutospacing="0" w:after="200" w:afterAutospacing="0" w:line="276" w:lineRule="auto"/>
        <w:jc w:val="both"/>
        <w:rPr>
          <w:rFonts w:ascii="Times New Roman" w:eastAsia="Times New Roman" w:hAnsi="Times New Roman" w:cs="Times New Roman"/>
          <w:bCs/>
          <w:sz w:val="24"/>
          <w:szCs w:val="24"/>
          <w:lang w:eastAsia="fr-FR"/>
        </w:rPr>
      </w:pPr>
    </w:p>
    <w:p w:rsidR="00D41BD8" w:rsidRPr="00D41BD8" w:rsidRDefault="00D41BD8" w:rsidP="00D41BD8">
      <w:pPr>
        <w:spacing w:before="0" w:beforeAutospacing="0" w:after="200" w:afterAutospacing="0" w:line="276" w:lineRule="auto"/>
        <w:jc w:val="both"/>
        <w:rPr>
          <w:rFonts w:ascii="Times New Roman" w:eastAsia="Times New Roman" w:hAnsi="Times New Roman" w:cs="Times New Roman"/>
          <w:bCs/>
          <w:sz w:val="24"/>
          <w:szCs w:val="24"/>
          <w:lang w:eastAsia="fr-FR"/>
        </w:rPr>
      </w:pPr>
    </w:p>
    <w:p w:rsidR="00D41BD8" w:rsidRPr="00D41BD8" w:rsidRDefault="00D41BD8" w:rsidP="00D41BD8">
      <w:pPr>
        <w:spacing w:before="0" w:beforeAutospacing="0" w:after="200" w:afterAutospacing="0" w:line="276" w:lineRule="auto"/>
        <w:jc w:val="both"/>
        <w:rPr>
          <w:rFonts w:ascii="Times New Roman" w:eastAsia="Times New Roman" w:hAnsi="Times New Roman" w:cs="Times New Roman"/>
          <w:bCs/>
          <w:sz w:val="24"/>
          <w:szCs w:val="24"/>
          <w:lang w:eastAsia="fr-FR"/>
        </w:rPr>
      </w:pPr>
    </w:p>
    <w:p w:rsidR="00D41BD8" w:rsidRPr="00D41BD8" w:rsidRDefault="00D41BD8" w:rsidP="00D41BD8">
      <w:pPr>
        <w:spacing w:before="0" w:beforeAutospacing="0" w:after="200" w:afterAutospacing="0" w:line="276" w:lineRule="auto"/>
        <w:jc w:val="both"/>
        <w:rPr>
          <w:rFonts w:ascii="Times New Roman" w:hAnsi="Times New Roman" w:cs="Times New Roman"/>
          <w:b/>
          <w:i/>
          <w:sz w:val="24"/>
          <w:szCs w:val="24"/>
        </w:rPr>
      </w:pPr>
      <w:r w:rsidRPr="00D41BD8">
        <w:rPr>
          <w:rFonts w:ascii="Times New Roman" w:hAnsi="Times New Roman" w:cs="Times New Roman"/>
          <w:b/>
          <w:sz w:val="24"/>
          <w:szCs w:val="24"/>
        </w:rPr>
        <w:lastRenderedPageBreak/>
        <w:t>Figure 1 </w:t>
      </w:r>
      <w:proofErr w:type="gramStart"/>
      <w:r w:rsidRPr="00D41BD8">
        <w:rPr>
          <w:rFonts w:ascii="Times New Roman" w:hAnsi="Times New Roman" w:cs="Times New Roman"/>
          <w:b/>
          <w:sz w:val="24"/>
          <w:szCs w:val="24"/>
        </w:rPr>
        <w:t>:</w:t>
      </w:r>
      <w:r w:rsidRPr="00D41BD8">
        <w:rPr>
          <w:rFonts w:ascii="Times New Roman" w:hAnsi="Times New Roman" w:cs="Times New Roman"/>
          <w:b/>
          <w:i/>
          <w:sz w:val="24"/>
          <w:szCs w:val="24"/>
        </w:rPr>
        <w:t>Carte</w:t>
      </w:r>
      <w:proofErr w:type="gramEnd"/>
      <w:r w:rsidRPr="00D41BD8">
        <w:rPr>
          <w:rFonts w:ascii="Times New Roman" w:hAnsi="Times New Roman" w:cs="Times New Roman"/>
          <w:b/>
          <w:i/>
          <w:sz w:val="24"/>
          <w:szCs w:val="24"/>
        </w:rPr>
        <w:t xml:space="preserve"> de l’IASB sur l’utilisation des normes IFRS dans le monde</w:t>
      </w:r>
    </w:p>
    <w:p w:rsidR="00D41BD8" w:rsidRPr="00D41BD8" w:rsidRDefault="00D41BD8" w:rsidP="00D41BD8">
      <w:pPr>
        <w:spacing w:before="0" w:beforeAutospacing="0" w:after="200" w:afterAutospacing="0" w:line="276" w:lineRule="auto"/>
        <w:jc w:val="both"/>
      </w:pPr>
    </w:p>
    <w:p w:rsidR="00D41BD8" w:rsidRPr="00D41BD8" w:rsidRDefault="00D41BD8" w:rsidP="00D41BD8">
      <w:pPr>
        <w:spacing w:before="0" w:beforeAutospacing="0" w:after="200" w:afterAutospacing="0" w:line="276" w:lineRule="auto"/>
        <w:jc w:val="both"/>
      </w:pPr>
      <w:r w:rsidRPr="00D41BD8">
        <w:rPr>
          <w:noProof/>
          <w:lang w:eastAsia="fr-FR"/>
        </w:rPr>
        <w:drawing>
          <wp:inline distT="0" distB="0" distL="0" distR="0" wp14:anchorId="5B7C5879" wp14:editId="4C5AF286">
            <wp:extent cx="5715000" cy="5562600"/>
            <wp:effectExtent l="19050" t="0" r="0" b="0"/>
            <wp:docPr id="3" name="Image 3" descr="IFRS%20around%20the%20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FRS%20around%20the%20world"/>
                    <pic:cNvPicPr>
                      <a:picLocks noChangeAspect="1" noChangeArrowheads="1"/>
                    </pic:cNvPicPr>
                  </pic:nvPicPr>
                  <pic:blipFill>
                    <a:blip r:embed="rId17" cstate="print"/>
                    <a:srcRect/>
                    <a:stretch>
                      <a:fillRect/>
                    </a:stretch>
                  </pic:blipFill>
                  <pic:spPr bwMode="auto">
                    <a:xfrm>
                      <a:off x="0" y="0"/>
                      <a:ext cx="5715000" cy="5562600"/>
                    </a:xfrm>
                    <a:prstGeom prst="rect">
                      <a:avLst/>
                    </a:prstGeom>
                    <a:noFill/>
                    <a:ln w="9525">
                      <a:noFill/>
                      <a:miter lim="800000"/>
                      <a:headEnd/>
                      <a:tailEnd/>
                    </a:ln>
                  </pic:spPr>
                </pic:pic>
              </a:graphicData>
            </a:graphic>
          </wp:inline>
        </w:drawing>
      </w:r>
    </w:p>
    <w:p w:rsidR="00D41BD8" w:rsidRPr="00D41BD8" w:rsidRDefault="00D41BD8" w:rsidP="00D41BD8">
      <w:pPr>
        <w:spacing w:before="0" w:beforeAutospacing="0" w:after="200" w:afterAutospacing="0" w:line="276" w:lineRule="auto"/>
        <w:jc w:val="both"/>
        <w:rPr>
          <w:rFonts w:ascii="Arial" w:hAnsi="Arial" w:cs="Arial"/>
          <w:b/>
          <w:u w:val="single"/>
        </w:rPr>
      </w:pPr>
      <w:r w:rsidRPr="00D41BD8">
        <w:rPr>
          <w:rFonts w:ascii="Arial" w:hAnsi="Arial" w:cs="Arial"/>
          <w:b/>
          <w:u w:val="single"/>
        </w:rPr>
        <w:t>LEGENDE</w:t>
      </w:r>
    </w:p>
    <w:p w:rsidR="00D41BD8" w:rsidRPr="00D41BD8" w:rsidRDefault="00D41BD8" w:rsidP="00D41BD8">
      <w:pPr>
        <w:spacing w:before="0" w:beforeAutospacing="0" w:after="200" w:afterAutospacing="0" w:line="276" w:lineRule="auto"/>
        <w:jc w:val="both"/>
        <w:rPr>
          <w:rFonts w:ascii="Arial" w:hAnsi="Arial" w:cs="Arial"/>
          <w:b/>
          <w:noProof/>
          <w:lang w:eastAsia="fr-FR"/>
        </w:rPr>
      </w:pPr>
      <w:r w:rsidRPr="00D41BD8">
        <w:rPr>
          <w:noProof/>
          <w:lang w:eastAsia="fr-FR"/>
        </w:rPr>
        <w:pict>
          <v:rect id="_x0000_s1407" style="position:absolute;left:0;text-align:left;margin-left:-5.55pt;margin-top:1.55pt;width:44.35pt;height:13.4pt;z-index:251659264" fillcolor="red"/>
        </w:pict>
      </w:r>
      <w:r w:rsidRPr="00D41BD8">
        <w:rPr>
          <w:rFonts w:ascii="Arial" w:hAnsi="Arial" w:cs="Arial"/>
          <w:b/>
          <w:u w:val="single"/>
        </w:rPr>
        <w:t>Rouge : Pays dans lesquels les IFRS sont approuvés</w:t>
      </w:r>
    </w:p>
    <w:p w:rsidR="00D41BD8" w:rsidRPr="00D41BD8" w:rsidRDefault="00D41BD8" w:rsidP="00D41BD8">
      <w:pPr>
        <w:spacing w:before="0" w:beforeAutospacing="0" w:after="200" w:afterAutospacing="0" w:line="276" w:lineRule="auto"/>
        <w:jc w:val="both"/>
        <w:rPr>
          <w:rFonts w:ascii="Arial" w:hAnsi="Arial" w:cs="Arial"/>
          <w:b/>
          <w:u w:val="single"/>
        </w:rPr>
      </w:pPr>
      <w:r w:rsidRPr="00D41BD8">
        <w:rPr>
          <w:rFonts w:ascii="Arial" w:hAnsi="Arial" w:cs="Arial"/>
          <w:b/>
          <w:noProof/>
          <w:lang w:eastAsia="fr-FR"/>
        </w:rPr>
        <w:pict>
          <v:rect id="_x0000_s1408" style="position:absolute;left:0;text-align:left;margin-left:-5.55pt;margin-top:1.45pt;width:44.35pt;height:13.1pt;z-index:251660288" fillcolor="#f79646 [3209]"/>
        </w:pict>
      </w:r>
      <w:r w:rsidRPr="00D41BD8">
        <w:rPr>
          <w:rFonts w:ascii="Arial" w:hAnsi="Arial" w:cs="Arial"/>
          <w:b/>
          <w:u w:val="single"/>
        </w:rPr>
        <w:t>Orange : En cours d’adoption/ Convergence et Conversion en cours</w:t>
      </w:r>
    </w:p>
    <w:p w:rsidR="00D41BD8" w:rsidRPr="00D41BD8" w:rsidRDefault="00D41BD8" w:rsidP="00D41BD8">
      <w:pPr>
        <w:tabs>
          <w:tab w:val="left" w:pos="1139"/>
        </w:tabs>
        <w:spacing w:before="0" w:beforeAutospacing="0" w:after="200" w:afterAutospacing="0" w:line="276" w:lineRule="auto"/>
        <w:jc w:val="both"/>
        <w:rPr>
          <w:rFonts w:ascii="Arial" w:hAnsi="Arial" w:cs="Arial"/>
          <w:b/>
          <w:u w:val="single"/>
        </w:rPr>
      </w:pPr>
      <w:r w:rsidRPr="00D41BD8">
        <w:rPr>
          <w:noProof/>
          <w:lang w:eastAsia="fr-FR"/>
        </w:rPr>
        <w:pict>
          <v:rect id="_x0000_s1409" style="position:absolute;left:0;text-align:left;margin-left:-5.55pt;margin-top:.1pt;width:44.35pt;height:13.4pt;z-index:251661312" fillcolor="yellow"/>
        </w:pict>
      </w:r>
      <w:r w:rsidRPr="00D41BD8">
        <w:rPr>
          <w:rFonts w:ascii="Arial" w:hAnsi="Arial" w:cs="Arial"/>
          <w:b/>
        </w:rPr>
        <w:tab/>
      </w:r>
      <w:r w:rsidRPr="00D41BD8">
        <w:rPr>
          <w:rFonts w:ascii="Arial" w:hAnsi="Arial" w:cs="Arial"/>
          <w:b/>
          <w:u w:val="single"/>
        </w:rPr>
        <w:t xml:space="preserve">Jaune </w:t>
      </w:r>
      <w:proofErr w:type="gramStart"/>
      <w:r w:rsidRPr="00D41BD8">
        <w:rPr>
          <w:rFonts w:ascii="Arial" w:hAnsi="Arial" w:cs="Arial"/>
          <w:b/>
          <w:u w:val="single"/>
        </w:rPr>
        <w:t>:  Harmonisation</w:t>
      </w:r>
      <w:proofErr w:type="gramEnd"/>
      <w:r w:rsidRPr="00D41BD8">
        <w:rPr>
          <w:rFonts w:ascii="Arial" w:hAnsi="Arial" w:cs="Arial"/>
          <w:b/>
          <w:u w:val="single"/>
        </w:rPr>
        <w:t xml:space="preserve"> aux IFRS</w:t>
      </w:r>
    </w:p>
    <w:p w:rsidR="00D41BD8" w:rsidRPr="00D41BD8" w:rsidRDefault="00D41BD8" w:rsidP="00D41BD8">
      <w:pPr>
        <w:spacing w:before="0" w:beforeAutospacing="0" w:after="200" w:afterAutospacing="0" w:line="276" w:lineRule="auto"/>
        <w:jc w:val="both"/>
        <w:rPr>
          <w:rFonts w:ascii="Arial" w:hAnsi="Arial" w:cs="Arial"/>
          <w:b/>
          <w:u w:val="single"/>
        </w:rPr>
      </w:pPr>
    </w:p>
    <w:p w:rsidR="00D41BD8" w:rsidRPr="00D41BD8" w:rsidRDefault="00D41BD8" w:rsidP="00D41BD8">
      <w:pPr>
        <w:spacing w:before="0" w:beforeAutospacing="0" w:after="200" w:afterAutospacing="0" w:line="276" w:lineRule="auto"/>
        <w:jc w:val="both"/>
        <w:rPr>
          <w:rFonts w:ascii="Times New Roman" w:hAnsi="Times New Roman" w:cs="Times New Roman"/>
          <w:b/>
          <w:sz w:val="24"/>
          <w:szCs w:val="24"/>
        </w:rPr>
      </w:pPr>
      <w:r w:rsidRPr="00D41BD8">
        <w:rPr>
          <w:rFonts w:ascii="Times New Roman" w:hAnsi="Times New Roman" w:cs="Times New Roman"/>
          <w:b/>
          <w:sz w:val="24"/>
          <w:szCs w:val="24"/>
        </w:rPr>
        <w:t xml:space="preserve">Source : </w:t>
      </w:r>
      <w:hyperlink r:id="rId18" w:history="1">
        <w:r w:rsidRPr="00D41BD8">
          <w:rPr>
            <w:rFonts w:ascii="Times New Roman" w:hAnsi="Times New Roman" w:cs="Times New Roman"/>
            <w:color w:val="0000FF"/>
            <w:sz w:val="24"/>
            <w:szCs w:val="24"/>
            <w:u w:val="single"/>
          </w:rPr>
          <w:t>www.iasb.org</w:t>
        </w:r>
      </w:hyperlink>
    </w:p>
    <w:p w:rsidR="00D41BD8" w:rsidRPr="00D41BD8" w:rsidRDefault="00D41BD8" w:rsidP="00D41BD8">
      <w:pPr>
        <w:spacing w:before="0" w:beforeAutospacing="0" w:after="200" w:afterAutospacing="0" w:line="276" w:lineRule="auto"/>
        <w:jc w:val="both"/>
        <w:rPr>
          <w:rFonts w:ascii="Times New Roman" w:hAnsi="Times New Roman" w:cs="Times New Roman"/>
          <w:b/>
          <w:iCs/>
          <w:sz w:val="26"/>
          <w:szCs w:val="26"/>
        </w:rPr>
      </w:pPr>
      <w:r w:rsidRPr="00D41BD8">
        <w:rPr>
          <w:rFonts w:ascii="Times New Roman" w:hAnsi="Times New Roman" w:cs="Times New Roman"/>
          <w:b/>
          <w:iCs/>
          <w:sz w:val="26"/>
          <w:szCs w:val="26"/>
        </w:rPr>
        <w:lastRenderedPageBreak/>
        <w:t xml:space="preserve">3.2. Importance et limites de l’harmonisation comptable internationale </w:t>
      </w:r>
    </w:p>
    <w:p w:rsidR="00D41BD8" w:rsidRPr="00D41BD8" w:rsidRDefault="00D41BD8" w:rsidP="00D41BD8">
      <w:pPr>
        <w:spacing w:before="0" w:beforeAutospacing="0" w:after="200" w:afterAutospacing="0" w:line="276" w:lineRule="auto"/>
        <w:ind w:firstLine="284"/>
        <w:jc w:val="both"/>
        <w:rPr>
          <w:rFonts w:ascii="Times New Roman" w:eastAsia="Times New Roman" w:hAnsi="Times New Roman" w:cs="Times New Roman"/>
          <w:sz w:val="24"/>
          <w:lang w:eastAsia="fr-FR"/>
        </w:rPr>
      </w:pPr>
      <w:r w:rsidRPr="00D41BD8">
        <w:rPr>
          <w:rFonts w:ascii="Times New Roman" w:eastAsia="Times New Roman" w:hAnsi="Times New Roman" w:cs="Times New Roman"/>
          <w:sz w:val="24"/>
          <w:lang w:eastAsia="fr-FR"/>
        </w:rPr>
        <w:t>Dans l’exposé des motifs de son Règlement IAS de septembre 2002, la Commission Européenne note que l’utilisation des normes IFRS « renforce la libre circulation des capitaux dans le marché intérieur et aide les sociétés communautaires à affronter leurs concurrents à armes égales dans la lutte pour les ressources financières offertes par les marchés des capitaux de la Communauté et du monde entier »</w:t>
      </w:r>
      <w:r w:rsidRPr="00D41BD8">
        <w:rPr>
          <w:rFonts w:ascii="Times New Roman" w:eastAsia="Times New Roman" w:hAnsi="Times New Roman" w:cs="Times New Roman"/>
          <w:sz w:val="24"/>
          <w:vertAlign w:val="superscript"/>
          <w:lang w:eastAsia="fr-FR"/>
        </w:rPr>
        <w:footnoteReference w:id="44"/>
      </w:r>
      <w:r w:rsidRPr="00D41BD8">
        <w:rPr>
          <w:rFonts w:ascii="Times New Roman" w:eastAsia="Times New Roman" w:hAnsi="Times New Roman" w:cs="Times New Roman"/>
          <w:sz w:val="24"/>
          <w:lang w:eastAsia="fr-FR"/>
        </w:rPr>
        <w:t>.Ainsi, le motif le plus important qui justifie le passage aux normes IFRS est relatif à la transparence et la fiabilité de l’information financière produite par les entreprises. En revanche, ce passage est supposé faciliter la comparabilité des comptes pour un fonctionnement efficient du marché des capitaux, sur la base d’un bon rapport entre coût et efficacité et permettant, à terme, la baisse du coût du capital. La protection des investisseurs et la préservation de la confiance envers les marchés financiers sont deux autres aspects importants qui encouragent les pays à converger vers ces normes.</w:t>
      </w:r>
    </w:p>
    <w:p w:rsidR="00D41BD8" w:rsidRPr="00D41BD8" w:rsidRDefault="00D41BD8" w:rsidP="00D41BD8">
      <w:pPr>
        <w:spacing w:before="0" w:beforeAutospacing="0" w:after="120" w:afterAutospacing="0" w:line="276" w:lineRule="auto"/>
        <w:ind w:firstLine="284"/>
        <w:jc w:val="both"/>
        <w:rPr>
          <w:rFonts w:ascii="Times New Roman" w:eastAsia="Times New Roman" w:hAnsi="Times New Roman" w:cs="Times New Roman"/>
          <w:sz w:val="24"/>
          <w:lang w:eastAsia="fr-FR"/>
        </w:rPr>
      </w:pPr>
      <w:r w:rsidRPr="00D41BD8">
        <w:rPr>
          <w:rFonts w:ascii="Times New Roman" w:eastAsia="Times New Roman" w:hAnsi="Times New Roman" w:cs="Times New Roman"/>
          <w:sz w:val="24"/>
          <w:lang w:eastAsia="fr-FR"/>
        </w:rPr>
        <w:t xml:space="preserve">En outre, quelle pourrait être l’importance de cette conversion, en particulier pour l’économie et les entreprises qui auront à appliquer ces nouvelles normes. Autrement quelle est l’importance de l’harmonisation comptable et quelles sont les limites qui peuvent confronter ce processus ?  </w:t>
      </w:r>
    </w:p>
    <w:p w:rsidR="00D41BD8" w:rsidRPr="00D41BD8" w:rsidRDefault="00D41BD8" w:rsidP="00D41BD8">
      <w:pPr>
        <w:spacing w:before="0" w:beforeAutospacing="0" w:after="120" w:afterAutospacing="0" w:line="276" w:lineRule="auto"/>
        <w:jc w:val="both"/>
        <w:rPr>
          <w:rFonts w:ascii="Times New Roman" w:hAnsi="Times New Roman" w:cs="Times New Roman"/>
          <w:b/>
          <w:i/>
          <w:iCs/>
          <w:sz w:val="24"/>
          <w:szCs w:val="24"/>
        </w:rPr>
      </w:pPr>
      <w:r w:rsidRPr="00D41BD8">
        <w:rPr>
          <w:rFonts w:ascii="Times New Roman" w:hAnsi="Times New Roman" w:cs="Times New Roman"/>
          <w:b/>
          <w:i/>
          <w:iCs/>
          <w:sz w:val="24"/>
          <w:szCs w:val="24"/>
        </w:rPr>
        <w:t>3.2.1. Importance de l’harmonisation comptable</w:t>
      </w:r>
    </w:p>
    <w:p w:rsidR="00D41BD8" w:rsidRPr="00D41BD8" w:rsidRDefault="00D41BD8" w:rsidP="002A3F16">
      <w:pPr>
        <w:numPr>
          <w:ilvl w:val="0"/>
          <w:numId w:val="2"/>
        </w:numPr>
        <w:spacing w:before="0" w:beforeAutospacing="0" w:after="120" w:afterAutospacing="0" w:line="276" w:lineRule="auto"/>
        <w:contextualSpacing/>
        <w:jc w:val="both"/>
        <w:rPr>
          <w:rFonts w:ascii="Times New Roman" w:eastAsia="Times New Roman" w:hAnsi="Times New Roman" w:cs="Times New Roman"/>
          <w:b/>
          <w:bCs/>
          <w:i/>
          <w:sz w:val="24"/>
          <w:szCs w:val="24"/>
          <w:lang w:eastAsia="fr-FR"/>
        </w:rPr>
      </w:pPr>
      <w:r w:rsidRPr="00D41BD8">
        <w:rPr>
          <w:rFonts w:ascii="Times New Roman" w:eastAsia="Times New Roman" w:hAnsi="Times New Roman" w:cs="Times New Roman"/>
          <w:b/>
          <w:bCs/>
          <w:i/>
          <w:sz w:val="24"/>
          <w:szCs w:val="24"/>
          <w:lang w:eastAsia="fr-FR"/>
        </w:rPr>
        <w:t>L’harmonisation comptable et les marchés financiers</w:t>
      </w:r>
    </w:p>
    <w:p w:rsidR="00D41BD8" w:rsidRPr="00D41BD8" w:rsidRDefault="00D41BD8" w:rsidP="00D41BD8">
      <w:pPr>
        <w:spacing w:before="0" w:beforeAutospacing="0" w:after="120" w:afterAutospacing="0" w:line="276" w:lineRule="auto"/>
        <w:ind w:firstLine="284"/>
        <w:jc w:val="both"/>
        <w:rPr>
          <w:rFonts w:ascii="Times New Roman" w:hAnsi="Times New Roman" w:cs="Times New Roman"/>
          <w:sz w:val="24"/>
        </w:rPr>
      </w:pPr>
      <w:r w:rsidRPr="00D41BD8">
        <w:rPr>
          <w:rFonts w:ascii="Times New Roman" w:hAnsi="Times New Roman" w:cs="Times New Roman"/>
          <w:sz w:val="24"/>
        </w:rPr>
        <w:t xml:space="preserve">L’argument principal en faveur de l’harmonisation comptable est la recherche de l’efficience dans les transactions internationales. Cet argument s’applique encore mieux au marché des capitaux. En effet, un apporteur de fonds qui désire investir dans un marché étranger éprouvera des difficultés à évaluer la performance des sociétés cotées dans ce marché s’il ne connaît pas l’ensemble des méthodes comptables autorisées par le pays ainsi que les facteurs culturels susceptibles d’influencer les comptes. Le manque d’uniformité et donc de comparabilité des informations comptables constitue indubitablement un obstacle aux investissements internationaux. Cela conduit à des inefficiences au niveau des marchés financiers, dans la mesure où les investisseurs prennent leurs décisions sur la base d’informations tronquées ou bien restreignent leurs investissements au seul marché national. </w:t>
      </w:r>
    </w:p>
    <w:p w:rsidR="00D41BD8" w:rsidRPr="00D41BD8" w:rsidRDefault="00D41BD8" w:rsidP="002A3F16">
      <w:pPr>
        <w:numPr>
          <w:ilvl w:val="0"/>
          <w:numId w:val="2"/>
        </w:numPr>
        <w:spacing w:before="0" w:beforeAutospacing="0" w:after="120" w:afterAutospacing="0" w:line="276" w:lineRule="auto"/>
        <w:contextualSpacing/>
        <w:jc w:val="both"/>
        <w:rPr>
          <w:rFonts w:ascii="Times New Roman" w:eastAsia="Times New Roman" w:hAnsi="Times New Roman" w:cs="Times New Roman"/>
          <w:b/>
          <w:bCs/>
          <w:i/>
          <w:sz w:val="24"/>
          <w:szCs w:val="24"/>
          <w:lang w:eastAsia="fr-FR"/>
        </w:rPr>
      </w:pPr>
      <w:r w:rsidRPr="00D41BD8">
        <w:rPr>
          <w:rFonts w:ascii="Times New Roman" w:eastAsia="Times New Roman" w:hAnsi="Times New Roman" w:cs="Times New Roman"/>
          <w:b/>
          <w:bCs/>
          <w:i/>
          <w:sz w:val="24"/>
          <w:szCs w:val="24"/>
          <w:lang w:eastAsia="fr-FR"/>
        </w:rPr>
        <w:t>L’harmonisation comptable et les entreprises multinationales</w:t>
      </w:r>
    </w:p>
    <w:p w:rsidR="00D41BD8" w:rsidRPr="00D41BD8" w:rsidRDefault="00D41BD8" w:rsidP="00D41BD8">
      <w:pPr>
        <w:spacing w:before="0" w:beforeAutospacing="0" w:after="120" w:afterAutospacing="0" w:line="276" w:lineRule="auto"/>
        <w:ind w:firstLine="284"/>
        <w:jc w:val="both"/>
        <w:rPr>
          <w:rFonts w:ascii="Times New Roman" w:hAnsi="Times New Roman" w:cs="Times New Roman"/>
          <w:sz w:val="24"/>
        </w:rPr>
      </w:pPr>
      <w:r w:rsidRPr="00D41BD8">
        <w:rPr>
          <w:rFonts w:ascii="Times New Roman" w:hAnsi="Times New Roman" w:cs="Times New Roman"/>
          <w:sz w:val="24"/>
        </w:rPr>
        <w:t xml:space="preserve">On considère généralement que la diversité comptable perturbe les utilisateurs des états financiers et est source de difficultés pour les sociétés multinationales. Ces dernières sont généralement obligées d’établir deux séries de comptes : des comptes consolidés aux normes du pays de la société mère pour les besoins du marché des capitaux, et des comptes individuels pour chaque filiale, établis selon les règles locales </w:t>
      </w:r>
      <w:r w:rsidRPr="00D41BD8">
        <w:rPr>
          <w:rFonts w:ascii="Times New Roman" w:hAnsi="Times New Roman" w:cs="Times New Roman"/>
          <w:sz w:val="24"/>
        </w:rPr>
        <w:lastRenderedPageBreak/>
        <w:t>et qui ont un but essentiellement fiscal. Si la société mère est cotée sur plus d’une place financière, un deuxième ensemble de comptes consolidés est généralement nécessaire pour les marchés de capitaux étrangers. Ce qui fait accroitre significativement les coûts supportés par ces sociétés, particulièrement les coûts d’audit, les coûts de formation et ceux relatifs aux systèmes d’information. En conséquence, l’harmonisation des systèmes comptables va permettre à ces sociétés de diminuer le coût relatif à la production de leurs informations financières. Du fait qu’elles ne seront plus obligées d’établir des comptes selon des référentiels différents.</w:t>
      </w:r>
    </w:p>
    <w:p w:rsidR="00D41BD8" w:rsidRPr="00D41BD8" w:rsidRDefault="00D41BD8" w:rsidP="002A3F16">
      <w:pPr>
        <w:numPr>
          <w:ilvl w:val="0"/>
          <w:numId w:val="2"/>
        </w:numPr>
        <w:spacing w:before="0" w:beforeAutospacing="0" w:after="60" w:afterAutospacing="0" w:line="276" w:lineRule="auto"/>
        <w:contextualSpacing/>
        <w:jc w:val="both"/>
        <w:rPr>
          <w:rFonts w:ascii="Times New Roman" w:eastAsia="Times New Roman" w:hAnsi="Times New Roman" w:cs="Times New Roman"/>
          <w:b/>
          <w:bCs/>
          <w:i/>
          <w:sz w:val="24"/>
          <w:szCs w:val="24"/>
          <w:lang w:eastAsia="fr-FR"/>
        </w:rPr>
      </w:pPr>
      <w:r w:rsidRPr="00D41BD8">
        <w:rPr>
          <w:rFonts w:ascii="Times New Roman" w:eastAsia="Times New Roman" w:hAnsi="Times New Roman" w:cs="Times New Roman"/>
          <w:b/>
          <w:bCs/>
          <w:i/>
          <w:sz w:val="24"/>
          <w:szCs w:val="24"/>
          <w:lang w:eastAsia="fr-FR"/>
        </w:rPr>
        <w:t xml:space="preserve">L’harmonisation comptable et les unions économiques </w:t>
      </w:r>
    </w:p>
    <w:p w:rsidR="00D41BD8" w:rsidRPr="00D41BD8" w:rsidRDefault="00D41BD8" w:rsidP="00D41BD8">
      <w:pPr>
        <w:spacing w:before="0" w:beforeAutospacing="0" w:after="120" w:afterAutospacing="0" w:line="276" w:lineRule="auto"/>
        <w:ind w:firstLine="284"/>
        <w:jc w:val="both"/>
        <w:rPr>
          <w:rFonts w:ascii="Times New Roman" w:hAnsi="Times New Roman" w:cs="Times New Roman"/>
          <w:sz w:val="24"/>
        </w:rPr>
      </w:pPr>
      <w:r w:rsidRPr="00D41BD8">
        <w:rPr>
          <w:rFonts w:ascii="Times New Roman" w:hAnsi="Times New Roman" w:cs="Times New Roman"/>
          <w:sz w:val="24"/>
        </w:rPr>
        <w:t>La diversité de réglementations comptables pose également des problèmes aux unions économiques comme l’Union européenne. Du fait que, le concept de marché unique présuppose vraisemblablement une réglementation à peu près identique dans chaque État. Dès lors, voici une autre motivation qui pousse à l’harmonisation des systèmes comptables : la volonté d’unifier les conditions de la concurrence entre pays. « Si un ou plusieurs États au sein d’une union économique possèdent un système comptable particulièrement permissif ou favorable, les entreprises établies ailleurs risquent en effet d’être incitées à y transférer leur siège social, faussant ainsi la concurrence entre États membres »</w:t>
      </w:r>
      <w:r w:rsidRPr="00D41BD8">
        <w:rPr>
          <w:rFonts w:ascii="Times New Roman" w:hAnsi="Times New Roman" w:cs="Times New Roman"/>
          <w:sz w:val="24"/>
          <w:vertAlign w:val="superscript"/>
        </w:rPr>
        <w:footnoteReference w:id="45"/>
      </w:r>
      <w:r w:rsidRPr="00D41BD8">
        <w:rPr>
          <w:rFonts w:ascii="Times New Roman" w:hAnsi="Times New Roman" w:cs="Times New Roman"/>
          <w:sz w:val="24"/>
        </w:rPr>
        <w:t>.Le manque d’uniformité conduit aussi à des inefficiences dans les marchés financiers et nuit à la libre circulation des capitaux, des biens et des services, même si l’autorité politique peut tenter de faire disparaître, ou au moins de réduire ces obstacles, comme c’est le cas au sein de l’Union européenne.</w:t>
      </w:r>
    </w:p>
    <w:p w:rsidR="00D41BD8" w:rsidRPr="00D41BD8" w:rsidRDefault="00D41BD8" w:rsidP="00D41BD8">
      <w:pPr>
        <w:spacing w:before="0" w:beforeAutospacing="0" w:after="120" w:afterAutospacing="0" w:line="276" w:lineRule="auto"/>
        <w:jc w:val="both"/>
        <w:rPr>
          <w:rFonts w:ascii="Times New Roman" w:hAnsi="Times New Roman" w:cs="Times New Roman"/>
          <w:b/>
          <w:i/>
          <w:iCs/>
          <w:sz w:val="24"/>
          <w:szCs w:val="24"/>
        </w:rPr>
      </w:pPr>
      <w:r w:rsidRPr="00D41BD8">
        <w:rPr>
          <w:rFonts w:ascii="Times New Roman" w:hAnsi="Times New Roman" w:cs="Times New Roman"/>
          <w:b/>
          <w:i/>
          <w:iCs/>
          <w:sz w:val="24"/>
          <w:szCs w:val="24"/>
        </w:rPr>
        <w:t>3.2.2. Limites et risques de l’harmonisation comptable</w:t>
      </w:r>
    </w:p>
    <w:p w:rsidR="00D41BD8" w:rsidRPr="00D41BD8" w:rsidRDefault="00D41BD8" w:rsidP="00D41BD8">
      <w:pPr>
        <w:spacing w:before="0" w:beforeAutospacing="0" w:after="60" w:afterAutospacing="0" w:line="276" w:lineRule="auto"/>
        <w:ind w:firstLine="284"/>
        <w:jc w:val="both"/>
        <w:rPr>
          <w:rFonts w:ascii="Times New Roman" w:hAnsi="Times New Roman" w:cs="Times New Roman"/>
          <w:sz w:val="24"/>
          <w:szCs w:val="24"/>
        </w:rPr>
      </w:pPr>
      <w:r w:rsidRPr="00D41BD8">
        <w:rPr>
          <w:rFonts w:ascii="Times New Roman" w:hAnsi="Times New Roman" w:cs="Times New Roman"/>
          <w:sz w:val="24"/>
          <w:szCs w:val="24"/>
        </w:rPr>
        <w:t>Contre l’harmonisation, on peut invoquer qu’elle rompt des équilibres sociaux qui ont mis des années à s’établir, qu’elle ne tient pas compte du rôle spécifique de la comptabilité dans chaque pays, qu’elle est onéreuse et que ses coûts sont supportés essentiellement par les petites et moyennes entreprises, alors que les bénéfices reviennent en grande partie aux grandes sociétés. Mais la question principale consiste à savoir si réellement l’harmonisation comptable peut être obtenue. En outre, quelles sont les limites et les risques liés au processus d’harmonisation comptable internationale.</w:t>
      </w:r>
    </w:p>
    <w:p w:rsidR="00D41BD8" w:rsidRPr="00D41BD8" w:rsidRDefault="00D41BD8" w:rsidP="002A3F16">
      <w:pPr>
        <w:numPr>
          <w:ilvl w:val="0"/>
          <w:numId w:val="2"/>
        </w:numPr>
        <w:spacing w:before="0" w:beforeAutospacing="0" w:after="60" w:afterAutospacing="0" w:line="276" w:lineRule="auto"/>
        <w:contextualSpacing/>
        <w:jc w:val="both"/>
        <w:rPr>
          <w:rFonts w:ascii="Times New Roman" w:hAnsi="Times New Roman" w:cs="Times New Roman"/>
          <w:sz w:val="24"/>
          <w:szCs w:val="24"/>
        </w:rPr>
      </w:pPr>
      <w:r w:rsidRPr="00D41BD8">
        <w:rPr>
          <w:rFonts w:ascii="Times New Roman" w:eastAsia="Times New Roman" w:hAnsi="Times New Roman" w:cs="Times New Roman"/>
          <w:b/>
          <w:bCs/>
          <w:i/>
          <w:sz w:val="24"/>
          <w:szCs w:val="24"/>
          <w:lang w:eastAsia="fr-FR"/>
        </w:rPr>
        <w:t>Les différences environnementales et l’harmonisation comptable</w:t>
      </w:r>
    </w:p>
    <w:p w:rsidR="00D41BD8" w:rsidRPr="00D41BD8" w:rsidRDefault="00D41BD8" w:rsidP="00D41BD8">
      <w:pPr>
        <w:spacing w:before="0" w:beforeAutospacing="0" w:after="60" w:afterAutospacing="0" w:line="276" w:lineRule="auto"/>
        <w:ind w:firstLine="284"/>
        <w:jc w:val="both"/>
        <w:rPr>
          <w:color w:val="FF0000"/>
        </w:rPr>
      </w:pPr>
      <w:r w:rsidRPr="00D41BD8">
        <w:rPr>
          <w:rFonts w:ascii="Times New Roman" w:hAnsi="Times New Roman" w:cs="Times New Roman"/>
          <w:sz w:val="24"/>
          <w:szCs w:val="24"/>
        </w:rPr>
        <w:t xml:space="preserve">Comme nous l’avons vu précédemment, les règles comptables de chaque pays ont évolué dans le temps pour répondre aux besoins de l’environnement social, culturel et économique de chaque pays. Ce compromis entre intérêts divergents constitué au fil du temps est rompu par le processus d’harmonisation qui, par définition, travaille à l’élaboration de règles communes. Il est évident que l’hétérogénéité des priorités et des objectifs de la comptabilité entre pays représente un obstacle à une harmonisation globale. L’établissement de comptes annuels a, dans certains États, pour but essentiel de </w:t>
      </w:r>
      <w:r w:rsidRPr="00D41BD8">
        <w:rPr>
          <w:rFonts w:ascii="Times New Roman" w:hAnsi="Times New Roman" w:cs="Times New Roman"/>
          <w:sz w:val="24"/>
          <w:szCs w:val="24"/>
        </w:rPr>
        <w:lastRenderedPageBreak/>
        <w:t>calculer le bénéfice distribuable, objectif directement lié à des préoccupations fiscales. Dans d’autres pays, l’objectif principal est de fournir de l’information aux marchés des capitaux. Une harmonisation complète ne peut donc être réalisée que si l’environnement économique et social (réglementation fiscale, droit des sociétés, modes de financement, systèmes de gouvernement d’entreprise, etc.) l’est aussi.</w:t>
      </w:r>
    </w:p>
    <w:p w:rsidR="00D41BD8" w:rsidRPr="00D41BD8" w:rsidRDefault="00D41BD8" w:rsidP="002A3F16">
      <w:pPr>
        <w:numPr>
          <w:ilvl w:val="0"/>
          <w:numId w:val="2"/>
        </w:numPr>
        <w:spacing w:before="0" w:beforeAutospacing="0" w:after="60" w:afterAutospacing="0" w:line="276" w:lineRule="auto"/>
        <w:contextualSpacing/>
        <w:jc w:val="both"/>
        <w:rPr>
          <w:rFonts w:ascii="Times New Roman" w:eastAsia="Times New Roman" w:hAnsi="Times New Roman" w:cs="Times New Roman"/>
          <w:b/>
          <w:bCs/>
          <w:i/>
          <w:sz w:val="24"/>
          <w:szCs w:val="24"/>
          <w:lang w:eastAsia="fr-FR"/>
        </w:rPr>
      </w:pPr>
      <w:r w:rsidRPr="00D41BD8">
        <w:rPr>
          <w:rFonts w:ascii="Times New Roman" w:eastAsia="Times New Roman" w:hAnsi="Times New Roman" w:cs="Times New Roman"/>
          <w:b/>
          <w:bCs/>
          <w:i/>
          <w:sz w:val="24"/>
          <w:szCs w:val="24"/>
          <w:lang w:eastAsia="fr-FR"/>
        </w:rPr>
        <w:t xml:space="preserve">L’importance des coûts liés à la transition vers un système international </w:t>
      </w:r>
    </w:p>
    <w:p w:rsidR="00D41BD8" w:rsidRPr="00D41BD8" w:rsidRDefault="00D41BD8" w:rsidP="00D41BD8">
      <w:pPr>
        <w:spacing w:before="0" w:beforeAutospacing="0" w:after="60" w:afterAutospacing="0" w:line="276" w:lineRule="auto"/>
        <w:ind w:firstLine="284"/>
        <w:jc w:val="both"/>
        <w:rPr>
          <w:rFonts w:ascii="Times New Roman" w:hAnsi="Times New Roman" w:cs="Times New Roman"/>
          <w:sz w:val="24"/>
          <w:szCs w:val="24"/>
        </w:rPr>
      </w:pPr>
      <w:r w:rsidRPr="00D41BD8">
        <w:rPr>
          <w:rFonts w:ascii="Times New Roman" w:hAnsi="Times New Roman" w:cs="Times New Roman"/>
          <w:sz w:val="24"/>
          <w:szCs w:val="24"/>
        </w:rPr>
        <w:t>Une autre question est de savoir si l’harmonisation doit concerner toutes les entreprises ou se limiter à certaines d’entre elles, notamment les sociétés cotées en Bourse, les sociétés de capitaux, ou encore celles dont la taille dépasse un certain seuil. Il est clair que l’harmonisation est nécessaire pour les sociétés cotées afin de faciliter les transactions sur les marchés internationaux de capitaux. Quant à savoir si la comptabilité doit être la même pour tous les types de sociétés dans le monde, la question reste ouverte.</w:t>
      </w:r>
    </w:p>
    <w:p w:rsidR="00D41BD8" w:rsidRPr="00D41BD8" w:rsidRDefault="00D41BD8" w:rsidP="00D41BD8">
      <w:pPr>
        <w:spacing w:before="0" w:beforeAutospacing="0" w:after="60" w:afterAutospacing="0" w:line="276" w:lineRule="auto"/>
        <w:ind w:firstLine="284"/>
        <w:jc w:val="both"/>
        <w:rPr>
          <w:rFonts w:ascii="Times New Roman" w:hAnsi="Times New Roman" w:cs="Times New Roman"/>
          <w:sz w:val="24"/>
          <w:szCs w:val="24"/>
        </w:rPr>
      </w:pPr>
      <w:r w:rsidRPr="00D41BD8">
        <w:rPr>
          <w:rFonts w:ascii="Times New Roman" w:hAnsi="Times New Roman" w:cs="Times New Roman"/>
          <w:sz w:val="24"/>
          <w:szCs w:val="24"/>
        </w:rPr>
        <w:t>Pour les entreprises, l’harmonisation a un coût. Un changement de méthodes comptables susceptible de modifier l’image de la situation financière de la société nécessite d’informer les utilisateurs des comptes des effets du changement. Au niveau interne, la firme supporte également des coûts de formation et d’adaptation informatique. D’une façon générale, on considère que les coûts comptables sont relativement plus importants pour les petites sociétés que pour les grandes car ces dernières peuvent répartir ces dépenses, en grande partie fixes, sur un plus grand nombre de transactions.</w:t>
      </w:r>
    </w:p>
    <w:p w:rsidR="00D41BD8" w:rsidRPr="00D41BD8" w:rsidRDefault="00D41BD8" w:rsidP="00D41BD8">
      <w:pPr>
        <w:spacing w:before="0" w:beforeAutospacing="0" w:after="60" w:afterAutospacing="0" w:line="276" w:lineRule="auto"/>
        <w:jc w:val="both"/>
        <w:rPr>
          <w:rFonts w:ascii="Times New Roman" w:eastAsia="Times New Roman" w:hAnsi="Times New Roman" w:cs="Times New Roman"/>
          <w:sz w:val="24"/>
          <w:szCs w:val="24"/>
          <w:lang w:eastAsia="fr-FR"/>
        </w:rPr>
      </w:pPr>
      <w:r w:rsidRPr="00D41BD8">
        <w:rPr>
          <w:rFonts w:ascii="Times New Roman" w:hAnsi="Times New Roman" w:cs="Times New Roman"/>
          <w:b/>
          <w:iCs/>
          <w:sz w:val="24"/>
          <w:szCs w:val="24"/>
        </w:rPr>
        <w:t xml:space="preserve">3.3. Principaux acteurs de la normalisation comptable au niveau international </w:t>
      </w:r>
    </w:p>
    <w:p w:rsidR="00D41BD8" w:rsidRPr="00D41BD8" w:rsidRDefault="00D41BD8" w:rsidP="00D41BD8">
      <w:pPr>
        <w:spacing w:before="0" w:beforeAutospacing="0" w:after="60" w:afterAutospacing="0" w:line="276" w:lineRule="auto"/>
        <w:ind w:firstLine="284"/>
        <w:jc w:val="both"/>
        <w:rPr>
          <w:rFonts w:ascii="Times New Roman" w:hAnsi="Times New Roman"/>
          <w:sz w:val="24"/>
        </w:rPr>
      </w:pPr>
      <w:r w:rsidRPr="00D41BD8">
        <w:rPr>
          <w:rFonts w:ascii="Times New Roman" w:hAnsi="Times New Roman" w:cs="Times New Roman"/>
          <w:sz w:val="24"/>
        </w:rPr>
        <w:t xml:space="preserve">Suite à </w:t>
      </w:r>
      <w:r w:rsidRPr="00D41BD8">
        <w:rPr>
          <w:rFonts w:ascii="Times New Roman" w:hAnsi="Times New Roman" w:cs="Times New Roman"/>
          <w:sz w:val="24"/>
          <w:szCs w:val="24"/>
        </w:rPr>
        <w:t>tous</w:t>
      </w:r>
      <w:r w:rsidRPr="00D41BD8">
        <w:rPr>
          <w:rFonts w:ascii="Times New Roman" w:hAnsi="Times New Roman" w:cs="Times New Roman"/>
          <w:sz w:val="24"/>
        </w:rPr>
        <w:t xml:space="preserve"> ces changements que </w:t>
      </w:r>
      <w:proofErr w:type="gramStart"/>
      <w:r w:rsidRPr="00D41BD8">
        <w:rPr>
          <w:rFonts w:ascii="Times New Roman" w:hAnsi="Times New Roman" w:cs="Times New Roman"/>
          <w:sz w:val="24"/>
        </w:rPr>
        <w:t>connait</w:t>
      </w:r>
      <w:proofErr w:type="gramEnd"/>
      <w:r w:rsidRPr="00D41BD8">
        <w:rPr>
          <w:rFonts w:ascii="Times New Roman" w:hAnsi="Times New Roman" w:cs="Times New Roman"/>
          <w:sz w:val="24"/>
        </w:rPr>
        <w:t xml:space="preserve"> l’économie mondiale, et l’importance accordée au processus d’harmonisation comptable au niveau international, </w:t>
      </w:r>
      <w:r w:rsidRPr="00D41BD8">
        <w:rPr>
          <w:rFonts w:ascii="Times New Roman" w:hAnsi="Times New Roman"/>
          <w:sz w:val="24"/>
        </w:rPr>
        <w:t xml:space="preserve">le monde a connu la création de plusieurs organismes dont la mission principale est d’assurer la convergence </w:t>
      </w:r>
      <w:r w:rsidRPr="00D41BD8">
        <w:rPr>
          <w:rFonts w:ascii="Times New Roman" w:hAnsi="Times New Roman" w:cs="Times New Roman"/>
          <w:sz w:val="24"/>
        </w:rPr>
        <w:t>des</w:t>
      </w:r>
      <w:r w:rsidRPr="00D41BD8">
        <w:rPr>
          <w:rFonts w:ascii="Times New Roman" w:hAnsi="Times New Roman"/>
          <w:sz w:val="24"/>
        </w:rPr>
        <w:t xml:space="preserve"> règles et pratiques comptables des différents pays. Parmi les plus importantes instances internationales demeure </w:t>
      </w:r>
      <w:r w:rsidRPr="00D41BD8">
        <w:rPr>
          <w:rFonts w:ascii="Times New Roman" w:hAnsi="Times New Roman" w:cs="Times New Roman"/>
          <w:sz w:val="24"/>
          <w:szCs w:val="24"/>
        </w:rPr>
        <w:t xml:space="preserve">l’International </w:t>
      </w:r>
      <w:proofErr w:type="spellStart"/>
      <w:r w:rsidRPr="00D41BD8">
        <w:rPr>
          <w:rFonts w:ascii="Times New Roman" w:hAnsi="Times New Roman" w:cs="Times New Roman"/>
          <w:sz w:val="24"/>
          <w:szCs w:val="24"/>
        </w:rPr>
        <w:t>Accounting</w:t>
      </w:r>
      <w:proofErr w:type="spellEnd"/>
      <w:r w:rsidRPr="00D41BD8">
        <w:rPr>
          <w:rFonts w:ascii="Times New Roman" w:hAnsi="Times New Roman" w:cs="Times New Roman"/>
          <w:sz w:val="24"/>
          <w:szCs w:val="24"/>
        </w:rPr>
        <w:t xml:space="preserve"> Standards </w:t>
      </w:r>
      <w:proofErr w:type="spellStart"/>
      <w:r w:rsidRPr="00D41BD8">
        <w:rPr>
          <w:rFonts w:ascii="Times New Roman" w:hAnsi="Times New Roman"/>
          <w:sz w:val="24"/>
          <w:szCs w:val="24"/>
        </w:rPr>
        <w:t>Board</w:t>
      </w:r>
      <w:proofErr w:type="spellEnd"/>
      <w:r w:rsidRPr="00D41BD8">
        <w:rPr>
          <w:rFonts w:ascii="Times New Roman" w:hAnsi="Times New Roman"/>
          <w:sz w:val="24"/>
          <w:szCs w:val="24"/>
        </w:rPr>
        <w:t>, qui est considéré actuellement comme le premier normalisateur mondial. Dans ce qui suit nous allons décrire l’historique de création de certains organismes de normalisation comptable internationale tout en définissant leur rôle ainsi que leurs principales missions.</w:t>
      </w:r>
    </w:p>
    <w:p w:rsidR="00D41BD8" w:rsidRPr="00D41BD8" w:rsidRDefault="00D41BD8" w:rsidP="00D41BD8">
      <w:pPr>
        <w:spacing w:before="0" w:beforeAutospacing="0" w:after="60" w:afterAutospacing="0" w:line="276" w:lineRule="auto"/>
        <w:jc w:val="both"/>
        <w:rPr>
          <w:rFonts w:ascii="Times New Roman" w:eastAsia="Times New Roman" w:hAnsi="Times New Roman" w:cs="Times New Roman"/>
          <w:b/>
          <w:bCs/>
          <w:sz w:val="24"/>
          <w:szCs w:val="24"/>
          <w:lang w:val="en-US" w:eastAsia="fr-FR"/>
        </w:rPr>
      </w:pPr>
      <w:r w:rsidRPr="00D41BD8">
        <w:rPr>
          <w:rFonts w:ascii="Times New Roman" w:eastAsia="Times New Roman" w:hAnsi="Times New Roman" w:cs="Times New Roman"/>
          <w:b/>
          <w:bCs/>
          <w:i/>
          <w:sz w:val="24"/>
          <w:szCs w:val="24"/>
          <w:lang w:val="en-US" w:eastAsia="fr-FR"/>
        </w:rPr>
        <w:t xml:space="preserve">3.3.1. </w:t>
      </w:r>
      <w:proofErr w:type="spellStart"/>
      <w:r w:rsidRPr="00D41BD8">
        <w:rPr>
          <w:rFonts w:ascii="Times New Roman" w:eastAsia="Times New Roman" w:hAnsi="Times New Roman" w:cs="Times New Roman"/>
          <w:b/>
          <w:bCs/>
          <w:i/>
          <w:sz w:val="24"/>
          <w:szCs w:val="24"/>
          <w:lang w:val="en-US" w:eastAsia="fr-FR"/>
        </w:rPr>
        <w:t>L'International</w:t>
      </w:r>
      <w:proofErr w:type="spellEnd"/>
      <w:r w:rsidRPr="00D41BD8">
        <w:rPr>
          <w:rFonts w:ascii="Times New Roman" w:eastAsia="Times New Roman" w:hAnsi="Times New Roman" w:cs="Times New Roman"/>
          <w:b/>
          <w:bCs/>
          <w:i/>
          <w:sz w:val="24"/>
          <w:szCs w:val="24"/>
          <w:lang w:val="en-US" w:eastAsia="fr-FR"/>
        </w:rPr>
        <w:t xml:space="preserve"> Accounting Standards Board (IASB</w:t>
      </w:r>
      <w:r w:rsidRPr="00D41BD8">
        <w:rPr>
          <w:rFonts w:ascii="Times New Roman" w:eastAsia="Times New Roman" w:hAnsi="Times New Roman" w:cs="Times New Roman"/>
          <w:b/>
          <w:bCs/>
          <w:i/>
          <w:sz w:val="24"/>
          <w:szCs w:val="24"/>
          <w:vertAlign w:val="superscript"/>
          <w:lang w:val="en-US" w:eastAsia="fr-FR"/>
        </w:rPr>
        <w:footnoteReference w:id="46"/>
      </w:r>
      <w:r w:rsidRPr="00D41BD8">
        <w:rPr>
          <w:rFonts w:ascii="Times New Roman" w:eastAsia="Times New Roman" w:hAnsi="Times New Roman" w:cs="Times New Roman"/>
          <w:b/>
          <w:bCs/>
          <w:i/>
          <w:sz w:val="24"/>
          <w:szCs w:val="24"/>
          <w:lang w:val="en-US" w:eastAsia="fr-FR"/>
        </w:rPr>
        <w:t>)</w:t>
      </w:r>
    </w:p>
    <w:p w:rsidR="00D41BD8" w:rsidRPr="00D41BD8" w:rsidRDefault="00D41BD8" w:rsidP="00D41BD8">
      <w:pPr>
        <w:spacing w:before="0" w:beforeAutospacing="0" w:after="60" w:afterAutospacing="0" w:line="276" w:lineRule="auto"/>
        <w:ind w:firstLine="284"/>
        <w:jc w:val="both"/>
        <w:rPr>
          <w:rFonts w:ascii="Times New Roman" w:hAnsi="Times New Roman"/>
          <w:sz w:val="24"/>
        </w:rPr>
      </w:pPr>
      <w:r w:rsidRPr="00D41BD8">
        <w:rPr>
          <w:rFonts w:ascii="Times New Roman" w:hAnsi="Times New Roman"/>
          <w:sz w:val="24"/>
        </w:rPr>
        <w:t>L'</w:t>
      </w:r>
      <w:bookmarkStart w:id="0" w:name="iasc"/>
      <w:r w:rsidRPr="00D41BD8">
        <w:rPr>
          <w:rFonts w:ascii="Times New Roman" w:hAnsi="Times New Roman"/>
          <w:sz w:val="24"/>
        </w:rPr>
        <w:t>IASC</w:t>
      </w:r>
      <w:bookmarkEnd w:id="0"/>
      <w:r w:rsidRPr="00D41BD8">
        <w:rPr>
          <w:rFonts w:ascii="Times New Roman" w:hAnsi="Times New Roman"/>
          <w:sz w:val="24"/>
        </w:rPr>
        <w:t xml:space="preserve"> est une organisation privée créée le 29 juin 1973 par les organisations professionnelles comptables de pays industrialisés dont le siège est établi à Londres. Elle a été fondée par les instituts d’experts comptables de 10 pays (Allemagne, Australie, Canada, États-Unis, France, Grande-Bretagne, Irlande, Japon, Mexique, Pays-Bas). Aujourd’hui, cet organisme regroupe une centaine d'organisations membres installées dans environ quatre-vingt pays.</w:t>
      </w:r>
    </w:p>
    <w:p w:rsidR="00D41BD8" w:rsidRPr="00D41BD8" w:rsidRDefault="00D41BD8" w:rsidP="00D41BD8">
      <w:pPr>
        <w:spacing w:before="0" w:beforeAutospacing="0" w:after="60" w:afterAutospacing="0" w:line="276" w:lineRule="auto"/>
        <w:ind w:firstLine="284"/>
        <w:jc w:val="both"/>
        <w:rPr>
          <w:rFonts w:ascii="Times New Roman" w:hAnsi="Times New Roman"/>
          <w:sz w:val="24"/>
        </w:rPr>
      </w:pPr>
      <w:r w:rsidRPr="00D41BD8">
        <w:rPr>
          <w:rFonts w:ascii="Times New Roman" w:hAnsi="Times New Roman"/>
          <w:sz w:val="24"/>
        </w:rPr>
        <w:lastRenderedPageBreak/>
        <w:t>En outre, l'IASC a pour vocation de contribuer au développement de normes comptables internationales et de favoriser leur application dans la présentation des états financiers. Elle s'intéresse plus particulièrement aux comptes consolidés des grands groupes multinationaux. Ses principaux objectifs sont :</w:t>
      </w:r>
    </w:p>
    <w:p w:rsidR="00D41BD8" w:rsidRPr="00D41BD8" w:rsidRDefault="00D41BD8" w:rsidP="002A3F16">
      <w:pPr>
        <w:numPr>
          <w:ilvl w:val="0"/>
          <w:numId w:val="3"/>
        </w:numPr>
        <w:spacing w:before="0" w:beforeAutospacing="0" w:after="60" w:afterAutospacing="0" w:line="276" w:lineRule="auto"/>
        <w:contextualSpacing/>
        <w:jc w:val="both"/>
        <w:rPr>
          <w:rFonts w:ascii="Times New Roman" w:hAnsi="Times New Roman" w:cs="Times New Roman"/>
          <w:sz w:val="24"/>
        </w:rPr>
      </w:pPr>
      <w:r w:rsidRPr="00D41BD8">
        <w:rPr>
          <w:rFonts w:ascii="Times New Roman" w:hAnsi="Times New Roman" w:cs="Times New Roman"/>
          <w:sz w:val="24"/>
        </w:rPr>
        <w:t>D’établir des normes comptables acceptables sur le plan international ;</w:t>
      </w:r>
    </w:p>
    <w:p w:rsidR="00D41BD8" w:rsidRPr="00D41BD8" w:rsidRDefault="00D41BD8" w:rsidP="002A3F16">
      <w:pPr>
        <w:numPr>
          <w:ilvl w:val="0"/>
          <w:numId w:val="3"/>
        </w:numPr>
        <w:spacing w:before="0" w:beforeAutospacing="0" w:after="60" w:afterAutospacing="0" w:line="276" w:lineRule="auto"/>
        <w:contextualSpacing/>
        <w:jc w:val="both"/>
        <w:rPr>
          <w:rFonts w:ascii="Times New Roman" w:hAnsi="Times New Roman" w:cs="Times New Roman"/>
          <w:sz w:val="24"/>
        </w:rPr>
      </w:pPr>
      <w:r w:rsidRPr="00D41BD8">
        <w:rPr>
          <w:rFonts w:ascii="Times New Roman" w:hAnsi="Times New Roman" w:cs="Times New Roman"/>
          <w:sz w:val="24"/>
        </w:rPr>
        <w:t>de promouvoir leur utilisation ;</w:t>
      </w:r>
    </w:p>
    <w:p w:rsidR="00D41BD8" w:rsidRPr="00D41BD8" w:rsidRDefault="00D41BD8" w:rsidP="002A3F16">
      <w:pPr>
        <w:numPr>
          <w:ilvl w:val="0"/>
          <w:numId w:val="3"/>
        </w:numPr>
        <w:spacing w:before="0" w:beforeAutospacing="0" w:after="60" w:afterAutospacing="0" w:line="276" w:lineRule="auto"/>
        <w:contextualSpacing/>
        <w:jc w:val="both"/>
        <w:rPr>
          <w:rFonts w:ascii="Times New Roman" w:hAnsi="Times New Roman" w:cs="Times New Roman"/>
          <w:sz w:val="24"/>
        </w:rPr>
      </w:pPr>
      <w:r w:rsidRPr="00D41BD8">
        <w:rPr>
          <w:rFonts w:ascii="Times New Roman" w:hAnsi="Times New Roman" w:cs="Times New Roman"/>
          <w:sz w:val="24"/>
        </w:rPr>
        <w:t xml:space="preserve">Et de travailler pour harmoniser les réglementations comptables et la présentation des états financiers sur le plan international. </w:t>
      </w:r>
    </w:p>
    <w:p w:rsidR="00D41BD8" w:rsidRPr="00D41BD8" w:rsidRDefault="00D41BD8" w:rsidP="00D41BD8">
      <w:pPr>
        <w:spacing w:before="0" w:beforeAutospacing="0" w:after="60" w:afterAutospacing="0" w:line="276" w:lineRule="auto"/>
        <w:ind w:firstLine="284"/>
        <w:jc w:val="both"/>
        <w:rPr>
          <w:rFonts w:ascii="Times New Roman" w:hAnsi="Times New Roman"/>
          <w:sz w:val="24"/>
        </w:rPr>
      </w:pPr>
      <w:r w:rsidRPr="00D41BD8">
        <w:rPr>
          <w:rFonts w:ascii="Times New Roman" w:hAnsi="Times New Roman"/>
          <w:sz w:val="24"/>
        </w:rPr>
        <w:t>Il est à noter que cette institution n'a pas les pouvoirs juridiques pour rendre obligatoire l'application des normes qu'elle publie. Cependant, les normes qu’elle a produites sont considérées comme une référence internationale et inspirent à nos jours les régulateurs de plus de 100 pays dans le monde.</w:t>
      </w:r>
    </w:p>
    <w:p w:rsidR="00D41BD8" w:rsidRPr="00D41BD8" w:rsidRDefault="00D41BD8" w:rsidP="002A3F16">
      <w:pPr>
        <w:numPr>
          <w:ilvl w:val="0"/>
          <w:numId w:val="6"/>
        </w:numPr>
        <w:spacing w:before="0" w:beforeAutospacing="0" w:after="60" w:afterAutospacing="0" w:line="276" w:lineRule="auto"/>
        <w:contextualSpacing/>
        <w:jc w:val="left"/>
        <w:rPr>
          <w:rFonts w:ascii="Times New Roman" w:hAnsi="Times New Roman" w:cs="Times New Roman"/>
          <w:b/>
          <w:sz w:val="24"/>
        </w:rPr>
      </w:pPr>
      <w:r w:rsidRPr="00D41BD8">
        <w:rPr>
          <w:rFonts w:ascii="Times New Roman" w:hAnsi="Times New Roman" w:cs="Times New Roman"/>
          <w:b/>
          <w:sz w:val="24"/>
        </w:rPr>
        <w:t>Histoire de l’IASB</w:t>
      </w:r>
    </w:p>
    <w:p w:rsidR="00D41BD8" w:rsidRPr="00D41BD8" w:rsidRDefault="00D41BD8" w:rsidP="00D41BD8">
      <w:pPr>
        <w:spacing w:before="0" w:beforeAutospacing="0" w:after="60" w:afterAutospacing="0" w:line="276" w:lineRule="auto"/>
        <w:ind w:firstLine="284"/>
        <w:jc w:val="both"/>
        <w:rPr>
          <w:rFonts w:ascii="Times New Roman" w:hAnsi="Times New Roman"/>
          <w:sz w:val="24"/>
        </w:rPr>
      </w:pPr>
      <w:r w:rsidRPr="00D41BD8">
        <w:rPr>
          <w:rFonts w:ascii="Times New Roman" w:hAnsi="Times New Roman"/>
          <w:sz w:val="24"/>
        </w:rPr>
        <w:t xml:space="preserve">Au cours des années soixante-dix et quatre-vingt, l'IASC procédait par l’analyse des différentes pratiques de présentation de comptes consolidés pour retenir les meilleures d'entre elles et en assurer la promotion. L'IASC avait alors un rôle </w:t>
      </w:r>
      <w:r w:rsidRPr="00D41BD8">
        <w:rPr>
          <w:rFonts w:ascii="Times New Roman" w:hAnsi="Times New Roman"/>
          <w:b/>
          <w:sz w:val="24"/>
        </w:rPr>
        <w:t>harmonisateur</w:t>
      </w:r>
      <w:r w:rsidRPr="00D41BD8">
        <w:rPr>
          <w:rFonts w:ascii="Times New Roman" w:hAnsi="Times New Roman"/>
          <w:sz w:val="24"/>
        </w:rPr>
        <w:t xml:space="preserve">. </w:t>
      </w:r>
    </w:p>
    <w:p w:rsidR="00D41BD8" w:rsidRPr="00D41BD8" w:rsidRDefault="00D41BD8" w:rsidP="00D41BD8">
      <w:pPr>
        <w:spacing w:before="0" w:beforeAutospacing="0" w:after="60" w:afterAutospacing="0" w:line="276" w:lineRule="auto"/>
        <w:ind w:firstLine="284"/>
        <w:jc w:val="both"/>
        <w:rPr>
          <w:rFonts w:ascii="Times New Roman" w:hAnsi="Times New Roman"/>
          <w:sz w:val="24"/>
        </w:rPr>
      </w:pPr>
      <w:r w:rsidRPr="00D41BD8">
        <w:rPr>
          <w:rFonts w:ascii="Times New Roman" w:hAnsi="Times New Roman"/>
          <w:sz w:val="24"/>
        </w:rPr>
        <w:t xml:space="preserve">Au cours des années quatre-vingt-dix, les anglo-saxons étaient convaincus que la crise financière qui a frappé les pays asiatiques était due essentiellement à un manque de rigueur dans la présentation des états financiers du fait d'une normalisation comptable insuffisante. En 1995, l'IASC conclut des accords avec l'OICV, s'engageant à fournir avant la fin 1999 un « package » complet de normes permettant à une entreprise de se faire coter sur un marché financier étranger (celui des U.S.A. en particulier). Les experts de l'IASC ont abattu un travail impressionnant pour mettre au point des normes, des référentiels comptables dans un cadre conceptuel innovant et cohérent, mettant fréquemment leurs réflexions en commun avec celles d’organismes normalisateurs et de cabinets d'audit anglo-saxons. En mai 2000, l'OICV recommandait officiellement à ses membres de permettre aux sociétés cotées d'utiliser le référentiel IASC. Le rôle de l'IASC a ainsi évolué vers celui </w:t>
      </w:r>
      <w:r w:rsidRPr="00D41BD8">
        <w:rPr>
          <w:rFonts w:ascii="Times New Roman" w:hAnsi="Times New Roman"/>
          <w:b/>
          <w:sz w:val="24"/>
        </w:rPr>
        <w:t>d'innovateur</w:t>
      </w:r>
      <w:r w:rsidRPr="00D41BD8">
        <w:rPr>
          <w:rFonts w:ascii="Times New Roman" w:hAnsi="Times New Roman"/>
          <w:sz w:val="24"/>
        </w:rPr>
        <w:t>.</w:t>
      </w:r>
    </w:p>
    <w:p w:rsidR="00D41BD8" w:rsidRPr="00D41BD8" w:rsidRDefault="00D41BD8" w:rsidP="00D41BD8">
      <w:pPr>
        <w:spacing w:before="0" w:beforeAutospacing="0" w:after="60" w:afterAutospacing="0" w:line="276" w:lineRule="auto"/>
        <w:ind w:firstLine="284"/>
        <w:jc w:val="both"/>
        <w:rPr>
          <w:rFonts w:ascii="Times New Roman" w:hAnsi="Times New Roman"/>
          <w:sz w:val="24"/>
        </w:rPr>
      </w:pPr>
      <w:r w:rsidRPr="00D41BD8">
        <w:rPr>
          <w:rFonts w:ascii="Times New Roman" w:hAnsi="Times New Roman"/>
          <w:sz w:val="24"/>
        </w:rPr>
        <w:t xml:space="preserve">Au cours de l'année 2000, une réforme de la constitution de l'IASC est mise en œuvre. Le nouveau statut fait évoluer le rôle de l'institution d'« harmonisateur innovateur » vers celui de « </w:t>
      </w:r>
      <w:r w:rsidRPr="00D41BD8">
        <w:rPr>
          <w:rFonts w:ascii="Times New Roman" w:hAnsi="Times New Roman"/>
          <w:b/>
          <w:sz w:val="24"/>
        </w:rPr>
        <w:t xml:space="preserve">normalisateur </w:t>
      </w:r>
      <w:r w:rsidRPr="00D41BD8">
        <w:rPr>
          <w:rFonts w:ascii="Times New Roman" w:hAnsi="Times New Roman"/>
          <w:sz w:val="24"/>
        </w:rPr>
        <w:t>».Pour s’adapter aux enjeux de la normalisation comptable internationale, l’IASC a été réformé plus exactement en avril 2001. L’élément central de cette réforme vise à attribuer à l’IASC un véritable statut de normalisateur international alors qu’il remplissait essentiellement, tel décrit précédemment, un rôle d’harmonisateur.</w:t>
      </w:r>
    </w:p>
    <w:p w:rsidR="00D41BD8" w:rsidRPr="00D41BD8" w:rsidRDefault="00D41BD8" w:rsidP="00D41BD8">
      <w:pPr>
        <w:spacing w:before="0" w:beforeAutospacing="0" w:after="60" w:afterAutospacing="0" w:line="276" w:lineRule="auto"/>
        <w:jc w:val="both"/>
        <w:rPr>
          <w:rFonts w:ascii="Times New Roman" w:hAnsi="Times New Roman"/>
          <w:sz w:val="24"/>
        </w:rPr>
      </w:pPr>
      <w:r w:rsidRPr="00D41BD8">
        <w:rPr>
          <w:rFonts w:ascii="Times New Roman" w:hAnsi="Times New Roman"/>
          <w:sz w:val="24"/>
        </w:rPr>
        <w:t>Les 5 points principaux à retenir de la réforme sont les suivants :</w:t>
      </w:r>
    </w:p>
    <w:p w:rsidR="00D41BD8" w:rsidRPr="00D41BD8" w:rsidRDefault="00D41BD8" w:rsidP="002A3F16">
      <w:pPr>
        <w:numPr>
          <w:ilvl w:val="0"/>
          <w:numId w:val="4"/>
        </w:numPr>
        <w:spacing w:before="0" w:beforeAutospacing="0" w:after="60" w:afterAutospacing="0" w:line="276" w:lineRule="auto"/>
        <w:contextualSpacing/>
        <w:jc w:val="both"/>
        <w:rPr>
          <w:rFonts w:ascii="Times New Roman" w:hAnsi="Times New Roman"/>
          <w:sz w:val="24"/>
        </w:rPr>
      </w:pPr>
      <w:r w:rsidRPr="00D41BD8">
        <w:rPr>
          <w:rFonts w:ascii="Times New Roman" w:hAnsi="Times New Roman"/>
          <w:sz w:val="24"/>
        </w:rPr>
        <w:t>l’IASC est devenu une institution internationale indépendante, dans le cadre d’une fondation, l’IASCF ;</w:t>
      </w:r>
    </w:p>
    <w:p w:rsidR="00D41BD8" w:rsidRPr="00D41BD8" w:rsidRDefault="00D41BD8" w:rsidP="002A3F16">
      <w:pPr>
        <w:numPr>
          <w:ilvl w:val="0"/>
          <w:numId w:val="4"/>
        </w:numPr>
        <w:spacing w:before="0" w:beforeAutospacing="0" w:after="60" w:afterAutospacing="0" w:line="276" w:lineRule="auto"/>
        <w:contextualSpacing/>
        <w:jc w:val="both"/>
        <w:rPr>
          <w:rFonts w:ascii="Times New Roman" w:hAnsi="Times New Roman"/>
          <w:sz w:val="24"/>
        </w:rPr>
      </w:pPr>
      <w:r w:rsidRPr="00D41BD8">
        <w:rPr>
          <w:rFonts w:ascii="Times New Roman" w:hAnsi="Times New Roman"/>
          <w:sz w:val="24"/>
        </w:rPr>
        <w:t xml:space="preserve">l’organe chargé de préparer et d’adopter les normes est l’IASB (le </w:t>
      </w:r>
      <w:proofErr w:type="spellStart"/>
      <w:r w:rsidRPr="00D41BD8">
        <w:rPr>
          <w:rFonts w:ascii="Times New Roman" w:hAnsi="Times New Roman"/>
          <w:sz w:val="24"/>
        </w:rPr>
        <w:t>Board</w:t>
      </w:r>
      <w:proofErr w:type="spellEnd"/>
      <w:r w:rsidRPr="00D41BD8">
        <w:rPr>
          <w:rFonts w:ascii="Times New Roman" w:hAnsi="Times New Roman"/>
          <w:sz w:val="24"/>
        </w:rPr>
        <w:t>) ;</w:t>
      </w:r>
    </w:p>
    <w:p w:rsidR="00D41BD8" w:rsidRPr="00D41BD8" w:rsidRDefault="00D41BD8" w:rsidP="002A3F16">
      <w:pPr>
        <w:numPr>
          <w:ilvl w:val="0"/>
          <w:numId w:val="4"/>
        </w:numPr>
        <w:spacing w:before="0" w:beforeAutospacing="0" w:after="60" w:afterAutospacing="0" w:line="276" w:lineRule="auto"/>
        <w:contextualSpacing/>
        <w:jc w:val="both"/>
        <w:rPr>
          <w:rFonts w:ascii="Times New Roman" w:hAnsi="Times New Roman"/>
          <w:sz w:val="24"/>
        </w:rPr>
      </w:pPr>
      <w:r w:rsidRPr="00D41BD8">
        <w:rPr>
          <w:rFonts w:ascii="Times New Roman" w:hAnsi="Times New Roman"/>
          <w:sz w:val="24"/>
        </w:rPr>
        <w:lastRenderedPageBreak/>
        <w:t xml:space="preserve">les normes comptables internationales émises à l’avenir ne porteront plus le nom de normes IAS mais celui de normes IFRS (International Financial </w:t>
      </w:r>
      <w:proofErr w:type="spellStart"/>
      <w:r w:rsidRPr="00D41BD8">
        <w:rPr>
          <w:rFonts w:ascii="Times New Roman" w:hAnsi="Times New Roman"/>
          <w:sz w:val="24"/>
        </w:rPr>
        <w:t>Reporting</w:t>
      </w:r>
      <w:proofErr w:type="spellEnd"/>
      <w:r w:rsidRPr="00D41BD8">
        <w:rPr>
          <w:rFonts w:ascii="Times New Roman" w:hAnsi="Times New Roman"/>
          <w:sz w:val="24"/>
        </w:rPr>
        <w:t xml:space="preserve"> Standards) ;</w:t>
      </w:r>
    </w:p>
    <w:p w:rsidR="00D41BD8" w:rsidRPr="00D41BD8" w:rsidRDefault="00D41BD8" w:rsidP="002A3F16">
      <w:pPr>
        <w:numPr>
          <w:ilvl w:val="0"/>
          <w:numId w:val="4"/>
        </w:numPr>
        <w:spacing w:before="0" w:beforeAutospacing="0" w:after="60" w:afterAutospacing="0" w:line="276" w:lineRule="auto"/>
        <w:contextualSpacing/>
        <w:jc w:val="both"/>
        <w:rPr>
          <w:rFonts w:ascii="Times New Roman" w:hAnsi="Times New Roman"/>
          <w:sz w:val="24"/>
        </w:rPr>
      </w:pPr>
      <w:r w:rsidRPr="00D41BD8">
        <w:rPr>
          <w:rFonts w:ascii="Times New Roman" w:hAnsi="Times New Roman"/>
          <w:sz w:val="24"/>
        </w:rPr>
        <w:t>les anciennes normes non modifiées restent désignées sous le vocable de normes IAS ;</w:t>
      </w:r>
    </w:p>
    <w:p w:rsidR="00D41BD8" w:rsidRPr="00D41BD8" w:rsidRDefault="00D41BD8" w:rsidP="002A3F16">
      <w:pPr>
        <w:numPr>
          <w:ilvl w:val="0"/>
          <w:numId w:val="4"/>
        </w:numPr>
        <w:spacing w:before="0" w:beforeAutospacing="0" w:after="60" w:afterAutospacing="0" w:line="276" w:lineRule="auto"/>
        <w:contextualSpacing/>
        <w:jc w:val="both"/>
        <w:rPr>
          <w:rFonts w:ascii="Times New Roman" w:hAnsi="Times New Roman"/>
          <w:sz w:val="24"/>
        </w:rPr>
      </w:pPr>
      <w:r w:rsidRPr="00D41BD8">
        <w:rPr>
          <w:rFonts w:ascii="Times New Roman" w:hAnsi="Times New Roman"/>
          <w:sz w:val="24"/>
        </w:rPr>
        <w:t>l’IASB a avalisé le corpus d’IAS émises par son prédécesseur, l’IASC.</w:t>
      </w:r>
    </w:p>
    <w:p w:rsidR="00D41BD8" w:rsidRPr="00D41BD8" w:rsidRDefault="00D41BD8" w:rsidP="002A3F16">
      <w:pPr>
        <w:numPr>
          <w:ilvl w:val="0"/>
          <w:numId w:val="4"/>
        </w:numPr>
        <w:spacing w:before="0" w:beforeAutospacing="0" w:after="60" w:afterAutospacing="0" w:line="276" w:lineRule="auto"/>
        <w:contextualSpacing/>
        <w:jc w:val="both"/>
        <w:rPr>
          <w:rFonts w:ascii="Times New Roman" w:hAnsi="Times New Roman"/>
          <w:sz w:val="24"/>
        </w:rPr>
      </w:pPr>
      <w:r w:rsidRPr="00D41BD8">
        <w:rPr>
          <w:rFonts w:ascii="Times New Roman" w:hAnsi="Times New Roman"/>
          <w:sz w:val="24"/>
        </w:rPr>
        <w:t>Aussi, les normes numérotées de 1 à 41 existantes au 1er avril 2001, date d’entrée en fonction de l’IASB, conservent leur nomenclature IAS. Les nouvelles normes émises porteront l’intitulé « IFRS n° x » et non pas « IAS n° x ».</w:t>
      </w:r>
    </w:p>
    <w:p w:rsidR="00D41BD8" w:rsidRPr="00D41BD8" w:rsidRDefault="00D41BD8" w:rsidP="00D41BD8">
      <w:pPr>
        <w:spacing w:before="0" w:beforeAutospacing="0" w:after="60" w:afterAutospacing="0" w:line="276" w:lineRule="auto"/>
        <w:ind w:firstLine="284"/>
        <w:jc w:val="both"/>
        <w:rPr>
          <w:rFonts w:ascii="Times New Roman" w:hAnsi="Times New Roman"/>
          <w:sz w:val="24"/>
        </w:rPr>
      </w:pPr>
      <w:r w:rsidRPr="00D41BD8">
        <w:rPr>
          <w:rFonts w:ascii="Times New Roman" w:hAnsi="Times New Roman"/>
          <w:sz w:val="24"/>
        </w:rPr>
        <w:t xml:space="preserve">En effet, l'IASC a publié une quarantaine de normes internationales (International </w:t>
      </w:r>
      <w:proofErr w:type="spellStart"/>
      <w:r w:rsidRPr="00D41BD8">
        <w:rPr>
          <w:rFonts w:ascii="Times New Roman" w:hAnsi="Times New Roman"/>
          <w:sz w:val="24"/>
        </w:rPr>
        <w:t>Accounting</w:t>
      </w:r>
      <w:proofErr w:type="spellEnd"/>
      <w:r w:rsidRPr="00D41BD8">
        <w:rPr>
          <w:rFonts w:ascii="Times New Roman" w:hAnsi="Times New Roman"/>
          <w:sz w:val="24"/>
        </w:rPr>
        <w:t xml:space="preserve"> Standards </w:t>
      </w:r>
      <w:bookmarkStart w:id="1" w:name="ias"/>
      <w:r w:rsidRPr="00D41BD8">
        <w:rPr>
          <w:rFonts w:ascii="Times New Roman" w:hAnsi="Times New Roman"/>
          <w:sz w:val="24"/>
        </w:rPr>
        <w:t>IAS</w:t>
      </w:r>
      <w:bookmarkEnd w:id="1"/>
      <w:r w:rsidRPr="00D41BD8">
        <w:rPr>
          <w:rFonts w:ascii="Times New Roman" w:hAnsi="Times New Roman"/>
          <w:sz w:val="24"/>
        </w:rPr>
        <w:t>) et 25 interprétations (nommées SIC). Les normes IAS sont largement fondées sur des principes conceptuels mais les options laissées à l'initiative des professionnels ont été progressivement réduites. Toutes les normes sont susceptibles d'être réévaluées et révisées.</w:t>
      </w:r>
    </w:p>
    <w:p w:rsidR="00D41BD8" w:rsidRPr="00D41BD8" w:rsidRDefault="00D41BD8" w:rsidP="00D41BD8">
      <w:pPr>
        <w:spacing w:before="0" w:beforeAutospacing="0" w:after="60" w:afterAutospacing="0" w:line="276" w:lineRule="auto"/>
        <w:ind w:firstLine="284"/>
        <w:jc w:val="both"/>
      </w:pPr>
      <w:r w:rsidRPr="00D41BD8">
        <w:rPr>
          <w:rFonts w:ascii="Times New Roman" w:hAnsi="Times New Roman"/>
          <w:sz w:val="24"/>
        </w:rPr>
        <w:t>L'importance quantitative et qualitative de ces publications a fait de l'IASC l'organisme incontournable de la normalisation comptable internationale.</w:t>
      </w:r>
    </w:p>
    <w:p w:rsidR="00D41BD8" w:rsidRPr="00D41BD8" w:rsidRDefault="00D41BD8" w:rsidP="002A3F16">
      <w:pPr>
        <w:numPr>
          <w:ilvl w:val="0"/>
          <w:numId w:val="6"/>
        </w:numPr>
        <w:spacing w:before="0" w:beforeAutospacing="0" w:after="60" w:afterAutospacing="0" w:line="276" w:lineRule="auto"/>
        <w:contextualSpacing/>
        <w:jc w:val="left"/>
        <w:rPr>
          <w:rFonts w:ascii="Times New Roman" w:hAnsi="Times New Roman" w:cs="Times New Roman"/>
          <w:b/>
          <w:sz w:val="24"/>
        </w:rPr>
      </w:pPr>
      <w:r w:rsidRPr="00D41BD8">
        <w:rPr>
          <w:rFonts w:ascii="Times New Roman" w:hAnsi="Times New Roman" w:cs="Times New Roman"/>
          <w:b/>
          <w:sz w:val="24"/>
        </w:rPr>
        <w:t>Structure de l’IASB</w:t>
      </w:r>
    </w:p>
    <w:p w:rsidR="00D41BD8" w:rsidRPr="00D41BD8" w:rsidRDefault="00D41BD8" w:rsidP="00D41BD8">
      <w:pPr>
        <w:spacing w:before="0" w:beforeAutospacing="0" w:after="60" w:afterAutospacing="0" w:line="276" w:lineRule="auto"/>
        <w:ind w:firstLine="284"/>
        <w:jc w:val="both"/>
        <w:rPr>
          <w:rFonts w:ascii="Times New Roman" w:hAnsi="Times New Roman" w:cs="Times New Roman"/>
          <w:color w:val="231F20"/>
          <w:sz w:val="24"/>
          <w:szCs w:val="24"/>
        </w:rPr>
      </w:pPr>
      <w:r w:rsidRPr="00D41BD8">
        <w:rPr>
          <w:rFonts w:ascii="Times New Roman" w:hAnsi="Times New Roman" w:cs="Times New Roman"/>
          <w:color w:val="231F20"/>
          <w:sz w:val="24"/>
          <w:szCs w:val="24"/>
        </w:rPr>
        <w:t>La structure de l’IASB est désormais composée des organes suivants :</w:t>
      </w:r>
    </w:p>
    <w:p w:rsidR="00D41BD8" w:rsidRPr="00D41BD8" w:rsidRDefault="00D41BD8" w:rsidP="00D41BD8">
      <w:pPr>
        <w:autoSpaceDE w:val="0"/>
        <w:autoSpaceDN w:val="0"/>
        <w:adjustRightInd w:val="0"/>
        <w:spacing w:before="0" w:beforeAutospacing="0" w:after="60" w:afterAutospacing="0" w:line="276" w:lineRule="auto"/>
        <w:jc w:val="both"/>
        <w:rPr>
          <w:rFonts w:ascii="Times New Roman" w:hAnsi="Times New Roman" w:cs="Times New Roman"/>
          <w:b/>
          <w:bCs/>
          <w:sz w:val="24"/>
          <w:szCs w:val="24"/>
        </w:rPr>
      </w:pPr>
      <w:r w:rsidRPr="00D41BD8">
        <w:rPr>
          <w:rFonts w:ascii="Times New Roman" w:hAnsi="Times New Roman" w:cs="Times New Roman"/>
          <w:b/>
          <w:bCs/>
          <w:sz w:val="24"/>
          <w:szCs w:val="24"/>
        </w:rPr>
        <w:t>a) L’IASB</w:t>
      </w:r>
    </w:p>
    <w:p w:rsidR="00D41BD8" w:rsidRPr="00D41BD8" w:rsidRDefault="00D41BD8" w:rsidP="00D41BD8">
      <w:pPr>
        <w:spacing w:before="0" w:beforeAutospacing="0" w:after="60" w:afterAutospacing="0" w:line="276" w:lineRule="auto"/>
        <w:ind w:firstLine="284"/>
        <w:jc w:val="both"/>
        <w:rPr>
          <w:rFonts w:ascii="Times New Roman" w:hAnsi="Times New Roman" w:cs="Times New Roman"/>
          <w:sz w:val="24"/>
          <w:szCs w:val="24"/>
        </w:rPr>
      </w:pPr>
      <w:r w:rsidRPr="00D41BD8">
        <w:rPr>
          <w:rFonts w:ascii="Times New Roman" w:hAnsi="Times New Roman" w:cs="Times New Roman"/>
          <w:sz w:val="24"/>
          <w:szCs w:val="24"/>
        </w:rPr>
        <w:t xml:space="preserve">Le </w:t>
      </w:r>
      <w:r w:rsidRPr="00D41BD8">
        <w:rPr>
          <w:rFonts w:ascii="Times New Roman" w:hAnsi="Times New Roman"/>
          <w:sz w:val="24"/>
        </w:rPr>
        <w:t>comité</w:t>
      </w:r>
      <w:r w:rsidRPr="00D41BD8">
        <w:rPr>
          <w:rFonts w:ascii="Times New Roman" w:hAnsi="Times New Roman" w:cs="Times New Roman"/>
          <w:sz w:val="24"/>
          <w:szCs w:val="24"/>
        </w:rPr>
        <w:t xml:space="preserve"> exécutif (The </w:t>
      </w:r>
      <w:proofErr w:type="spellStart"/>
      <w:r w:rsidRPr="00D41BD8">
        <w:rPr>
          <w:rFonts w:ascii="Times New Roman" w:hAnsi="Times New Roman" w:cs="Times New Roman"/>
          <w:sz w:val="24"/>
          <w:szCs w:val="24"/>
        </w:rPr>
        <w:t>Board</w:t>
      </w:r>
      <w:proofErr w:type="spellEnd"/>
      <w:r w:rsidRPr="00D41BD8">
        <w:rPr>
          <w:rFonts w:ascii="Times New Roman" w:hAnsi="Times New Roman" w:cs="Times New Roman"/>
          <w:sz w:val="24"/>
          <w:szCs w:val="24"/>
        </w:rPr>
        <w:t xml:space="preserve">) est désigné sous le sigle IASB (International </w:t>
      </w:r>
      <w:proofErr w:type="spellStart"/>
      <w:r w:rsidRPr="00D41BD8">
        <w:rPr>
          <w:rFonts w:ascii="Times New Roman" w:hAnsi="Times New Roman" w:cs="Times New Roman"/>
          <w:sz w:val="24"/>
          <w:szCs w:val="24"/>
        </w:rPr>
        <w:t>Accounting</w:t>
      </w:r>
      <w:proofErr w:type="spellEnd"/>
      <w:r w:rsidRPr="00D41BD8">
        <w:rPr>
          <w:rFonts w:ascii="Times New Roman" w:hAnsi="Times New Roman" w:cs="Times New Roman"/>
          <w:sz w:val="24"/>
          <w:szCs w:val="24"/>
        </w:rPr>
        <w:t xml:space="preserve"> Standards </w:t>
      </w:r>
      <w:proofErr w:type="spellStart"/>
      <w:r w:rsidRPr="00D41BD8">
        <w:rPr>
          <w:rFonts w:ascii="Times New Roman" w:hAnsi="Times New Roman" w:cs="Times New Roman"/>
          <w:sz w:val="24"/>
          <w:szCs w:val="24"/>
        </w:rPr>
        <w:t>Board</w:t>
      </w:r>
      <w:proofErr w:type="spellEnd"/>
      <w:r w:rsidRPr="00D41BD8">
        <w:rPr>
          <w:rFonts w:ascii="Times New Roman" w:hAnsi="Times New Roman" w:cs="Times New Roman"/>
          <w:sz w:val="24"/>
          <w:szCs w:val="24"/>
        </w:rPr>
        <w:t xml:space="preserve">) et principalement chargé d’apporter son expertise technique pour établir les normes comptables et d’adopter les IFRS. Il y a 14 membres au </w:t>
      </w:r>
      <w:proofErr w:type="spellStart"/>
      <w:r w:rsidRPr="00D41BD8">
        <w:rPr>
          <w:rFonts w:ascii="Times New Roman" w:hAnsi="Times New Roman" w:cs="Times New Roman"/>
          <w:sz w:val="24"/>
          <w:szCs w:val="24"/>
        </w:rPr>
        <w:t>Board</w:t>
      </w:r>
      <w:proofErr w:type="spellEnd"/>
      <w:r w:rsidRPr="00D41BD8">
        <w:rPr>
          <w:rFonts w:ascii="Times New Roman" w:hAnsi="Times New Roman" w:cs="Times New Roman"/>
          <w:sz w:val="24"/>
          <w:szCs w:val="24"/>
        </w:rPr>
        <w:t xml:space="preserve"> de l’IASB, chacun ayant une voix, </w:t>
      </w:r>
      <w:proofErr w:type="gramStart"/>
      <w:r w:rsidRPr="00D41BD8">
        <w:rPr>
          <w:rFonts w:ascii="Times New Roman" w:hAnsi="Times New Roman" w:cs="Times New Roman"/>
          <w:sz w:val="24"/>
          <w:szCs w:val="24"/>
        </w:rPr>
        <w:t>nommés</w:t>
      </w:r>
      <w:proofErr w:type="gramEnd"/>
      <w:r w:rsidRPr="00D41BD8">
        <w:rPr>
          <w:rFonts w:ascii="Times New Roman" w:hAnsi="Times New Roman" w:cs="Times New Roman"/>
          <w:sz w:val="24"/>
          <w:szCs w:val="24"/>
        </w:rPr>
        <w:t xml:space="preserve"> par les administrateurs de l’IASCF. La constitution indique que les administrateurs choisissent les membres de l’IASB de sorte qu’il constitue un groupe de personnes représentant la meilleure combinaison disponible des compétences techniques et d’expérience des affaires et des marchés internationaux afin de contribuer au développement de la haute qualité de normes comptables mondiales.</w:t>
      </w:r>
    </w:p>
    <w:p w:rsidR="00D41BD8" w:rsidRPr="00D41BD8" w:rsidRDefault="00D41BD8" w:rsidP="00D41BD8">
      <w:pPr>
        <w:autoSpaceDE w:val="0"/>
        <w:autoSpaceDN w:val="0"/>
        <w:adjustRightInd w:val="0"/>
        <w:spacing w:before="0" w:beforeAutospacing="0" w:after="120" w:afterAutospacing="0" w:line="276" w:lineRule="auto"/>
        <w:jc w:val="both"/>
        <w:rPr>
          <w:rFonts w:ascii="Times New Roman" w:hAnsi="Times New Roman" w:cs="Times New Roman"/>
          <w:b/>
          <w:bCs/>
          <w:sz w:val="24"/>
          <w:szCs w:val="24"/>
        </w:rPr>
      </w:pPr>
      <w:r w:rsidRPr="00D41BD8">
        <w:rPr>
          <w:rFonts w:ascii="Times New Roman" w:hAnsi="Times New Roman" w:cs="Times New Roman"/>
          <w:b/>
          <w:bCs/>
          <w:sz w:val="24"/>
          <w:szCs w:val="24"/>
        </w:rPr>
        <w:t>b) L’IASCF</w:t>
      </w:r>
    </w:p>
    <w:p w:rsidR="00D41BD8" w:rsidRPr="00D41BD8" w:rsidRDefault="00D41BD8" w:rsidP="00D41BD8">
      <w:pPr>
        <w:spacing w:before="0" w:beforeAutospacing="0" w:after="60" w:afterAutospacing="0" w:line="276" w:lineRule="auto"/>
        <w:ind w:firstLine="284"/>
        <w:jc w:val="both"/>
        <w:rPr>
          <w:rFonts w:ascii="Times New Roman" w:hAnsi="Times New Roman" w:cs="Times New Roman"/>
          <w:sz w:val="24"/>
          <w:szCs w:val="24"/>
        </w:rPr>
      </w:pPr>
      <w:r w:rsidRPr="00D41BD8">
        <w:rPr>
          <w:rFonts w:ascii="Times New Roman" w:hAnsi="Times New Roman"/>
          <w:sz w:val="24"/>
        </w:rPr>
        <w:t>L’IASCF est</w:t>
      </w:r>
      <w:r w:rsidRPr="00D41BD8">
        <w:rPr>
          <w:rFonts w:ascii="Times New Roman" w:hAnsi="Times New Roman" w:cs="Times New Roman"/>
          <w:sz w:val="24"/>
          <w:szCs w:val="24"/>
        </w:rPr>
        <w:t xml:space="preserve"> un Conseil de surveillance composé des </w:t>
      </w:r>
      <w:r w:rsidRPr="00D41BD8">
        <w:rPr>
          <w:rFonts w:ascii="Times New Roman" w:hAnsi="Times New Roman" w:cs="Times New Roman"/>
          <w:i/>
          <w:iCs/>
          <w:sz w:val="24"/>
          <w:szCs w:val="24"/>
        </w:rPr>
        <w:t xml:space="preserve">trustees </w:t>
      </w:r>
      <w:r w:rsidRPr="00D41BD8">
        <w:rPr>
          <w:rFonts w:ascii="Times New Roman" w:hAnsi="Times New Roman" w:cs="Times New Roman"/>
          <w:sz w:val="24"/>
          <w:szCs w:val="24"/>
        </w:rPr>
        <w:t>et chargé de désigner notamment les membres du Comité exécutif, de trouver les fonds nécessaires au fonctionnement et de procéder aux amendements constitutionnels. La direction de l’IASB et de ses comités est au final entre les mains des administrateurs de l’IASCF. Il y a 19 administrateurs. La constitution de l’IASCF indique que les administrateurs doivent montrer un engagement ferme à l’IASCF et l’IASB en tant qu’organisme normalisateur international. Chaque administrateur aura une compréhension des enjeux internationaux inhérents au succès d’une organisation internationale responsable du développement de normes comptables internationales de haute qualité pour leur usage auprès des marchés financiers dans le monde et par d’autres utilisateurs.</w:t>
      </w:r>
    </w:p>
    <w:p w:rsidR="00D41BD8" w:rsidRPr="00D41BD8" w:rsidRDefault="00D41BD8" w:rsidP="00D41BD8">
      <w:pPr>
        <w:spacing w:before="0" w:beforeAutospacing="0" w:after="60" w:afterAutospacing="0" w:line="276" w:lineRule="auto"/>
        <w:ind w:firstLine="284"/>
        <w:jc w:val="both"/>
        <w:rPr>
          <w:rFonts w:ascii="Times New Roman" w:hAnsi="Times New Roman" w:cs="Times New Roman"/>
          <w:sz w:val="24"/>
          <w:szCs w:val="24"/>
        </w:rPr>
      </w:pPr>
      <w:r w:rsidRPr="00D41BD8">
        <w:rPr>
          <w:rFonts w:ascii="Times New Roman" w:hAnsi="Times New Roman" w:cs="Times New Roman"/>
          <w:sz w:val="24"/>
          <w:szCs w:val="24"/>
        </w:rPr>
        <w:t>Les administrateurs nomment les membres de l’IASB, l’IFRIC et du SAC. En outre :</w:t>
      </w:r>
    </w:p>
    <w:p w:rsidR="00D41BD8" w:rsidRPr="00D41BD8" w:rsidRDefault="00D41BD8" w:rsidP="002A3F16">
      <w:pPr>
        <w:numPr>
          <w:ilvl w:val="0"/>
          <w:numId w:val="5"/>
        </w:numPr>
        <w:autoSpaceDE w:val="0"/>
        <w:autoSpaceDN w:val="0"/>
        <w:adjustRightInd w:val="0"/>
        <w:spacing w:before="0" w:beforeAutospacing="0" w:after="60" w:afterAutospacing="0" w:line="360" w:lineRule="auto"/>
        <w:contextualSpacing/>
        <w:jc w:val="both"/>
        <w:rPr>
          <w:rFonts w:ascii="Times New Roman" w:hAnsi="Times New Roman" w:cs="Times New Roman"/>
          <w:sz w:val="24"/>
          <w:szCs w:val="24"/>
        </w:rPr>
      </w:pPr>
      <w:r w:rsidRPr="00D41BD8">
        <w:rPr>
          <w:rFonts w:ascii="Times New Roman" w:hAnsi="Times New Roman" w:cs="Times New Roman"/>
          <w:sz w:val="24"/>
          <w:szCs w:val="24"/>
        </w:rPr>
        <w:lastRenderedPageBreak/>
        <w:t>Ils revoient annuellement la stratégie de l’IASB et son efficacité ;</w:t>
      </w:r>
    </w:p>
    <w:p w:rsidR="00D41BD8" w:rsidRPr="00D41BD8" w:rsidRDefault="00D41BD8" w:rsidP="002A3F16">
      <w:pPr>
        <w:numPr>
          <w:ilvl w:val="0"/>
          <w:numId w:val="5"/>
        </w:numPr>
        <w:autoSpaceDE w:val="0"/>
        <w:autoSpaceDN w:val="0"/>
        <w:adjustRightInd w:val="0"/>
        <w:spacing w:before="0" w:beforeAutospacing="0" w:after="60" w:afterAutospacing="0" w:line="360" w:lineRule="auto"/>
        <w:contextualSpacing/>
        <w:jc w:val="both"/>
        <w:rPr>
          <w:rFonts w:ascii="Times New Roman" w:hAnsi="Times New Roman" w:cs="Times New Roman"/>
          <w:sz w:val="24"/>
          <w:szCs w:val="24"/>
        </w:rPr>
      </w:pPr>
      <w:r w:rsidRPr="00D41BD8">
        <w:rPr>
          <w:rFonts w:ascii="Times New Roman" w:hAnsi="Times New Roman" w:cs="Times New Roman"/>
          <w:sz w:val="24"/>
          <w:szCs w:val="24"/>
        </w:rPr>
        <w:t>Ils approuvent annuellement le budget de l’IASB et en déterminent l’utilisation ;</w:t>
      </w:r>
    </w:p>
    <w:p w:rsidR="00D41BD8" w:rsidRPr="00D41BD8" w:rsidRDefault="00D41BD8" w:rsidP="002A3F16">
      <w:pPr>
        <w:numPr>
          <w:ilvl w:val="0"/>
          <w:numId w:val="5"/>
        </w:numPr>
        <w:autoSpaceDE w:val="0"/>
        <w:autoSpaceDN w:val="0"/>
        <w:adjustRightInd w:val="0"/>
        <w:spacing w:before="0" w:beforeAutospacing="0" w:after="60" w:afterAutospacing="0" w:line="360" w:lineRule="auto"/>
        <w:contextualSpacing/>
        <w:jc w:val="both"/>
        <w:rPr>
          <w:rFonts w:ascii="Times New Roman" w:hAnsi="Times New Roman" w:cs="Times New Roman"/>
          <w:sz w:val="24"/>
          <w:szCs w:val="24"/>
        </w:rPr>
      </w:pPr>
      <w:r w:rsidRPr="00D41BD8">
        <w:rPr>
          <w:rFonts w:ascii="Times New Roman" w:hAnsi="Times New Roman" w:cs="Times New Roman"/>
          <w:sz w:val="24"/>
          <w:szCs w:val="24"/>
        </w:rPr>
        <w:t>Ils revoient les aspects stratégiques affectant les normes comptables, promeuvent l’IASB et ses travaux et favorisent l’objectif de l’application rigoureuse des normes d’information financière internationales (cependant, ils sont exclus de la participation dans les sujets techniques concernant les normes) ;</w:t>
      </w:r>
    </w:p>
    <w:p w:rsidR="00D41BD8" w:rsidRPr="00D41BD8" w:rsidRDefault="00D41BD8" w:rsidP="002A3F16">
      <w:pPr>
        <w:numPr>
          <w:ilvl w:val="0"/>
          <w:numId w:val="5"/>
        </w:numPr>
        <w:autoSpaceDE w:val="0"/>
        <w:autoSpaceDN w:val="0"/>
        <w:adjustRightInd w:val="0"/>
        <w:spacing w:before="0" w:beforeAutospacing="0" w:after="60" w:afterAutospacing="0" w:line="360" w:lineRule="auto"/>
        <w:contextualSpacing/>
        <w:jc w:val="both"/>
        <w:rPr>
          <w:rFonts w:ascii="Times New Roman" w:hAnsi="Times New Roman" w:cs="Times New Roman"/>
          <w:sz w:val="24"/>
          <w:szCs w:val="24"/>
        </w:rPr>
      </w:pPr>
      <w:r w:rsidRPr="00D41BD8">
        <w:rPr>
          <w:rFonts w:ascii="Times New Roman" w:hAnsi="Times New Roman" w:cs="Times New Roman"/>
          <w:sz w:val="24"/>
          <w:szCs w:val="24"/>
        </w:rPr>
        <w:t>Ils établissent et corrigent les procédures opérationnelles de l’IASB, l’IFRIC et du SAC ;</w:t>
      </w:r>
    </w:p>
    <w:p w:rsidR="00D41BD8" w:rsidRPr="00D41BD8" w:rsidRDefault="00D41BD8" w:rsidP="002A3F16">
      <w:pPr>
        <w:numPr>
          <w:ilvl w:val="0"/>
          <w:numId w:val="5"/>
        </w:numPr>
        <w:autoSpaceDE w:val="0"/>
        <w:autoSpaceDN w:val="0"/>
        <w:adjustRightInd w:val="0"/>
        <w:spacing w:before="0" w:beforeAutospacing="0" w:after="60" w:afterAutospacing="0" w:line="360" w:lineRule="auto"/>
        <w:contextualSpacing/>
        <w:jc w:val="both"/>
        <w:rPr>
          <w:rFonts w:ascii="Times New Roman" w:hAnsi="Times New Roman" w:cs="Times New Roman"/>
          <w:sz w:val="24"/>
          <w:szCs w:val="24"/>
        </w:rPr>
      </w:pPr>
      <w:r w:rsidRPr="00D41BD8">
        <w:rPr>
          <w:rFonts w:ascii="Times New Roman" w:hAnsi="Times New Roman" w:cs="Times New Roman"/>
          <w:sz w:val="24"/>
          <w:szCs w:val="24"/>
        </w:rPr>
        <w:t xml:space="preserve">Ils approuvent les amendements à la constitution après suivi du « </w:t>
      </w:r>
      <w:r w:rsidRPr="00D41BD8">
        <w:rPr>
          <w:rFonts w:ascii="Times New Roman" w:hAnsi="Times New Roman" w:cs="Times New Roman"/>
          <w:i/>
          <w:iCs/>
          <w:sz w:val="24"/>
          <w:szCs w:val="24"/>
        </w:rPr>
        <w:t xml:space="preserve">due </w:t>
      </w:r>
      <w:proofErr w:type="spellStart"/>
      <w:r w:rsidRPr="00D41BD8">
        <w:rPr>
          <w:rFonts w:ascii="Times New Roman" w:hAnsi="Times New Roman" w:cs="Times New Roman"/>
          <w:i/>
          <w:iCs/>
          <w:sz w:val="24"/>
          <w:szCs w:val="24"/>
        </w:rPr>
        <w:t>process</w:t>
      </w:r>
      <w:proofErr w:type="spellEnd"/>
      <w:r w:rsidRPr="00D41BD8">
        <w:rPr>
          <w:rFonts w:ascii="Times New Roman" w:hAnsi="Times New Roman" w:cs="Times New Roman"/>
          <w:sz w:val="24"/>
          <w:szCs w:val="24"/>
        </w:rPr>
        <w:t>» ;</w:t>
      </w:r>
    </w:p>
    <w:p w:rsidR="00D41BD8" w:rsidRPr="00D41BD8" w:rsidRDefault="00D41BD8" w:rsidP="002A3F16">
      <w:pPr>
        <w:numPr>
          <w:ilvl w:val="0"/>
          <w:numId w:val="5"/>
        </w:numPr>
        <w:autoSpaceDE w:val="0"/>
        <w:autoSpaceDN w:val="0"/>
        <w:adjustRightInd w:val="0"/>
        <w:spacing w:before="0" w:beforeAutospacing="0" w:after="60" w:afterAutospacing="0" w:line="360" w:lineRule="auto"/>
        <w:contextualSpacing/>
        <w:jc w:val="both"/>
        <w:rPr>
          <w:rFonts w:ascii="Times New Roman" w:hAnsi="Times New Roman" w:cs="Times New Roman"/>
          <w:sz w:val="24"/>
          <w:szCs w:val="24"/>
        </w:rPr>
      </w:pPr>
      <w:r w:rsidRPr="00D41BD8">
        <w:rPr>
          <w:rFonts w:ascii="Times New Roman" w:hAnsi="Times New Roman" w:cs="Times New Roman"/>
          <w:sz w:val="24"/>
          <w:szCs w:val="24"/>
        </w:rPr>
        <w:t>Ils exercent tous les pouvoirs attribués à l’IASCF excepté ceux expressément réservés à l’IASB, à l’IFRIC et au SAC.</w:t>
      </w:r>
    </w:p>
    <w:p w:rsidR="00D41BD8" w:rsidRPr="00D41BD8" w:rsidRDefault="00D41BD8" w:rsidP="00D41BD8">
      <w:pPr>
        <w:spacing w:before="0" w:beforeAutospacing="0" w:after="60" w:afterAutospacing="0" w:line="276" w:lineRule="auto"/>
        <w:ind w:firstLine="284"/>
        <w:jc w:val="both"/>
        <w:rPr>
          <w:rFonts w:ascii="Times New Roman" w:hAnsi="Times New Roman" w:cs="Times New Roman"/>
          <w:sz w:val="24"/>
          <w:szCs w:val="24"/>
        </w:rPr>
      </w:pPr>
      <w:r w:rsidRPr="00D41BD8">
        <w:rPr>
          <w:rFonts w:ascii="Times New Roman" w:hAnsi="Times New Roman" w:cs="Times New Roman"/>
          <w:sz w:val="24"/>
          <w:szCs w:val="24"/>
        </w:rPr>
        <w:t>Les administrateurs ne sont pas responsables de l’établissement des normes IFRS. Cette responsabilité est seulement du ressort de l’IASB.</w:t>
      </w:r>
    </w:p>
    <w:p w:rsidR="00D41BD8" w:rsidRPr="00D41BD8" w:rsidRDefault="00D41BD8" w:rsidP="00D41BD8">
      <w:pPr>
        <w:autoSpaceDE w:val="0"/>
        <w:autoSpaceDN w:val="0"/>
        <w:adjustRightInd w:val="0"/>
        <w:spacing w:before="0" w:beforeAutospacing="0" w:after="120" w:afterAutospacing="0" w:line="276" w:lineRule="auto"/>
        <w:jc w:val="both"/>
        <w:rPr>
          <w:rFonts w:ascii="Times New Roman" w:hAnsi="Times New Roman" w:cs="Times New Roman"/>
          <w:b/>
          <w:bCs/>
          <w:sz w:val="24"/>
          <w:szCs w:val="24"/>
        </w:rPr>
      </w:pPr>
      <w:r w:rsidRPr="00D41BD8">
        <w:rPr>
          <w:rFonts w:ascii="Times New Roman" w:hAnsi="Times New Roman" w:cs="Times New Roman"/>
          <w:b/>
          <w:bCs/>
          <w:sz w:val="24"/>
          <w:szCs w:val="24"/>
        </w:rPr>
        <w:t>c) L’IFRIC</w:t>
      </w:r>
    </w:p>
    <w:p w:rsidR="00D41BD8" w:rsidRPr="00D41BD8" w:rsidRDefault="00D41BD8" w:rsidP="00D41BD8">
      <w:pPr>
        <w:spacing w:before="0" w:beforeAutospacing="0" w:after="60" w:afterAutospacing="0" w:line="276" w:lineRule="auto"/>
        <w:ind w:firstLine="284"/>
        <w:jc w:val="both"/>
        <w:rPr>
          <w:rFonts w:ascii="Times New Roman" w:hAnsi="Times New Roman" w:cs="Times New Roman"/>
          <w:sz w:val="24"/>
          <w:szCs w:val="24"/>
        </w:rPr>
      </w:pPr>
      <w:r w:rsidRPr="00D41BD8">
        <w:rPr>
          <w:rFonts w:ascii="Times New Roman" w:hAnsi="Times New Roman" w:cs="Times New Roman"/>
          <w:sz w:val="24"/>
          <w:szCs w:val="24"/>
        </w:rPr>
        <w:t xml:space="preserve">L’IFRIC est un comité d’interprétation (International Financial </w:t>
      </w:r>
      <w:proofErr w:type="spellStart"/>
      <w:r w:rsidRPr="00D41BD8">
        <w:rPr>
          <w:rFonts w:ascii="Times New Roman" w:hAnsi="Times New Roman" w:cs="Times New Roman"/>
          <w:sz w:val="24"/>
          <w:szCs w:val="24"/>
        </w:rPr>
        <w:t>Reporting</w:t>
      </w:r>
      <w:proofErr w:type="spellEnd"/>
      <w:r w:rsidRPr="00D41BD8">
        <w:rPr>
          <w:rFonts w:ascii="Times New Roman" w:hAnsi="Times New Roman" w:cs="Times New Roman"/>
          <w:sz w:val="24"/>
          <w:szCs w:val="24"/>
        </w:rPr>
        <w:t xml:space="preserve"> </w:t>
      </w:r>
      <w:proofErr w:type="spellStart"/>
      <w:r w:rsidRPr="00D41BD8">
        <w:rPr>
          <w:rFonts w:ascii="Times New Roman" w:hAnsi="Times New Roman" w:cs="Times New Roman"/>
          <w:sz w:val="24"/>
          <w:szCs w:val="24"/>
        </w:rPr>
        <w:t>Interpretation</w:t>
      </w:r>
      <w:proofErr w:type="spellEnd"/>
      <w:r w:rsidRPr="00D41BD8">
        <w:rPr>
          <w:rFonts w:ascii="Times New Roman" w:hAnsi="Times New Roman" w:cs="Times New Roman"/>
          <w:sz w:val="24"/>
          <w:szCs w:val="24"/>
        </w:rPr>
        <w:t xml:space="preserve"> </w:t>
      </w:r>
      <w:proofErr w:type="spellStart"/>
      <w:r w:rsidRPr="00D41BD8">
        <w:rPr>
          <w:rFonts w:ascii="Times New Roman" w:hAnsi="Times New Roman" w:cs="Times New Roman"/>
          <w:sz w:val="24"/>
          <w:szCs w:val="24"/>
        </w:rPr>
        <w:t>Committee</w:t>
      </w:r>
      <w:proofErr w:type="spellEnd"/>
      <w:r w:rsidRPr="00D41BD8">
        <w:rPr>
          <w:rFonts w:ascii="Times New Roman" w:hAnsi="Times New Roman" w:cs="Times New Roman"/>
          <w:sz w:val="24"/>
          <w:szCs w:val="24"/>
        </w:rPr>
        <w:t xml:space="preserve">). C’est le nouveau nom donné au comité d’interprétation des normes de l’IASB (auparavant, c’était le SIC – Standing </w:t>
      </w:r>
      <w:proofErr w:type="spellStart"/>
      <w:r w:rsidRPr="00D41BD8">
        <w:rPr>
          <w:rFonts w:ascii="Times New Roman" w:hAnsi="Times New Roman" w:cs="Times New Roman"/>
          <w:sz w:val="24"/>
          <w:szCs w:val="24"/>
        </w:rPr>
        <w:t>Interpretations</w:t>
      </w:r>
      <w:proofErr w:type="spellEnd"/>
      <w:r w:rsidRPr="00D41BD8">
        <w:rPr>
          <w:rFonts w:ascii="Times New Roman" w:hAnsi="Times New Roman" w:cs="Times New Roman"/>
          <w:sz w:val="24"/>
          <w:szCs w:val="24"/>
        </w:rPr>
        <w:t xml:space="preserve"> </w:t>
      </w:r>
      <w:proofErr w:type="spellStart"/>
      <w:r w:rsidRPr="00D41BD8">
        <w:rPr>
          <w:rFonts w:ascii="Times New Roman" w:hAnsi="Times New Roman" w:cs="Times New Roman"/>
          <w:sz w:val="24"/>
          <w:szCs w:val="24"/>
        </w:rPr>
        <w:t>Committee</w:t>
      </w:r>
      <w:proofErr w:type="spellEnd"/>
      <w:r w:rsidRPr="00D41BD8">
        <w:rPr>
          <w:rFonts w:ascii="Times New Roman" w:hAnsi="Times New Roman" w:cs="Times New Roman"/>
          <w:sz w:val="24"/>
          <w:szCs w:val="24"/>
        </w:rPr>
        <w:t>). Il a pour objet d’interpréter le corps existant des normes de l’IASB et aussi d’élaborer des positions techniques sur des questions précises, en attente de la définition d’une norme définitive.</w:t>
      </w:r>
    </w:p>
    <w:p w:rsidR="00D41BD8" w:rsidRPr="00D41BD8" w:rsidRDefault="00D41BD8" w:rsidP="00D41BD8">
      <w:pPr>
        <w:spacing w:before="0" w:beforeAutospacing="0" w:after="60" w:afterAutospacing="0" w:line="276" w:lineRule="auto"/>
        <w:ind w:firstLine="284"/>
        <w:jc w:val="both"/>
        <w:rPr>
          <w:rFonts w:ascii="Times New Roman" w:hAnsi="Times New Roman" w:cs="Times New Roman"/>
          <w:sz w:val="24"/>
          <w:szCs w:val="24"/>
        </w:rPr>
      </w:pPr>
      <w:r w:rsidRPr="00D41BD8">
        <w:rPr>
          <w:rFonts w:ascii="Times New Roman" w:hAnsi="Times New Roman" w:cs="Times New Roman"/>
          <w:sz w:val="24"/>
          <w:szCs w:val="24"/>
        </w:rPr>
        <w:t>Le corps interprétatif de l’IASB, anciennement SIC, a été reconstitué en décembre 2001 en tant que Comité d’Interprétation (IFRIC). L’IFRIC passe en revue, sur une base opportune dans le contexte des IFRS et du cadre d’IASB, les questions de comptabilité qui sont susceptibles de recevoir un traitement divergent ou inacceptable en l’absence des positions définitives, en vue d’atteindre un consensus sur le traitement comptable approprié. Pour le développement des interprétations, l’IFRIC travaille étroitement avec les comités nationaux semblables.</w:t>
      </w:r>
    </w:p>
    <w:p w:rsidR="00D41BD8" w:rsidRPr="00D41BD8" w:rsidRDefault="00D41BD8" w:rsidP="00D41BD8">
      <w:pPr>
        <w:spacing w:before="0" w:beforeAutospacing="0" w:after="60" w:afterAutospacing="0" w:line="276" w:lineRule="auto"/>
        <w:ind w:firstLine="284"/>
        <w:jc w:val="both"/>
        <w:rPr>
          <w:rFonts w:ascii="Times New Roman" w:hAnsi="Times New Roman" w:cs="Times New Roman"/>
          <w:sz w:val="24"/>
          <w:szCs w:val="24"/>
        </w:rPr>
      </w:pPr>
      <w:r w:rsidRPr="00D41BD8">
        <w:rPr>
          <w:rFonts w:ascii="Times New Roman" w:hAnsi="Times New Roman" w:cs="Times New Roman"/>
          <w:sz w:val="24"/>
          <w:szCs w:val="24"/>
        </w:rPr>
        <w:t xml:space="preserve">L’IFRIC se rassemble environ toutes les six semaines. Toutes les décisions techniques sont prises en sessions qui sont ouvertes au public. L’IFRIC aborde des questions d’importance raisonnablement répandue. Les interprétations couvrent à la fois : les questions de </w:t>
      </w:r>
      <w:proofErr w:type="spellStart"/>
      <w:r w:rsidRPr="00D41BD8">
        <w:rPr>
          <w:rFonts w:ascii="Times New Roman" w:hAnsi="Times New Roman" w:cs="Times New Roman"/>
          <w:sz w:val="24"/>
          <w:szCs w:val="24"/>
        </w:rPr>
        <w:t>reporting</w:t>
      </w:r>
      <w:proofErr w:type="spellEnd"/>
      <w:r w:rsidRPr="00D41BD8">
        <w:rPr>
          <w:rFonts w:ascii="Times New Roman" w:hAnsi="Times New Roman" w:cs="Times New Roman"/>
          <w:sz w:val="24"/>
          <w:szCs w:val="24"/>
        </w:rPr>
        <w:t xml:space="preserve"> financier nouvellement identifiées mais pas spécifiquement traitées dans IFRS ; ou les questions lorsque des interprétations insatisfaisantes ou contradictoires se sont développées, ou semblent probablement se développer en l’absence de positions définitives, en vue d’atteindre un consensus sur le traitement approprié.</w:t>
      </w:r>
    </w:p>
    <w:p w:rsidR="00D41BD8" w:rsidRPr="00D41BD8" w:rsidRDefault="00D41BD8" w:rsidP="00D41BD8">
      <w:pPr>
        <w:autoSpaceDE w:val="0"/>
        <w:autoSpaceDN w:val="0"/>
        <w:adjustRightInd w:val="0"/>
        <w:spacing w:before="0" w:beforeAutospacing="0" w:after="120" w:afterAutospacing="0" w:line="276" w:lineRule="auto"/>
        <w:jc w:val="both"/>
        <w:rPr>
          <w:rFonts w:ascii="Times New Roman" w:hAnsi="Times New Roman" w:cs="Times New Roman"/>
          <w:b/>
          <w:bCs/>
          <w:sz w:val="24"/>
          <w:szCs w:val="24"/>
        </w:rPr>
      </w:pPr>
      <w:r w:rsidRPr="00D41BD8">
        <w:rPr>
          <w:rFonts w:ascii="Times New Roman" w:hAnsi="Times New Roman" w:cs="Times New Roman"/>
          <w:b/>
          <w:bCs/>
          <w:sz w:val="24"/>
          <w:szCs w:val="24"/>
        </w:rPr>
        <w:t>d) Le SAC</w:t>
      </w:r>
    </w:p>
    <w:p w:rsidR="00D41BD8" w:rsidRPr="00D41BD8" w:rsidRDefault="00D41BD8" w:rsidP="00D41BD8">
      <w:pPr>
        <w:spacing w:before="0" w:beforeAutospacing="0" w:after="60" w:afterAutospacing="0" w:line="276" w:lineRule="auto"/>
        <w:ind w:firstLine="284"/>
        <w:jc w:val="both"/>
        <w:rPr>
          <w:rFonts w:ascii="Times New Roman" w:hAnsi="Times New Roman" w:cs="Times New Roman"/>
          <w:sz w:val="24"/>
          <w:szCs w:val="24"/>
        </w:rPr>
      </w:pPr>
      <w:r w:rsidRPr="00D41BD8">
        <w:rPr>
          <w:rFonts w:ascii="Times New Roman" w:hAnsi="Times New Roman" w:cs="Times New Roman"/>
          <w:sz w:val="24"/>
          <w:szCs w:val="24"/>
        </w:rPr>
        <w:lastRenderedPageBreak/>
        <w:t xml:space="preserve">Le SAC est </w:t>
      </w:r>
      <w:r w:rsidRPr="00D41BD8">
        <w:rPr>
          <w:rFonts w:ascii="Times New Roman" w:hAnsi="Times New Roman"/>
          <w:sz w:val="24"/>
        </w:rPr>
        <w:t>un</w:t>
      </w:r>
      <w:r w:rsidRPr="00D41BD8">
        <w:rPr>
          <w:rFonts w:ascii="Times New Roman" w:hAnsi="Times New Roman" w:cs="Times New Roman"/>
          <w:sz w:val="24"/>
          <w:szCs w:val="24"/>
        </w:rPr>
        <w:t xml:space="preserve"> Comité consultatif de normalisation (Standards </w:t>
      </w:r>
      <w:proofErr w:type="spellStart"/>
      <w:r w:rsidRPr="00D41BD8">
        <w:rPr>
          <w:rFonts w:ascii="Times New Roman" w:hAnsi="Times New Roman" w:cs="Times New Roman"/>
          <w:sz w:val="24"/>
          <w:szCs w:val="24"/>
        </w:rPr>
        <w:t>Advisory</w:t>
      </w:r>
      <w:proofErr w:type="spellEnd"/>
      <w:r w:rsidRPr="00D41BD8">
        <w:rPr>
          <w:rFonts w:ascii="Times New Roman" w:hAnsi="Times New Roman" w:cs="Times New Roman"/>
          <w:sz w:val="24"/>
          <w:szCs w:val="24"/>
        </w:rPr>
        <w:t xml:space="preserve"> Council) chargé de faire participer, au processus de mise en œuvre des normes comptables internationales, les parties intéressées par le </w:t>
      </w:r>
      <w:proofErr w:type="spellStart"/>
      <w:r w:rsidRPr="00D41BD8">
        <w:rPr>
          <w:rFonts w:ascii="Times New Roman" w:hAnsi="Times New Roman" w:cs="Times New Roman"/>
          <w:sz w:val="24"/>
          <w:szCs w:val="24"/>
        </w:rPr>
        <w:t>reporting</w:t>
      </w:r>
      <w:proofErr w:type="spellEnd"/>
      <w:r w:rsidRPr="00D41BD8">
        <w:rPr>
          <w:rFonts w:ascii="Times New Roman" w:hAnsi="Times New Roman" w:cs="Times New Roman"/>
          <w:sz w:val="24"/>
          <w:szCs w:val="24"/>
        </w:rPr>
        <w:t xml:space="preserve"> financier international et de conseiller le Comité exécutif (sur les priorités de la normalisation) et éventuellement le Conseil de surveillance.</w:t>
      </w:r>
    </w:p>
    <w:p w:rsidR="00D41BD8" w:rsidRPr="00D41BD8" w:rsidRDefault="00D41BD8" w:rsidP="00D41BD8">
      <w:pPr>
        <w:spacing w:before="0" w:beforeAutospacing="0" w:after="60" w:afterAutospacing="0" w:line="276" w:lineRule="auto"/>
        <w:ind w:firstLine="284"/>
        <w:jc w:val="both"/>
        <w:rPr>
          <w:rFonts w:ascii="Times New Roman" w:hAnsi="Times New Roman" w:cs="Times New Roman"/>
          <w:sz w:val="24"/>
          <w:szCs w:val="24"/>
        </w:rPr>
      </w:pPr>
      <w:r w:rsidRPr="00D41BD8">
        <w:rPr>
          <w:rFonts w:ascii="Times New Roman" w:hAnsi="Times New Roman" w:cs="Times New Roman"/>
          <w:sz w:val="24"/>
          <w:szCs w:val="24"/>
        </w:rPr>
        <w:t xml:space="preserve">Il regroupe environ 50 membres et fournit un forum aux organismes et aux personnes ayant un intérêt pour le </w:t>
      </w:r>
      <w:proofErr w:type="spellStart"/>
      <w:r w:rsidRPr="00D41BD8">
        <w:rPr>
          <w:rFonts w:ascii="Times New Roman" w:hAnsi="Times New Roman" w:cs="Times New Roman"/>
          <w:sz w:val="24"/>
          <w:szCs w:val="24"/>
        </w:rPr>
        <w:t>reporting</w:t>
      </w:r>
      <w:proofErr w:type="spellEnd"/>
      <w:r w:rsidRPr="00D41BD8">
        <w:rPr>
          <w:rFonts w:ascii="Times New Roman" w:hAnsi="Times New Roman" w:cs="Times New Roman"/>
          <w:sz w:val="24"/>
          <w:szCs w:val="24"/>
        </w:rPr>
        <w:t xml:space="preserve"> financier international pour prendre part au processus d’établissement des normes. Les membres sont nommés pour une durée renouvelable de trois ans et proviennent de milieux géographiques et professionnels divers.</w:t>
      </w:r>
    </w:p>
    <w:p w:rsidR="00D41BD8" w:rsidRDefault="00D41BD8" w:rsidP="00D41BD8">
      <w:pPr>
        <w:spacing w:before="0" w:beforeAutospacing="0" w:after="60" w:afterAutospacing="0" w:line="276" w:lineRule="auto"/>
        <w:ind w:firstLine="284"/>
        <w:jc w:val="both"/>
        <w:rPr>
          <w:rFonts w:ascii="Times New Roman" w:hAnsi="Times New Roman" w:cs="Times New Roman"/>
          <w:sz w:val="24"/>
          <w:szCs w:val="24"/>
        </w:rPr>
      </w:pPr>
      <w:r w:rsidRPr="00D41BD8">
        <w:rPr>
          <w:rFonts w:ascii="Times New Roman" w:hAnsi="Times New Roman" w:cs="Times New Roman"/>
          <w:sz w:val="24"/>
          <w:szCs w:val="24"/>
        </w:rPr>
        <w:t>Le SAC rencontre normalement l’IASB au moins trois fois par an et ses réunions sont ouvertes au public. L’IASB est exigé pour consulter le SAC avant des décisions sur des projets principaux et les administrateurs de l’IASCF doivent consulter le SAC avant d’envisager tous changements à la constitution. La constitution décrit les objectifs du SAC comme : donner des avis à l’IASB sur des décisions et des priorités d’ordre du jour dans le travail de l’IASB ; informer l’IASB des vues des organismes et des individus sur le Conseil sur des projets de référence principaux ; et donner d’autres conseils à l’IASB ou aux administrateurs.</w:t>
      </w:r>
    </w:p>
    <w:p w:rsidR="00D41BD8" w:rsidRDefault="00D41BD8" w:rsidP="00D41BD8">
      <w:pPr>
        <w:spacing w:before="0" w:beforeAutospacing="0" w:after="60" w:afterAutospacing="0" w:line="276" w:lineRule="auto"/>
        <w:ind w:firstLine="284"/>
        <w:jc w:val="both"/>
        <w:rPr>
          <w:rFonts w:ascii="Times New Roman" w:hAnsi="Times New Roman" w:cs="Times New Roman"/>
          <w:sz w:val="24"/>
          <w:szCs w:val="24"/>
        </w:rPr>
      </w:pPr>
    </w:p>
    <w:p w:rsidR="00D41BD8" w:rsidRDefault="00D41BD8" w:rsidP="00D41BD8">
      <w:pPr>
        <w:spacing w:before="0" w:beforeAutospacing="0" w:after="60" w:afterAutospacing="0" w:line="276" w:lineRule="auto"/>
        <w:ind w:firstLine="284"/>
        <w:jc w:val="both"/>
        <w:rPr>
          <w:rFonts w:ascii="Times New Roman" w:hAnsi="Times New Roman" w:cs="Times New Roman"/>
          <w:sz w:val="24"/>
          <w:szCs w:val="24"/>
        </w:rPr>
      </w:pPr>
    </w:p>
    <w:p w:rsidR="00D41BD8" w:rsidRDefault="00D41BD8" w:rsidP="00D41BD8">
      <w:pPr>
        <w:spacing w:before="0" w:beforeAutospacing="0" w:after="60" w:afterAutospacing="0" w:line="276" w:lineRule="auto"/>
        <w:ind w:firstLine="284"/>
        <w:jc w:val="both"/>
        <w:rPr>
          <w:rFonts w:ascii="Times New Roman" w:hAnsi="Times New Roman" w:cs="Times New Roman"/>
          <w:sz w:val="24"/>
          <w:szCs w:val="24"/>
        </w:rPr>
      </w:pPr>
    </w:p>
    <w:p w:rsidR="00D41BD8" w:rsidRDefault="00D41BD8" w:rsidP="00D41BD8">
      <w:pPr>
        <w:spacing w:before="0" w:beforeAutospacing="0" w:after="60" w:afterAutospacing="0" w:line="276" w:lineRule="auto"/>
        <w:ind w:firstLine="284"/>
        <w:jc w:val="both"/>
        <w:rPr>
          <w:rFonts w:ascii="Times New Roman" w:hAnsi="Times New Roman" w:cs="Times New Roman"/>
          <w:sz w:val="24"/>
          <w:szCs w:val="24"/>
        </w:rPr>
      </w:pPr>
    </w:p>
    <w:p w:rsidR="00D41BD8" w:rsidRDefault="00D41BD8" w:rsidP="00D41BD8">
      <w:pPr>
        <w:spacing w:before="0" w:beforeAutospacing="0" w:after="60" w:afterAutospacing="0" w:line="276" w:lineRule="auto"/>
        <w:ind w:firstLine="284"/>
        <w:jc w:val="both"/>
        <w:rPr>
          <w:rFonts w:ascii="Times New Roman" w:hAnsi="Times New Roman" w:cs="Times New Roman"/>
          <w:sz w:val="24"/>
          <w:szCs w:val="24"/>
        </w:rPr>
      </w:pPr>
    </w:p>
    <w:p w:rsidR="00D41BD8" w:rsidRDefault="00D41BD8" w:rsidP="00D41BD8">
      <w:pPr>
        <w:spacing w:before="0" w:beforeAutospacing="0" w:after="60" w:afterAutospacing="0" w:line="276" w:lineRule="auto"/>
        <w:ind w:firstLine="284"/>
        <w:jc w:val="both"/>
        <w:rPr>
          <w:rFonts w:ascii="Times New Roman" w:hAnsi="Times New Roman" w:cs="Times New Roman"/>
          <w:sz w:val="24"/>
          <w:szCs w:val="24"/>
        </w:rPr>
      </w:pPr>
    </w:p>
    <w:p w:rsidR="00D41BD8" w:rsidRDefault="00D41BD8" w:rsidP="00D41BD8">
      <w:pPr>
        <w:spacing w:before="0" w:beforeAutospacing="0" w:after="60" w:afterAutospacing="0" w:line="276" w:lineRule="auto"/>
        <w:ind w:firstLine="284"/>
        <w:jc w:val="both"/>
        <w:rPr>
          <w:rFonts w:ascii="Times New Roman" w:hAnsi="Times New Roman" w:cs="Times New Roman"/>
          <w:sz w:val="24"/>
          <w:szCs w:val="24"/>
        </w:rPr>
      </w:pPr>
    </w:p>
    <w:p w:rsidR="00D41BD8" w:rsidRDefault="00D41BD8" w:rsidP="00D41BD8">
      <w:pPr>
        <w:spacing w:before="0" w:beforeAutospacing="0" w:after="60" w:afterAutospacing="0" w:line="276" w:lineRule="auto"/>
        <w:ind w:firstLine="284"/>
        <w:jc w:val="both"/>
        <w:rPr>
          <w:rFonts w:ascii="Times New Roman" w:hAnsi="Times New Roman" w:cs="Times New Roman"/>
          <w:sz w:val="24"/>
          <w:szCs w:val="24"/>
        </w:rPr>
      </w:pPr>
    </w:p>
    <w:p w:rsidR="00D41BD8" w:rsidRDefault="00D41BD8" w:rsidP="00D41BD8">
      <w:pPr>
        <w:spacing w:before="0" w:beforeAutospacing="0" w:after="60" w:afterAutospacing="0" w:line="276" w:lineRule="auto"/>
        <w:ind w:firstLine="284"/>
        <w:jc w:val="both"/>
        <w:rPr>
          <w:rFonts w:ascii="Times New Roman" w:hAnsi="Times New Roman" w:cs="Times New Roman"/>
          <w:sz w:val="24"/>
          <w:szCs w:val="24"/>
        </w:rPr>
      </w:pPr>
    </w:p>
    <w:p w:rsidR="00D41BD8" w:rsidRDefault="00D41BD8" w:rsidP="00D41BD8">
      <w:pPr>
        <w:spacing w:before="0" w:beforeAutospacing="0" w:after="60" w:afterAutospacing="0" w:line="276" w:lineRule="auto"/>
        <w:ind w:firstLine="284"/>
        <w:jc w:val="both"/>
        <w:rPr>
          <w:rFonts w:ascii="Times New Roman" w:hAnsi="Times New Roman" w:cs="Times New Roman"/>
          <w:sz w:val="24"/>
          <w:szCs w:val="24"/>
        </w:rPr>
      </w:pPr>
    </w:p>
    <w:p w:rsidR="00D41BD8" w:rsidRDefault="00D41BD8" w:rsidP="00D41BD8">
      <w:pPr>
        <w:spacing w:before="0" w:beforeAutospacing="0" w:after="60" w:afterAutospacing="0" w:line="276" w:lineRule="auto"/>
        <w:ind w:firstLine="284"/>
        <w:jc w:val="both"/>
        <w:rPr>
          <w:rFonts w:ascii="Times New Roman" w:hAnsi="Times New Roman" w:cs="Times New Roman"/>
          <w:sz w:val="24"/>
          <w:szCs w:val="24"/>
        </w:rPr>
      </w:pPr>
    </w:p>
    <w:p w:rsidR="00D41BD8" w:rsidRDefault="00D41BD8" w:rsidP="00D41BD8">
      <w:pPr>
        <w:spacing w:before="0" w:beforeAutospacing="0" w:after="60" w:afterAutospacing="0" w:line="276" w:lineRule="auto"/>
        <w:ind w:firstLine="284"/>
        <w:jc w:val="both"/>
        <w:rPr>
          <w:rFonts w:ascii="Times New Roman" w:hAnsi="Times New Roman" w:cs="Times New Roman"/>
          <w:sz w:val="24"/>
          <w:szCs w:val="24"/>
        </w:rPr>
      </w:pPr>
    </w:p>
    <w:p w:rsidR="00D41BD8" w:rsidRDefault="00D41BD8" w:rsidP="00D41BD8">
      <w:pPr>
        <w:spacing w:before="0" w:beforeAutospacing="0" w:after="60" w:afterAutospacing="0" w:line="276" w:lineRule="auto"/>
        <w:ind w:firstLine="284"/>
        <w:jc w:val="both"/>
        <w:rPr>
          <w:rFonts w:ascii="Times New Roman" w:hAnsi="Times New Roman" w:cs="Times New Roman"/>
          <w:sz w:val="24"/>
          <w:szCs w:val="24"/>
        </w:rPr>
      </w:pPr>
    </w:p>
    <w:p w:rsidR="00D41BD8" w:rsidRDefault="00D41BD8" w:rsidP="00D41BD8">
      <w:pPr>
        <w:spacing w:before="0" w:beforeAutospacing="0" w:after="60" w:afterAutospacing="0" w:line="276" w:lineRule="auto"/>
        <w:ind w:firstLine="284"/>
        <w:jc w:val="both"/>
        <w:rPr>
          <w:rFonts w:ascii="Times New Roman" w:hAnsi="Times New Roman" w:cs="Times New Roman"/>
          <w:sz w:val="24"/>
          <w:szCs w:val="24"/>
        </w:rPr>
      </w:pPr>
    </w:p>
    <w:p w:rsidR="00D41BD8" w:rsidRDefault="00D41BD8" w:rsidP="00D41BD8">
      <w:pPr>
        <w:spacing w:before="0" w:beforeAutospacing="0" w:after="60" w:afterAutospacing="0" w:line="276" w:lineRule="auto"/>
        <w:ind w:firstLine="284"/>
        <w:jc w:val="both"/>
        <w:rPr>
          <w:rFonts w:ascii="Times New Roman" w:hAnsi="Times New Roman" w:cs="Times New Roman"/>
          <w:sz w:val="24"/>
          <w:szCs w:val="24"/>
        </w:rPr>
      </w:pPr>
    </w:p>
    <w:p w:rsidR="00D41BD8" w:rsidRDefault="00D41BD8" w:rsidP="00D41BD8">
      <w:pPr>
        <w:spacing w:before="0" w:beforeAutospacing="0" w:after="60" w:afterAutospacing="0" w:line="276" w:lineRule="auto"/>
        <w:ind w:firstLine="284"/>
        <w:jc w:val="both"/>
        <w:rPr>
          <w:rFonts w:ascii="Times New Roman" w:hAnsi="Times New Roman" w:cs="Times New Roman"/>
          <w:sz w:val="24"/>
          <w:szCs w:val="24"/>
        </w:rPr>
      </w:pPr>
    </w:p>
    <w:p w:rsidR="00D41BD8" w:rsidRDefault="00D41BD8" w:rsidP="00D41BD8">
      <w:pPr>
        <w:spacing w:before="0" w:beforeAutospacing="0" w:after="60" w:afterAutospacing="0" w:line="276" w:lineRule="auto"/>
        <w:ind w:firstLine="284"/>
        <w:jc w:val="both"/>
        <w:rPr>
          <w:rFonts w:ascii="Times New Roman" w:hAnsi="Times New Roman" w:cs="Times New Roman"/>
          <w:sz w:val="24"/>
          <w:szCs w:val="24"/>
        </w:rPr>
      </w:pPr>
    </w:p>
    <w:p w:rsidR="00D41BD8" w:rsidRDefault="00D41BD8" w:rsidP="00D41BD8">
      <w:pPr>
        <w:spacing w:before="0" w:beforeAutospacing="0" w:after="60" w:afterAutospacing="0" w:line="276" w:lineRule="auto"/>
        <w:ind w:firstLine="284"/>
        <w:jc w:val="both"/>
        <w:rPr>
          <w:rFonts w:ascii="Times New Roman" w:hAnsi="Times New Roman" w:cs="Times New Roman"/>
          <w:sz w:val="24"/>
          <w:szCs w:val="24"/>
        </w:rPr>
      </w:pPr>
    </w:p>
    <w:p w:rsidR="00D41BD8" w:rsidRDefault="00D41BD8" w:rsidP="00D41BD8">
      <w:pPr>
        <w:spacing w:before="0" w:beforeAutospacing="0" w:after="60" w:afterAutospacing="0" w:line="276" w:lineRule="auto"/>
        <w:ind w:firstLine="284"/>
        <w:jc w:val="both"/>
        <w:rPr>
          <w:rFonts w:ascii="Times New Roman" w:hAnsi="Times New Roman" w:cs="Times New Roman"/>
          <w:sz w:val="24"/>
          <w:szCs w:val="24"/>
        </w:rPr>
      </w:pPr>
    </w:p>
    <w:p w:rsidR="00D41BD8" w:rsidRPr="00D41BD8" w:rsidRDefault="00D41BD8" w:rsidP="00D41BD8">
      <w:pPr>
        <w:spacing w:before="0" w:beforeAutospacing="0" w:after="60" w:afterAutospacing="0" w:line="276" w:lineRule="auto"/>
        <w:ind w:firstLine="284"/>
        <w:jc w:val="both"/>
        <w:rPr>
          <w:rFonts w:ascii="Times New Roman" w:hAnsi="Times New Roman" w:cs="Times New Roman"/>
          <w:sz w:val="24"/>
          <w:szCs w:val="24"/>
        </w:rPr>
      </w:pPr>
    </w:p>
    <w:p w:rsidR="00D41BD8" w:rsidRPr="00D41BD8" w:rsidRDefault="00D41BD8" w:rsidP="002A3F16">
      <w:pPr>
        <w:numPr>
          <w:ilvl w:val="0"/>
          <w:numId w:val="6"/>
        </w:numPr>
        <w:spacing w:before="0" w:beforeAutospacing="0" w:after="60" w:afterAutospacing="0" w:line="276" w:lineRule="auto"/>
        <w:contextualSpacing/>
        <w:jc w:val="left"/>
        <w:rPr>
          <w:rFonts w:ascii="Times New Roman" w:hAnsi="Times New Roman" w:cs="Times New Roman"/>
          <w:b/>
          <w:sz w:val="24"/>
        </w:rPr>
      </w:pPr>
      <w:r w:rsidRPr="00D41BD8">
        <w:rPr>
          <w:rFonts w:ascii="Times New Roman" w:hAnsi="Times New Roman" w:cs="Times New Roman"/>
          <w:b/>
          <w:sz w:val="24"/>
        </w:rPr>
        <w:lastRenderedPageBreak/>
        <w:t>Fonctionnement de l’IASB</w:t>
      </w:r>
    </w:p>
    <w:p w:rsidR="00D41BD8" w:rsidRPr="00D41BD8" w:rsidRDefault="00D41BD8" w:rsidP="00D41BD8">
      <w:pPr>
        <w:spacing w:before="0" w:beforeAutospacing="0" w:after="60" w:afterAutospacing="0" w:line="276" w:lineRule="auto"/>
        <w:ind w:firstLine="284"/>
        <w:jc w:val="both"/>
        <w:rPr>
          <w:rFonts w:ascii="Times New Roman" w:hAnsi="Times New Roman" w:cs="Times New Roman"/>
          <w:sz w:val="24"/>
          <w:szCs w:val="24"/>
        </w:rPr>
      </w:pPr>
      <w:r w:rsidRPr="00D41BD8">
        <w:rPr>
          <w:rFonts w:ascii="Times New Roman" w:hAnsi="Times New Roman" w:cs="Times New Roman"/>
          <w:sz w:val="24"/>
          <w:szCs w:val="24"/>
        </w:rPr>
        <w:t>La démarche adoptée est du type consensuel, l'IASC recueillant aussi bien l'avis des professionnels comptables que ceux des utilisateurs d'états financiers.</w:t>
      </w:r>
    </w:p>
    <w:p w:rsidR="00D41BD8" w:rsidRPr="00D41BD8" w:rsidRDefault="00D41BD8" w:rsidP="00D41BD8">
      <w:pPr>
        <w:spacing w:before="0" w:beforeAutospacing="0" w:after="60" w:afterAutospacing="0" w:line="276" w:lineRule="auto"/>
        <w:jc w:val="both"/>
        <w:rPr>
          <w:rFonts w:ascii="Times New Roman" w:hAnsi="Times New Roman" w:cs="Times New Roman"/>
          <w:sz w:val="24"/>
          <w:szCs w:val="24"/>
        </w:rPr>
      </w:pPr>
      <w:r w:rsidRPr="00D41BD8">
        <w:rPr>
          <w:rFonts w:ascii="Times New Roman" w:hAnsi="Times New Roman" w:cs="Times New Roman"/>
          <w:sz w:val="24"/>
          <w:szCs w:val="24"/>
        </w:rPr>
        <w:t>Le fonctionnement de la structure peut être présenté dans le schéma simplifié suivant :</w:t>
      </w:r>
    </w:p>
    <w:p w:rsidR="00D41BD8" w:rsidRPr="00D41BD8" w:rsidRDefault="00D41BD8" w:rsidP="00D41BD8">
      <w:pPr>
        <w:jc w:val="left"/>
        <w:rPr>
          <w:rFonts w:ascii="Times New Roman" w:eastAsia="Times New Roman" w:hAnsi="Times New Roman" w:cs="Times New Roman"/>
          <w:b/>
          <w:sz w:val="24"/>
          <w:szCs w:val="15"/>
          <w:lang w:eastAsia="fr-FR"/>
        </w:rPr>
      </w:pPr>
      <w:r w:rsidRPr="00D41BD8">
        <w:rPr>
          <w:rFonts w:ascii="Times New Roman" w:eastAsia="Times New Roman" w:hAnsi="Times New Roman" w:cs="Times New Roman"/>
          <w:b/>
          <w:sz w:val="24"/>
          <w:szCs w:val="15"/>
          <w:lang w:eastAsia="fr-FR"/>
        </w:rPr>
        <w:t xml:space="preserve">Schéma (3) : </w:t>
      </w:r>
      <w:r w:rsidRPr="00D41BD8">
        <w:rPr>
          <w:rFonts w:ascii="Times New Roman" w:eastAsia="Times New Roman" w:hAnsi="Times New Roman" w:cs="Times New Roman"/>
          <w:sz w:val="24"/>
          <w:szCs w:val="15"/>
          <w:lang w:eastAsia="fr-FR"/>
        </w:rPr>
        <w:t>Structure de l'IASB</w:t>
      </w:r>
    </w:p>
    <w:p w:rsidR="00D41BD8" w:rsidRPr="00D41BD8" w:rsidRDefault="00D41BD8" w:rsidP="00D41BD8">
      <w:pPr>
        <w:jc w:val="both"/>
        <w:rPr>
          <w:rFonts w:ascii="Arial" w:hAnsi="Arial" w:cs="Arial"/>
          <w:sz w:val="15"/>
          <w:szCs w:val="15"/>
        </w:rPr>
      </w:pPr>
      <w:r w:rsidRPr="00D41BD8">
        <w:rPr>
          <w:rFonts w:ascii="Arial" w:hAnsi="Arial" w:cs="Arial"/>
          <w:noProof/>
          <w:sz w:val="15"/>
          <w:szCs w:val="15"/>
          <w:lang w:eastAsia="fr-FR"/>
        </w:rPr>
        <w:pict>
          <v:group id="_x0000_s1506" style="position:absolute;left:0;text-align:left;margin-left:-9.15pt;margin-top:12.95pt;width:483pt;height:405.6pt;z-index:251665408" coordorigin="1802,4237" coordsize="9660,8112">
            <v:rect id="_x0000_s1507" style="position:absolute;left:1945;top:10161;width:2695;height:1639">
              <v:textbox>
                <w:txbxContent>
                  <w:p w:rsidR="0039067A" w:rsidRPr="003C2FF1" w:rsidRDefault="0039067A" w:rsidP="00D41BD8">
                    <w:pPr>
                      <w:autoSpaceDE w:val="0"/>
                      <w:autoSpaceDN w:val="0"/>
                      <w:adjustRightInd w:val="0"/>
                      <w:spacing w:after="0"/>
                      <w:rPr>
                        <w:rFonts w:ascii="Times New Roman" w:hAnsi="Times New Roman" w:cs="Times New Roman"/>
                        <w:b/>
                        <w:bCs/>
                        <w:lang w:val="en-US"/>
                      </w:rPr>
                    </w:pPr>
                    <w:r w:rsidRPr="003C2FF1">
                      <w:rPr>
                        <w:rFonts w:ascii="Times New Roman" w:hAnsi="Times New Roman" w:cs="Times New Roman"/>
                        <w:b/>
                        <w:bCs/>
                        <w:lang w:val="en-US"/>
                      </w:rPr>
                      <w:t>Key</w:t>
                    </w:r>
                  </w:p>
                  <w:p w:rsidR="0039067A" w:rsidRPr="003C2FF1" w:rsidRDefault="0039067A" w:rsidP="00D41BD8">
                    <w:pPr>
                      <w:autoSpaceDE w:val="0"/>
                      <w:autoSpaceDN w:val="0"/>
                      <w:adjustRightInd w:val="0"/>
                      <w:spacing w:after="0"/>
                      <w:rPr>
                        <w:rFonts w:ascii="Times New Roman" w:hAnsi="Times New Roman" w:cs="Times New Roman"/>
                        <w:lang w:val="en-US"/>
                      </w:rPr>
                    </w:pPr>
                    <w:r w:rsidRPr="003C2FF1">
                      <w:rPr>
                        <w:rFonts w:ascii="Times New Roman" w:hAnsi="Times New Roman" w:cs="Times New Roman"/>
                        <w:lang w:val="en-US"/>
                      </w:rPr>
                      <w:t>Appoints</w:t>
                    </w:r>
                  </w:p>
                  <w:p w:rsidR="0039067A" w:rsidRPr="003C2FF1" w:rsidRDefault="0039067A" w:rsidP="00D41BD8">
                    <w:pPr>
                      <w:autoSpaceDE w:val="0"/>
                      <w:autoSpaceDN w:val="0"/>
                      <w:adjustRightInd w:val="0"/>
                      <w:spacing w:after="0"/>
                      <w:rPr>
                        <w:rFonts w:ascii="Times New Roman" w:hAnsi="Times New Roman" w:cs="Times New Roman"/>
                        <w:lang w:val="en-US"/>
                      </w:rPr>
                    </w:pPr>
                    <w:r w:rsidRPr="003C2FF1">
                      <w:rPr>
                        <w:rFonts w:ascii="Times New Roman" w:hAnsi="Times New Roman" w:cs="Times New Roman"/>
                        <w:lang w:val="en-US"/>
                      </w:rPr>
                      <w:t>Reports to</w:t>
                    </w:r>
                  </w:p>
                  <w:p w:rsidR="0039067A" w:rsidRPr="003C2FF1" w:rsidRDefault="0039067A" w:rsidP="00D41BD8">
                    <w:pPr>
                      <w:autoSpaceDE w:val="0"/>
                      <w:autoSpaceDN w:val="0"/>
                      <w:adjustRightInd w:val="0"/>
                      <w:spacing w:after="0"/>
                      <w:rPr>
                        <w:rFonts w:ascii="Times New Roman" w:hAnsi="Times New Roman" w:cs="Times New Roman"/>
                        <w:lang w:val="en-US"/>
                      </w:rPr>
                    </w:pPr>
                    <w:r w:rsidRPr="003C2FF1">
                      <w:rPr>
                        <w:rFonts w:ascii="Times New Roman" w:hAnsi="Times New Roman" w:cs="Times New Roman"/>
                        <w:lang w:val="en-US"/>
                      </w:rPr>
                      <w:t>Membership links</w:t>
                    </w:r>
                  </w:p>
                  <w:p w:rsidR="0039067A" w:rsidRPr="00A76A81" w:rsidRDefault="0039067A" w:rsidP="00D41BD8">
                    <w:pPr>
                      <w:rPr>
                        <w:rFonts w:ascii="Times New Roman" w:hAnsi="Times New Roman" w:cs="Times New Roman"/>
                      </w:rPr>
                    </w:pPr>
                    <w:proofErr w:type="spellStart"/>
                    <w:r w:rsidRPr="00A76A81">
                      <w:rPr>
                        <w:rFonts w:ascii="Times New Roman" w:hAnsi="Times New Roman" w:cs="Times New Roman"/>
                      </w:rPr>
                      <w:t>Advises</w:t>
                    </w:r>
                    <w:proofErr w:type="spellEnd"/>
                  </w:p>
                </w:txbxContent>
              </v:textbox>
            </v:rect>
            <v:rect id="_x0000_s1508" style="position:absolute;left:1802;top:6963;width:1921;height:1605;v-text-anchor:middle">
              <v:textbox>
                <w:txbxContent>
                  <w:p w:rsidR="0039067A" w:rsidRPr="003C2FF1" w:rsidRDefault="0039067A" w:rsidP="00D41BD8">
                    <w:pPr>
                      <w:autoSpaceDE w:val="0"/>
                      <w:autoSpaceDN w:val="0"/>
                      <w:adjustRightInd w:val="0"/>
                      <w:spacing w:before="60" w:after="60"/>
                      <w:rPr>
                        <w:rFonts w:ascii="Times New Roman" w:hAnsi="Times New Roman" w:cs="Times New Roman"/>
                        <w:szCs w:val="13"/>
                        <w:lang w:val="en-US"/>
                      </w:rPr>
                    </w:pPr>
                    <w:r w:rsidRPr="003C2FF1">
                      <w:rPr>
                        <w:rFonts w:ascii="Times New Roman" w:hAnsi="Times New Roman" w:cs="Times New Roman"/>
                        <w:szCs w:val="13"/>
                        <w:lang w:val="en-US"/>
                      </w:rPr>
                      <w:t>National standard setters and other interested parties</w:t>
                    </w:r>
                  </w:p>
                </w:txbxContent>
              </v:textbox>
            </v:rect>
            <v:rect id="_x0000_s1509" style="position:absolute;left:4095;top:7950;width:2150;height:726">
              <v:textbox style="mso-next-textbox:#_x0000_s1509">
                <w:txbxContent>
                  <w:p w:rsidR="0039067A" w:rsidRPr="00A76A81" w:rsidRDefault="0039067A" w:rsidP="00D41BD8">
                    <w:pPr>
                      <w:autoSpaceDE w:val="0"/>
                      <w:autoSpaceDN w:val="0"/>
                      <w:adjustRightInd w:val="0"/>
                      <w:spacing w:before="60" w:after="60"/>
                      <w:rPr>
                        <w:rFonts w:ascii="Times New Roman" w:hAnsi="Times New Roman" w:cs="Times New Roman"/>
                        <w:szCs w:val="13"/>
                      </w:rPr>
                    </w:pPr>
                    <w:proofErr w:type="spellStart"/>
                    <w:r w:rsidRPr="00A76A81">
                      <w:rPr>
                        <w:rFonts w:ascii="Times New Roman" w:hAnsi="Times New Roman" w:cs="Times New Roman"/>
                        <w:szCs w:val="13"/>
                      </w:rPr>
                      <w:t>Advisory</w:t>
                    </w:r>
                    <w:proofErr w:type="spellEnd"/>
                    <w:r w:rsidRPr="00A76A81">
                      <w:rPr>
                        <w:rFonts w:ascii="Times New Roman" w:hAnsi="Times New Roman" w:cs="Times New Roman"/>
                        <w:szCs w:val="13"/>
                      </w:rPr>
                      <w:t xml:space="preserve"> </w:t>
                    </w:r>
                    <w:proofErr w:type="spellStart"/>
                    <w:r w:rsidRPr="00A76A81">
                      <w:rPr>
                        <w:rFonts w:ascii="Times New Roman" w:hAnsi="Times New Roman" w:cs="Times New Roman"/>
                        <w:szCs w:val="13"/>
                      </w:rPr>
                      <w:t>Committees</w:t>
                    </w:r>
                    <w:proofErr w:type="spellEnd"/>
                  </w:p>
                </w:txbxContent>
              </v:textbox>
            </v:rect>
            <v:rect id="_x0000_s1510" style="position:absolute;left:4095;top:7102;width:2150;height:665;v-text-anchor:middle">
              <v:textbox inset=".5mm,.3mm,.5mm,.3mm">
                <w:txbxContent>
                  <w:p w:rsidR="0039067A" w:rsidRPr="00A76A81" w:rsidRDefault="0039067A" w:rsidP="00D41BD8">
                    <w:pPr>
                      <w:autoSpaceDE w:val="0"/>
                      <w:autoSpaceDN w:val="0"/>
                      <w:adjustRightInd w:val="0"/>
                      <w:spacing w:before="60" w:after="60"/>
                      <w:rPr>
                        <w:rFonts w:ascii="Times New Roman" w:hAnsi="Times New Roman" w:cs="Times New Roman"/>
                        <w:b/>
                        <w:sz w:val="20"/>
                        <w:szCs w:val="13"/>
                      </w:rPr>
                    </w:pPr>
                    <w:r w:rsidRPr="00A76A81">
                      <w:rPr>
                        <w:rFonts w:ascii="Times New Roman" w:hAnsi="Times New Roman" w:cs="Times New Roman"/>
                        <w:b/>
                        <w:sz w:val="20"/>
                        <w:szCs w:val="13"/>
                      </w:rPr>
                      <w:t xml:space="preserve">Standards </w:t>
                    </w:r>
                    <w:proofErr w:type="spellStart"/>
                    <w:r w:rsidRPr="00A76A81">
                      <w:rPr>
                        <w:rFonts w:ascii="Times New Roman" w:hAnsi="Times New Roman" w:cs="Times New Roman"/>
                        <w:b/>
                        <w:sz w:val="20"/>
                        <w:szCs w:val="13"/>
                      </w:rPr>
                      <w:t>Advisory</w:t>
                    </w:r>
                    <w:proofErr w:type="spellEnd"/>
                  </w:p>
                  <w:p w:rsidR="0039067A" w:rsidRPr="00A76A81" w:rsidRDefault="0039067A" w:rsidP="00D41BD8">
                    <w:pPr>
                      <w:autoSpaceDE w:val="0"/>
                      <w:autoSpaceDN w:val="0"/>
                      <w:adjustRightInd w:val="0"/>
                      <w:spacing w:before="60" w:after="60"/>
                      <w:rPr>
                        <w:rFonts w:ascii="Times New Roman" w:hAnsi="Times New Roman" w:cs="Times New Roman"/>
                        <w:b/>
                        <w:sz w:val="20"/>
                        <w:szCs w:val="13"/>
                      </w:rPr>
                    </w:pPr>
                    <w:r w:rsidRPr="00A76A81">
                      <w:rPr>
                        <w:rFonts w:ascii="Times New Roman" w:hAnsi="Times New Roman" w:cs="Times New Roman"/>
                        <w:b/>
                        <w:sz w:val="20"/>
                        <w:szCs w:val="13"/>
                      </w:rPr>
                      <w:t>Council</w:t>
                    </w:r>
                  </w:p>
                </w:txbxContent>
              </v:textbox>
            </v:rect>
            <v:rect id="_x0000_s1511" style="position:absolute;left:8610;top:11117;width:2150;height:974;v-text-anchor:middle">
              <v:textbox inset=".5mm,.3mm,.5mm,.3mm">
                <w:txbxContent>
                  <w:p w:rsidR="0039067A" w:rsidRPr="003C2FF1" w:rsidRDefault="0039067A" w:rsidP="00D41BD8">
                    <w:pPr>
                      <w:autoSpaceDE w:val="0"/>
                      <w:autoSpaceDN w:val="0"/>
                      <w:adjustRightInd w:val="0"/>
                      <w:spacing w:before="60" w:after="60"/>
                      <w:rPr>
                        <w:rFonts w:ascii="Times New Roman" w:hAnsi="Times New Roman" w:cs="Times New Roman"/>
                        <w:b/>
                        <w:sz w:val="20"/>
                        <w:szCs w:val="13"/>
                        <w:lang w:val="en-US"/>
                      </w:rPr>
                    </w:pPr>
                    <w:r w:rsidRPr="003C2FF1">
                      <w:rPr>
                        <w:rFonts w:ascii="Times New Roman" w:hAnsi="Times New Roman" w:cs="Times New Roman"/>
                        <w:b/>
                        <w:sz w:val="20"/>
                        <w:szCs w:val="13"/>
                        <w:lang w:val="en-US"/>
                      </w:rPr>
                      <w:t>Director of Technical</w:t>
                    </w:r>
                  </w:p>
                  <w:p w:rsidR="0039067A" w:rsidRPr="003C2FF1" w:rsidRDefault="0039067A" w:rsidP="00D41BD8">
                    <w:pPr>
                      <w:autoSpaceDE w:val="0"/>
                      <w:autoSpaceDN w:val="0"/>
                      <w:adjustRightInd w:val="0"/>
                      <w:spacing w:before="60" w:after="60"/>
                      <w:rPr>
                        <w:rFonts w:ascii="Times New Roman" w:hAnsi="Times New Roman" w:cs="Times New Roman"/>
                        <w:sz w:val="20"/>
                        <w:szCs w:val="13"/>
                        <w:lang w:val="en-US"/>
                      </w:rPr>
                    </w:pPr>
                    <w:r w:rsidRPr="003C2FF1">
                      <w:rPr>
                        <w:rFonts w:ascii="Times New Roman" w:hAnsi="Times New Roman" w:cs="Times New Roman"/>
                        <w:b/>
                        <w:sz w:val="20"/>
                        <w:szCs w:val="13"/>
                        <w:lang w:val="en-US"/>
                      </w:rPr>
                      <w:t>Activities</w:t>
                    </w:r>
                  </w:p>
                  <w:p w:rsidR="0039067A" w:rsidRPr="003C2FF1" w:rsidRDefault="0039067A" w:rsidP="00D41BD8">
                    <w:pPr>
                      <w:autoSpaceDE w:val="0"/>
                      <w:autoSpaceDN w:val="0"/>
                      <w:adjustRightInd w:val="0"/>
                      <w:spacing w:before="60" w:after="60"/>
                      <w:rPr>
                        <w:rFonts w:ascii="Times New Roman" w:hAnsi="Times New Roman" w:cs="Times New Roman"/>
                        <w:sz w:val="20"/>
                        <w:szCs w:val="13"/>
                        <w:lang w:val="en-US"/>
                      </w:rPr>
                    </w:pPr>
                    <w:proofErr w:type="gramStart"/>
                    <w:r w:rsidRPr="003C2FF1">
                      <w:rPr>
                        <w:rFonts w:ascii="Times New Roman" w:hAnsi="Times New Roman" w:cs="Times New Roman"/>
                        <w:sz w:val="20"/>
                        <w:szCs w:val="13"/>
                        <w:lang w:val="en-US"/>
                      </w:rPr>
                      <w:t>and</w:t>
                    </w:r>
                    <w:proofErr w:type="gramEnd"/>
                    <w:r w:rsidRPr="003C2FF1">
                      <w:rPr>
                        <w:rFonts w:ascii="Times New Roman" w:hAnsi="Times New Roman" w:cs="Times New Roman"/>
                        <w:sz w:val="20"/>
                        <w:szCs w:val="13"/>
                        <w:lang w:val="en-US"/>
                      </w:rPr>
                      <w:t xml:space="preserve"> Technical Staff</w:t>
                    </w:r>
                  </w:p>
                </w:txbxContent>
              </v:textbox>
            </v:rect>
            <v:rect id="_x0000_s1512" style="position:absolute;left:6087;top:11197;width:2150;height:1152">
              <v:textbox>
                <w:txbxContent>
                  <w:p w:rsidR="0039067A" w:rsidRPr="003C2FF1" w:rsidRDefault="0039067A" w:rsidP="00D41BD8">
                    <w:pPr>
                      <w:autoSpaceDE w:val="0"/>
                      <w:autoSpaceDN w:val="0"/>
                      <w:adjustRightInd w:val="0"/>
                      <w:spacing w:before="60" w:after="60"/>
                      <w:rPr>
                        <w:rFonts w:ascii="Times New Roman" w:hAnsi="Times New Roman" w:cs="Times New Roman"/>
                        <w:b/>
                        <w:sz w:val="20"/>
                        <w:szCs w:val="13"/>
                        <w:lang w:val="en-US"/>
                      </w:rPr>
                    </w:pPr>
                    <w:r w:rsidRPr="003C2FF1">
                      <w:rPr>
                        <w:rFonts w:ascii="Times New Roman" w:hAnsi="Times New Roman" w:cs="Times New Roman"/>
                        <w:b/>
                        <w:sz w:val="20"/>
                        <w:szCs w:val="13"/>
                        <w:lang w:val="en-US"/>
                      </w:rPr>
                      <w:t>Director of Operations</w:t>
                    </w:r>
                  </w:p>
                  <w:p w:rsidR="0039067A" w:rsidRPr="003C2FF1" w:rsidRDefault="0039067A" w:rsidP="00D41BD8">
                    <w:pPr>
                      <w:autoSpaceDE w:val="0"/>
                      <w:autoSpaceDN w:val="0"/>
                      <w:adjustRightInd w:val="0"/>
                      <w:spacing w:before="60" w:after="60"/>
                      <w:rPr>
                        <w:rFonts w:ascii="Times New Roman" w:hAnsi="Times New Roman" w:cs="Times New Roman"/>
                        <w:sz w:val="20"/>
                        <w:szCs w:val="13"/>
                        <w:lang w:val="en-US"/>
                      </w:rPr>
                    </w:pPr>
                    <w:proofErr w:type="gramStart"/>
                    <w:r w:rsidRPr="003C2FF1">
                      <w:rPr>
                        <w:rFonts w:ascii="Times New Roman" w:hAnsi="Times New Roman" w:cs="Times New Roman"/>
                        <w:sz w:val="20"/>
                        <w:szCs w:val="13"/>
                        <w:lang w:val="en-US"/>
                      </w:rPr>
                      <w:t>and</w:t>
                    </w:r>
                    <w:proofErr w:type="gramEnd"/>
                    <w:r w:rsidRPr="003C2FF1">
                      <w:rPr>
                        <w:rFonts w:ascii="Times New Roman" w:hAnsi="Times New Roman" w:cs="Times New Roman"/>
                        <w:sz w:val="20"/>
                        <w:szCs w:val="13"/>
                        <w:lang w:val="en-US"/>
                      </w:rPr>
                      <w:t xml:space="preserve"> non-Technical Staff</w:t>
                    </w:r>
                  </w:p>
                </w:txbxContent>
              </v:textbox>
            </v:rect>
            <v:rect id="_x0000_s1513" style="position:absolute;left:9183;top:9202;width:2279;height:1258;v-text-anchor:middle">
              <v:textbox inset=".5mm,.3mm,.5mm,.3mm">
                <w:txbxContent>
                  <w:p w:rsidR="0039067A" w:rsidRPr="00A76A81" w:rsidRDefault="0039067A" w:rsidP="00D41BD8">
                    <w:pPr>
                      <w:autoSpaceDE w:val="0"/>
                      <w:autoSpaceDN w:val="0"/>
                      <w:adjustRightInd w:val="0"/>
                      <w:spacing w:before="60" w:after="60"/>
                      <w:rPr>
                        <w:rFonts w:ascii="Times New Roman" w:hAnsi="Times New Roman" w:cs="Times New Roman"/>
                        <w:b/>
                        <w:sz w:val="20"/>
                        <w:szCs w:val="13"/>
                      </w:rPr>
                    </w:pPr>
                    <w:r w:rsidRPr="00A76A81">
                      <w:rPr>
                        <w:rFonts w:ascii="Times New Roman" w:hAnsi="Times New Roman" w:cs="Times New Roman"/>
                        <w:b/>
                        <w:sz w:val="20"/>
                        <w:szCs w:val="13"/>
                      </w:rPr>
                      <w:t>International Financial</w:t>
                    </w:r>
                  </w:p>
                  <w:p w:rsidR="0039067A" w:rsidRPr="00A76A81" w:rsidRDefault="0039067A" w:rsidP="00D41BD8">
                    <w:pPr>
                      <w:autoSpaceDE w:val="0"/>
                      <w:autoSpaceDN w:val="0"/>
                      <w:adjustRightInd w:val="0"/>
                      <w:spacing w:before="60" w:after="60"/>
                      <w:rPr>
                        <w:rFonts w:ascii="Times New Roman" w:hAnsi="Times New Roman" w:cs="Times New Roman"/>
                        <w:b/>
                        <w:sz w:val="20"/>
                        <w:szCs w:val="13"/>
                      </w:rPr>
                    </w:pPr>
                    <w:proofErr w:type="spellStart"/>
                    <w:r w:rsidRPr="00A76A81">
                      <w:rPr>
                        <w:rFonts w:ascii="Times New Roman" w:hAnsi="Times New Roman" w:cs="Times New Roman"/>
                        <w:b/>
                        <w:sz w:val="20"/>
                        <w:szCs w:val="13"/>
                      </w:rPr>
                      <w:t>Reporting</w:t>
                    </w:r>
                    <w:proofErr w:type="spellEnd"/>
                    <w:r w:rsidRPr="00A76A81">
                      <w:rPr>
                        <w:rFonts w:ascii="Times New Roman" w:hAnsi="Times New Roman" w:cs="Times New Roman"/>
                        <w:b/>
                        <w:sz w:val="20"/>
                        <w:szCs w:val="13"/>
                      </w:rPr>
                      <w:t xml:space="preserve"> </w:t>
                    </w:r>
                    <w:proofErr w:type="spellStart"/>
                    <w:r w:rsidRPr="00A76A81">
                      <w:rPr>
                        <w:rFonts w:ascii="Times New Roman" w:hAnsi="Times New Roman" w:cs="Times New Roman"/>
                        <w:b/>
                        <w:sz w:val="20"/>
                        <w:szCs w:val="13"/>
                      </w:rPr>
                      <w:t>Interpretations</w:t>
                    </w:r>
                    <w:proofErr w:type="spellEnd"/>
                  </w:p>
                  <w:p w:rsidR="0039067A" w:rsidRPr="00A76A81" w:rsidRDefault="0039067A" w:rsidP="00D41BD8">
                    <w:pPr>
                      <w:autoSpaceDE w:val="0"/>
                      <w:autoSpaceDN w:val="0"/>
                      <w:adjustRightInd w:val="0"/>
                      <w:spacing w:before="60" w:after="60"/>
                      <w:rPr>
                        <w:rFonts w:ascii="Times New Roman" w:hAnsi="Times New Roman" w:cs="Times New Roman"/>
                        <w:b/>
                        <w:sz w:val="20"/>
                        <w:szCs w:val="13"/>
                      </w:rPr>
                    </w:pPr>
                    <w:proofErr w:type="spellStart"/>
                    <w:r w:rsidRPr="00A76A81">
                      <w:rPr>
                        <w:rFonts w:ascii="Times New Roman" w:hAnsi="Times New Roman" w:cs="Times New Roman"/>
                        <w:b/>
                        <w:sz w:val="20"/>
                        <w:szCs w:val="13"/>
                      </w:rPr>
                      <w:t>Committee</w:t>
                    </w:r>
                    <w:proofErr w:type="spellEnd"/>
                    <w:r w:rsidRPr="00A76A81">
                      <w:rPr>
                        <w:rFonts w:ascii="Times New Roman" w:hAnsi="Times New Roman" w:cs="Times New Roman"/>
                        <w:b/>
                        <w:sz w:val="20"/>
                        <w:szCs w:val="13"/>
                      </w:rPr>
                      <w:t xml:space="preserve"> (12)</w:t>
                    </w:r>
                  </w:p>
                </w:txbxContent>
              </v:textbox>
            </v:rect>
            <v:rect id="_x0000_s1514" style="position:absolute;left:7736;top:6697;width:2321;height:1979;v-text-anchor:middle">
              <v:textbox style="mso-next-textbox:#_x0000_s1514">
                <w:txbxContent>
                  <w:p w:rsidR="0039067A" w:rsidRPr="003C2FF1" w:rsidRDefault="0039067A" w:rsidP="00D41BD8">
                    <w:pPr>
                      <w:autoSpaceDE w:val="0"/>
                      <w:autoSpaceDN w:val="0"/>
                      <w:adjustRightInd w:val="0"/>
                      <w:spacing w:before="60" w:after="60"/>
                      <w:rPr>
                        <w:rFonts w:ascii="Times New Roman" w:hAnsi="Times New Roman" w:cs="Times New Roman"/>
                        <w:b/>
                        <w:szCs w:val="13"/>
                        <w:lang w:val="en-US"/>
                      </w:rPr>
                    </w:pPr>
                    <w:r w:rsidRPr="003C2FF1">
                      <w:rPr>
                        <w:rFonts w:ascii="Times New Roman" w:hAnsi="Times New Roman" w:cs="Times New Roman"/>
                        <w:b/>
                        <w:szCs w:val="13"/>
                        <w:lang w:val="en-US"/>
                      </w:rPr>
                      <w:t>International</w:t>
                    </w:r>
                  </w:p>
                  <w:p w:rsidR="0039067A" w:rsidRPr="003C2FF1" w:rsidRDefault="0039067A" w:rsidP="00D41BD8">
                    <w:pPr>
                      <w:autoSpaceDE w:val="0"/>
                      <w:autoSpaceDN w:val="0"/>
                      <w:adjustRightInd w:val="0"/>
                      <w:spacing w:before="60" w:after="60"/>
                      <w:rPr>
                        <w:rFonts w:ascii="Times New Roman" w:hAnsi="Times New Roman" w:cs="Times New Roman"/>
                        <w:b/>
                        <w:szCs w:val="13"/>
                        <w:lang w:val="en-US"/>
                      </w:rPr>
                    </w:pPr>
                    <w:r w:rsidRPr="003C2FF1">
                      <w:rPr>
                        <w:rFonts w:ascii="Times New Roman" w:hAnsi="Times New Roman" w:cs="Times New Roman"/>
                        <w:b/>
                        <w:szCs w:val="13"/>
                        <w:lang w:val="en-US"/>
                      </w:rPr>
                      <w:t>Accounting</w:t>
                    </w:r>
                  </w:p>
                  <w:p w:rsidR="0039067A" w:rsidRPr="003C2FF1" w:rsidRDefault="0039067A" w:rsidP="00D41BD8">
                    <w:pPr>
                      <w:autoSpaceDE w:val="0"/>
                      <w:autoSpaceDN w:val="0"/>
                      <w:adjustRightInd w:val="0"/>
                      <w:spacing w:before="60" w:after="60"/>
                      <w:rPr>
                        <w:rFonts w:ascii="Times New Roman" w:hAnsi="Times New Roman" w:cs="Times New Roman"/>
                        <w:b/>
                        <w:szCs w:val="13"/>
                        <w:lang w:val="en-US"/>
                      </w:rPr>
                    </w:pPr>
                    <w:r w:rsidRPr="003C2FF1">
                      <w:rPr>
                        <w:rFonts w:ascii="Times New Roman" w:hAnsi="Times New Roman" w:cs="Times New Roman"/>
                        <w:b/>
                        <w:szCs w:val="13"/>
                        <w:lang w:val="en-US"/>
                      </w:rPr>
                      <w:t>Standards Board</w:t>
                    </w:r>
                  </w:p>
                  <w:p w:rsidR="0039067A" w:rsidRPr="003C2FF1" w:rsidRDefault="0039067A" w:rsidP="00D41BD8">
                    <w:pPr>
                      <w:autoSpaceDE w:val="0"/>
                      <w:autoSpaceDN w:val="0"/>
                      <w:adjustRightInd w:val="0"/>
                      <w:spacing w:before="60" w:after="60"/>
                      <w:rPr>
                        <w:rFonts w:ascii="Times New Roman" w:hAnsi="Times New Roman" w:cs="Times New Roman"/>
                        <w:b/>
                        <w:szCs w:val="13"/>
                        <w:lang w:val="en-US"/>
                      </w:rPr>
                    </w:pPr>
                    <w:r w:rsidRPr="003C2FF1">
                      <w:rPr>
                        <w:rFonts w:ascii="Times New Roman" w:hAnsi="Times New Roman" w:cs="Times New Roman"/>
                        <w:b/>
                        <w:szCs w:val="13"/>
                        <w:lang w:val="en-US"/>
                      </w:rPr>
                      <w:t>(14 Board Members)</w:t>
                    </w:r>
                  </w:p>
                </w:txbxContent>
              </v:textbox>
            </v:rect>
            <v:rect id="_x0000_s1515" style="position:absolute;left:6962;top:4237;width:3382;height:1330;v-text-anchor:middle">
              <v:textbox inset=".5mm,.3mm,5mm,.3mm">
                <w:txbxContent>
                  <w:p w:rsidR="0039067A" w:rsidRPr="003C2FF1" w:rsidRDefault="0039067A" w:rsidP="00D41BD8">
                    <w:pPr>
                      <w:autoSpaceDE w:val="0"/>
                      <w:autoSpaceDN w:val="0"/>
                      <w:adjustRightInd w:val="0"/>
                      <w:spacing w:before="60" w:after="60"/>
                      <w:rPr>
                        <w:rFonts w:ascii="Times New Roman" w:hAnsi="Times New Roman" w:cs="Times New Roman"/>
                        <w:b/>
                        <w:szCs w:val="13"/>
                        <w:lang w:val="en-US"/>
                      </w:rPr>
                    </w:pPr>
                    <w:r w:rsidRPr="003C2FF1">
                      <w:rPr>
                        <w:rFonts w:ascii="Times New Roman" w:hAnsi="Times New Roman" w:cs="Times New Roman"/>
                        <w:b/>
                        <w:szCs w:val="13"/>
                        <w:lang w:val="en-US"/>
                      </w:rPr>
                      <w:t>International Accounting</w:t>
                    </w:r>
                  </w:p>
                  <w:p w:rsidR="0039067A" w:rsidRPr="003C2FF1" w:rsidRDefault="0039067A" w:rsidP="00D41BD8">
                    <w:pPr>
                      <w:autoSpaceDE w:val="0"/>
                      <w:autoSpaceDN w:val="0"/>
                      <w:adjustRightInd w:val="0"/>
                      <w:spacing w:before="60" w:after="60"/>
                      <w:rPr>
                        <w:rFonts w:ascii="Times New Roman" w:hAnsi="Times New Roman" w:cs="Times New Roman"/>
                        <w:b/>
                        <w:szCs w:val="13"/>
                        <w:lang w:val="en-US"/>
                      </w:rPr>
                    </w:pPr>
                    <w:r w:rsidRPr="003C2FF1">
                      <w:rPr>
                        <w:rFonts w:ascii="Times New Roman" w:hAnsi="Times New Roman" w:cs="Times New Roman"/>
                        <w:b/>
                        <w:szCs w:val="13"/>
                        <w:lang w:val="en-US"/>
                      </w:rPr>
                      <w:t>Standards Committee</w:t>
                    </w:r>
                  </w:p>
                  <w:p w:rsidR="0039067A" w:rsidRPr="003C2FF1" w:rsidRDefault="0039067A" w:rsidP="00D41BD8">
                    <w:pPr>
                      <w:autoSpaceDE w:val="0"/>
                      <w:autoSpaceDN w:val="0"/>
                      <w:adjustRightInd w:val="0"/>
                      <w:spacing w:before="60" w:after="60"/>
                      <w:rPr>
                        <w:rFonts w:ascii="Times New Roman" w:hAnsi="Times New Roman" w:cs="Times New Roman"/>
                        <w:b/>
                        <w:szCs w:val="13"/>
                        <w:lang w:val="en-US"/>
                      </w:rPr>
                    </w:pPr>
                    <w:r w:rsidRPr="003C2FF1">
                      <w:rPr>
                        <w:rFonts w:ascii="Times New Roman" w:hAnsi="Times New Roman" w:cs="Times New Roman"/>
                        <w:b/>
                        <w:szCs w:val="13"/>
                        <w:lang w:val="en-US"/>
                      </w:rPr>
                      <w:t>Foundation</w:t>
                    </w:r>
                  </w:p>
                  <w:p w:rsidR="0039067A" w:rsidRPr="003C2FF1" w:rsidRDefault="0039067A" w:rsidP="00D41BD8">
                    <w:pPr>
                      <w:autoSpaceDE w:val="0"/>
                      <w:autoSpaceDN w:val="0"/>
                      <w:adjustRightInd w:val="0"/>
                      <w:spacing w:before="60" w:after="60"/>
                      <w:rPr>
                        <w:rFonts w:ascii="Times New Roman" w:hAnsi="Times New Roman" w:cs="Times New Roman"/>
                        <w:b/>
                        <w:szCs w:val="13"/>
                        <w:lang w:val="en-US"/>
                      </w:rPr>
                    </w:pPr>
                    <w:r w:rsidRPr="003C2FF1">
                      <w:rPr>
                        <w:rFonts w:ascii="Times New Roman" w:hAnsi="Times New Roman" w:cs="Times New Roman"/>
                        <w:b/>
                        <w:szCs w:val="13"/>
                        <w:lang w:val="en-US"/>
                      </w:rPr>
                      <w:t>(19 Trustees)</w:t>
                    </w:r>
                  </w:p>
                </w:txbxContent>
              </v:textbox>
            </v:rect>
            <v:shape id="_x0000_s1516" type="#_x0000_t32" style="position:absolute;left:7392;top:5583;width:0;height:5614;flip:y" o:connectortype="straight">
              <v:stroke endarrow="block"/>
            </v:shape>
            <v:shape id="_x0000_s1517" type="#_x0000_t32" style="position:absolute;left:8882;top:8676;width:0;height:2413;flip:y" o:connectortype="straight">
              <v:stroke endarrow="block"/>
            </v:shape>
            <v:shape id="_x0000_s1518" type="#_x0000_t32" style="position:absolute;left:9513;top:5583;width:0;height:1129;flip:y" o:connectortype="straight">
              <v:stroke endarrow="block"/>
            </v:shape>
            <v:shape id="_x0000_s1519" type="#_x0000_t32" style="position:absolute;left:9513;top:8676;width:0;height:526;flip:y" o:connectortype="straight">
              <v:stroke endarrow="block"/>
            </v:shape>
            <v:shape id="_x0000_s1520" type="#_x0000_t32" style="position:absolute;left:9513;top:10269;width:0;height:820;flip:y" o:connectortype="straight">
              <v:stroke endarrow="block"/>
            </v:shape>
            <v:shape id="_x0000_s1521" type="#_x0000_t32" style="position:absolute;left:3723;top:8243;width:372;height:0" o:connectortype="straight">
              <v:stroke dashstyle="longDash"/>
            </v:shape>
            <v:shape id="_x0000_s1522" type="#_x0000_t32" style="position:absolute;left:3708;top:7346;width:373;height:0" o:connectortype="straight">
              <v:stroke dashstyle="longDash"/>
            </v:shape>
            <v:shape id="_x0000_s1523" type="#_x0000_t32" style="position:absolute;left:6245;top:8243;width:1491;height:0" o:connectortype="straight">
              <v:stroke endarrow="open" endarrowwidth="wide" endarrowlength="long"/>
            </v:shape>
            <v:shape id="_x0000_s1524" type="#_x0000_t32" style="position:absolute;left:6259;top:7346;width:1491;height:0" o:connectortype="straight">
              <v:stroke endarrow="open" endarrowwidth="wide" endarrowlength="long"/>
            </v:shape>
            <v:shape id="_x0000_s1525" type="#_x0000_t32" style="position:absolute;left:5356;top:5583;width:1606;height:1516;flip:y" o:connectortype="straight">
              <v:stroke endarrow="open" endarrowwidth="wide" endarrowlength="long"/>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526" type="#_x0000_t15" style="position:absolute;left:3981;top:5949;width:2230;height:54;rotation:90" strokeweight=".25pt"/>
            <v:rect id="_x0000_s1527" style="position:absolute;left:5123;top:4861;width:1839;height:59"/>
            <v:shape id="_x0000_s1528" type="#_x0000_t15" style="position:absolute;left:8410;top:7359;width:3619;height:68;rotation:90" strokeweight=".25pt"/>
            <v:shape id="_x0000_s1529" type="#_x0000_t15" style="position:absolute;left:3938;top:10591;width:630;height:59" strokeweight=".25pt"/>
            <v:shape id="_x0000_s1530" type="#_x0000_t32" style="position:absolute;left:3981;top:10919;width:558;height:0" o:connectortype="straight">
              <v:stroke endarrow="block"/>
            </v:shape>
            <v:shape id="_x0000_s1531" type="#_x0000_t15" style="position:absolute;left:8174;top:6116;width:1121;height:55;rotation:90" strokeweight=".25pt"/>
            <v:shape id="_x0000_s1532" type="#_x0000_t32" style="position:absolute;left:4038;top:11194;width:473;height:0" o:connectortype="straight">
              <v:stroke endarrow="open" endarrowwidth="wide" endarrowlength="long"/>
            </v:shape>
            <v:shape id="_x0000_s1533" type="#_x0000_t32" style="position:absolute;left:4067;top:11506;width:372;height:0" o:connectortype="straight">
              <v:stroke dashstyle="longDash"/>
            </v:shape>
          </v:group>
        </w:pict>
      </w:r>
    </w:p>
    <w:p w:rsidR="00D41BD8" w:rsidRPr="00D41BD8" w:rsidRDefault="00D41BD8" w:rsidP="00D41BD8">
      <w:pPr>
        <w:jc w:val="both"/>
        <w:rPr>
          <w:rFonts w:ascii="Arial" w:hAnsi="Arial" w:cs="Arial"/>
          <w:sz w:val="15"/>
          <w:szCs w:val="15"/>
        </w:rPr>
      </w:pPr>
    </w:p>
    <w:p w:rsidR="00D41BD8" w:rsidRPr="00D41BD8" w:rsidRDefault="00D41BD8" w:rsidP="00D41BD8">
      <w:pPr>
        <w:jc w:val="both"/>
        <w:rPr>
          <w:rFonts w:ascii="Arial" w:hAnsi="Arial" w:cs="Arial"/>
          <w:sz w:val="15"/>
          <w:szCs w:val="15"/>
        </w:rPr>
      </w:pPr>
    </w:p>
    <w:p w:rsidR="00D41BD8" w:rsidRPr="00D41BD8" w:rsidRDefault="00D41BD8" w:rsidP="00D41BD8">
      <w:pPr>
        <w:jc w:val="both"/>
        <w:rPr>
          <w:rFonts w:ascii="Arial" w:hAnsi="Arial" w:cs="Arial"/>
          <w:sz w:val="15"/>
          <w:szCs w:val="15"/>
        </w:rPr>
      </w:pPr>
    </w:p>
    <w:p w:rsidR="00D41BD8" w:rsidRPr="00D41BD8" w:rsidRDefault="00D41BD8" w:rsidP="00D41BD8">
      <w:pPr>
        <w:jc w:val="both"/>
        <w:rPr>
          <w:rFonts w:ascii="Arial" w:hAnsi="Arial" w:cs="Arial"/>
          <w:sz w:val="15"/>
          <w:szCs w:val="15"/>
        </w:rPr>
      </w:pPr>
    </w:p>
    <w:p w:rsidR="00D41BD8" w:rsidRPr="00D41BD8" w:rsidRDefault="00D41BD8" w:rsidP="00D41BD8">
      <w:pPr>
        <w:jc w:val="both"/>
        <w:rPr>
          <w:rFonts w:ascii="Arial" w:hAnsi="Arial" w:cs="Arial"/>
          <w:sz w:val="15"/>
          <w:szCs w:val="15"/>
        </w:rPr>
      </w:pPr>
    </w:p>
    <w:p w:rsidR="00D41BD8" w:rsidRPr="00D41BD8" w:rsidRDefault="00D41BD8" w:rsidP="00D41BD8">
      <w:pPr>
        <w:jc w:val="both"/>
        <w:rPr>
          <w:rFonts w:ascii="Arial" w:hAnsi="Arial" w:cs="Arial"/>
          <w:sz w:val="15"/>
          <w:szCs w:val="15"/>
        </w:rPr>
      </w:pPr>
    </w:p>
    <w:p w:rsidR="00D41BD8" w:rsidRPr="00D41BD8" w:rsidRDefault="00D41BD8" w:rsidP="00D41BD8">
      <w:pPr>
        <w:jc w:val="both"/>
        <w:rPr>
          <w:rFonts w:ascii="Arial" w:hAnsi="Arial" w:cs="Arial"/>
          <w:sz w:val="15"/>
          <w:szCs w:val="15"/>
        </w:rPr>
      </w:pPr>
    </w:p>
    <w:p w:rsidR="00D41BD8" w:rsidRPr="00D41BD8" w:rsidRDefault="00D41BD8" w:rsidP="00D41BD8">
      <w:pPr>
        <w:jc w:val="both"/>
        <w:rPr>
          <w:rFonts w:ascii="Arial" w:hAnsi="Arial" w:cs="Arial"/>
          <w:sz w:val="15"/>
          <w:szCs w:val="15"/>
        </w:rPr>
      </w:pPr>
    </w:p>
    <w:p w:rsidR="00D41BD8" w:rsidRPr="00D41BD8" w:rsidRDefault="00D41BD8" w:rsidP="00D41BD8">
      <w:pPr>
        <w:jc w:val="both"/>
        <w:rPr>
          <w:rFonts w:ascii="Arial" w:hAnsi="Arial" w:cs="Arial"/>
          <w:sz w:val="15"/>
          <w:szCs w:val="15"/>
        </w:rPr>
      </w:pPr>
    </w:p>
    <w:p w:rsidR="00D41BD8" w:rsidRPr="00D41BD8" w:rsidRDefault="00D41BD8" w:rsidP="00D41BD8">
      <w:pPr>
        <w:jc w:val="both"/>
        <w:rPr>
          <w:rFonts w:ascii="Arial" w:hAnsi="Arial" w:cs="Arial"/>
          <w:sz w:val="15"/>
          <w:szCs w:val="15"/>
        </w:rPr>
      </w:pPr>
    </w:p>
    <w:p w:rsidR="00D41BD8" w:rsidRPr="00D41BD8" w:rsidRDefault="00D41BD8" w:rsidP="00D41BD8">
      <w:pPr>
        <w:jc w:val="both"/>
        <w:rPr>
          <w:rFonts w:ascii="Arial" w:hAnsi="Arial" w:cs="Arial"/>
          <w:sz w:val="15"/>
          <w:szCs w:val="15"/>
        </w:rPr>
      </w:pPr>
    </w:p>
    <w:p w:rsidR="00D41BD8" w:rsidRPr="00D41BD8" w:rsidRDefault="00D41BD8" w:rsidP="00D41BD8">
      <w:pPr>
        <w:jc w:val="both"/>
        <w:rPr>
          <w:rFonts w:ascii="Arial" w:hAnsi="Arial" w:cs="Arial"/>
          <w:sz w:val="15"/>
          <w:szCs w:val="15"/>
        </w:rPr>
      </w:pPr>
    </w:p>
    <w:p w:rsidR="00D41BD8" w:rsidRPr="00D41BD8" w:rsidRDefault="00D41BD8" w:rsidP="00D41BD8">
      <w:pPr>
        <w:jc w:val="both"/>
        <w:rPr>
          <w:rFonts w:ascii="Arial" w:hAnsi="Arial" w:cs="Arial"/>
          <w:sz w:val="15"/>
          <w:szCs w:val="15"/>
        </w:rPr>
      </w:pPr>
    </w:p>
    <w:p w:rsidR="00D41BD8" w:rsidRPr="00D41BD8" w:rsidRDefault="00D41BD8" w:rsidP="00D41BD8">
      <w:pPr>
        <w:jc w:val="both"/>
        <w:rPr>
          <w:rFonts w:ascii="Arial" w:hAnsi="Arial" w:cs="Arial"/>
          <w:sz w:val="15"/>
          <w:szCs w:val="15"/>
        </w:rPr>
      </w:pPr>
    </w:p>
    <w:p w:rsidR="00D41BD8" w:rsidRPr="00D41BD8" w:rsidRDefault="00D41BD8" w:rsidP="00D41BD8">
      <w:pPr>
        <w:jc w:val="both"/>
        <w:rPr>
          <w:rFonts w:ascii="Arial" w:hAnsi="Arial" w:cs="Arial"/>
          <w:sz w:val="15"/>
          <w:szCs w:val="15"/>
        </w:rPr>
      </w:pPr>
    </w:p>
    <w:p w:rsidR="00D41BD8" w:rsidRPr="00D41BD8" w:rsidRDefault="00D41BD8" w:rsidP="00D41BD8">
      <w:pPr>
        <w:jc w:val="both"/>
        <w:rPr>
          <w:rFonts w:ascii="Arial" w:hAnsi="Arial" w:cs="Arial"/>
          <w:sz w:val="15"/>
          <w:szCs w:val="15"/>
        </w:rPr>
      </w:pPr>
    </w:p>
    <w:p w:rsidR="00D41BD8" w:rsidRPr="00D41BD8" w:rsidRDefault="00D41BD8" w:rsidP="00D41BD8">
      <w:pPr>
        <w:jc w:val="both"/>
        <w:rPr>
          <w:rFonts w:ascii="Arial" w:hAnsi="Arial" w:cs="Arial"/>
          <w:sz w:val="15"/>
          <w:szCs w:val="15"/>
        </w:rPr>
      </w:pPr>
    </w:p>
    <w:p w:rsidR="00D41BD8" w:rsidRPr="00D41BD8" w:rsidRDefault="00D41BD8" w:rsidP="00D41BD8">
      <w:pPr>
        <w:spacing w:before="120" w:beforeAutospacing="0" w:after="120" w:afterAutospacing="0"/>
        <w:jc w:val="both"/>
        <w:rPr>
          <w:rFonts w:ascii="Times New Roman" w:hAnsi="Times New Roman" w:cs="Times New Roman"/>
          <w:b/>
          <w:sz w:val="24"/>
          <w:szCs w:val="15"/>
        </w:rPr>
      </w:pPr>
      <w:r w:rsidRPr="00D41BD8">
        <w:rPr>
          <w:rFonts w:ascii="Times New Roman" w:hAnsi="Times New Roman" w:cs="Times New Roman"/>
          <w:b/>
          <w:sz w:val="24"/>
          <w:szCs w:val="15"/>
        </w:rPr>
        <w:t>Source : site de l’IASB</w:t>
      </w:r>
    </w:p>
    <w:p w:rsidR="00D41BD8" w:rsidRPr="00D41BD8" w:rsidRDefault="00D41BD8" w:rsidP="00D41BD8">
      <w:pPr>
        <w:jc w:val="both"/>
        <w:rPr>
          <w:rFonts w:ascii="Arial" w:hAnsi="Arial" w:cs="Arial"/>
          <w:sz w:val="15"/>
          <w:szCs w:val="15"/>
        </w:rPr>
      </w:pPr>
    </w:p>
    <w:p w:rsidR="00D41BD8" w:rsidRPr="00D41BD8" w:rsidRDefault="00D41BD8" w:rsidP="00D41BD8">
      <w:pPr>
        <w:jc w:val="both"/>
        <w:rPr>
          <w:rFonts w:ascii="Arial" w:hAnsi="Arial" w:cs="Arial"/>
          <w:sz w:val="15"/>
          <w:szCs w:val="15"/>
        </w:rPr>
      </w:pPr>
    </w:p>
    <w:p w:rsidR="00D41BD8" w:rsidRPr="00D41BD8" w:rsidRDefault="00D41BD8" w:rsidP="00D41BD8">
      <w:pPr>
        <w:jc w:val="both"/>
        <w:rPr>
          <w:rFonts w:ascii="Arial" w:hAnsi="Arial" w:cs="Arial"/>
          <w:sz w:val="15"/>
          <w:szCs w:val="15"/>
        </w:rPr>
      </w:pPr>
    </w:p>
    <w:p w:rsidR="00D41BD8" w:rsidRDefault="00D41BD8" w:rsidP="00D41BD8">
      <w:pPr>
        <w:jc w:val="both"/>
        <w:rPr>
          <w:rFonts w:ascii="Arial" w:hAnsi="Arial" w:cs="Arial"/>
          <w:sz w:val="15"/>
          <w:szCs w:val="15"/>
        </w:rPr>
      </w:pPr>
    </w:p>
    <w:p w:rsidR="00D41BD8" w:rsidRPr="00D41BD8" w:rsidRDefault="00D41BD8" w:rsidP="00D41BD8">
      <w:pPr>
        <w:jc w:val="both"/>
        <w:rPr>
          <w:rFonts w:ascii="Arial" w:hAnsi="Arial" w:cs="Arial"/>
          <w:sz w:val="15"/>
          <w:szCs w:val="15"/>
        </w:rPr>
      </w:pPr>
    </w:p>
    <w:p w:rsidR="00D41BD8" w:rsidRPr="00D41BD8" w:rsidRDefault="00D41BD8" w:rsidP="002A3F16">
      <w:pPr>
        <w:numPr>
          <w:ilvl w:val="0"/>
          <w:numId w:val="6"/>
        </w:numPr>
        <w:spacing w:before="0" w:beforeAutospacing="0" w:after="60" w:afterAutospacing="0" w:line="276" w:lineRule="auto"/>
        <w:contextualSpacing/>
        <w:jc w:val="left"/>
        <w:rPr>
          <w:rFonts w:ascii="Times New Roman" w:hAnsi="Times New Roman" w:cs="Times New Roman"/>
          <w:b/>
          <w:sz w:val="24"/>
        </w:rPr>
      </w:pPr>
      <w:r w:rsidRPr="00D41BD8">
        <w:rPr>
          <w:rFonts w:ascii="Times New Roman" w:hAnsi="Times New Roman" w:cs="Times New Roman"/>
          <w:b/>
          <w:sz w:val="24"/>
        </w:rPr>
        <w:lastRenderedPageBreak/>
        <w:t>Processus d'adoption d'une norme</w:t>
      </w:r>
    </w:p>
    <w:p w:rsidR="00D41BD8" w:rsidRPr="00D41BD8" w:rsidRDefault="00D41BD8" w:rsidP="00D41BD8">
      <w:pPr>
        <w:spacing w:before="0" w:beforeAutospacing="0" w:after="200" w:afterAutospacing="0" w:line="276" w:lineRule="auto"/>
        <w:ind w:firstLine="284"/>
        <w:jc w:val="both"/>
        <w:rPr>
          <w:rFonts w:ascii="Times New Roman" w:hAnsi="Times New Roman" w:cs="Times New Roman"/>
          <w:color w:val="231F20"/>
          <w:sz w:val="24"/>
          <w:szCs w:val="24"/>
        </w:rPr>
      </w:pPr>
      <w:r w:rsidRPr="00D41BD8">
        <w:rPr>
          <w:rFonts w:ascii="Times New Roman" w:hAnsi="Times New Roman" w:cs="Times New Roman"/>
          <w:color w:val="231F20"/>
          <w:sz w:val="24"/>
          <w:szCs w:val="24"/>
        </w:rPr>
        <w:t xml:space="preserve">L'élaboration d'une norme est soumise à une procédure stricte appelée « due </w:t>
      </w:r>
      <w:proofErr w:type="spellStart"/>
      <w:r w:rsidRPr="00D41BD8">
        <w:rPr>
          <w:rFonts w:ascii="Times New Roman" w:hAnsi="Times New Roman" w:cs="Times New Roman"/>
          <w:color w:val="231F20"/>
          <w:sz w:val="24"/>
          <w:szCs w:val="24"/>
        </w:rPr>
        <w:t>precess</w:t>
      </w:r>
      <w:proofErr w:type="spellEnd"/>
      <w:r w:rsidRPr="00D41BD8">
        <w:rPr>
          <w:rFonts w:ascii="Times New Roman" w:hAnsi="Times New Roman" w:cs="Times New Roman"/>
          <w:color w:val="231F20"/>
          <w:sz w:val="24"/>
          <w:szCs w:val="24"/>
        </w:rPr>
        <w:t> ». Celle-ci basée sur une concertation avec toutes les parties intéressées à travers notamment les organismes nationaux en liaison avec l'IASB. Les principales étapes de l'élaboration ou de la modification d'une norme IAS/IFRS sont les suivantes :</w:t>
      </w:r>
    </w:p>
    <w:p w:rsidR="00D41BD8" w:rsidRPr="00D41BD8" w:rsidRDefault="00D41BD8" w:rsidP="00D41BD8">
      <w:pPr>
        <w:jc w:val="both"/>
        <w:rPr>
          <w:rFonts w:ascii="Times New Roman" w:eastAsia="Times New Roman" w:hAnsi="Times New Roman" w:cs="Times New Roman"/>
          <w:b/>
          <w:sz w:val="24"/>
          <w:szCs w:val="24"/>
          <w:lang w:eastAsia="fr-FR"/>
        </w:rPr>
      </w:pPr>
      <w:r w:rsidRPr="00D41BD8">
        <w:rPr>
          <w:rFonts w:ascii="Times New Roman" w:eastAsia="Times New Roman" w:hAnsi="Times New Roman" w:cs="Times New Roman"/>
          <w:b/>
          <w:sz w:val="24"/>
          <w:szCs w:val="24"/>
          <w:lang w:eastAsia="fr-FR"/>
        </w:rPr>
        <w:t xml:space="preserve">Schémas (4) : </w:t>
      </w:r>
      <w:r w:rsidRPr="00D41BD8">
        <w:rPr>
          <w:rFonts w:ascii="Times New Roman" w:eastAsia="Times New Roman" w:hAnsi="Times New Roman" w:cs="Times New Roman"/>
          <w:sz w:val="24"/>
          <w:szCs w:val="24"/>
          <w:lang w:eastAsia="fr-FR"/>
        </w:rPr>
        <w:t>Procédure d'adoption d'une norme par l'IASB.</w:t>
      </w:r>
      <w:r w:rsidRPr="00D41BD8">
        <w:rPr>
          <w:rFonts w:ascii="Times New Roman" w:eastAsia="Times New Roman" w:hAnsi="Times New Roman" w:cs="Times New Roman"/>
          <w:b/>
          <w:sz w:val="24"/>
          <w:szCs w:val="24"/>
          <w:lang w:eastAsia="fr-FR"/>
        </w:rPr>
        <w:t xml:space="preserve"> </w:t>
      </w:r>
    </w:p>
    <w:p w:rsidR="00D41BD8" w:rsidRPr="00D41BD8" w:rsidRDefault="00D41BD8" w:rsidP="00D41BD8">
      <w:pPr>
        <w:jc w:val="both"/>
        <w:rPr>
          <w:rFonts w:ascii="Times New Roman" w:eastAsia="Times New Roman" w:hAnsi="Times New Roman" w:cs="Times New Roman"/>
          <w:b/>
          <w:sz w:val="24"/>
          <w:szCs w:val="24"/>
          <w:u w:val="single"/>
          <w:lang w:eastAsia="fr-FR"/>
        </w:rPr>
      </w:pPr>
      <w:r w:rsidRPr="00D41BD8">
        <w:rPr>
          <w:rFonts w:ascii="Times New Roman" w:eastAsia="Times New Roman" w:hAnsi="Times New Roman" w:cs="Times New Roman"/>
          <w:noProof/>
          <w:sz w:val="24"/>
          <w:szCs w:val="24"/>
          <w:u w:val="single"/>
          <w:lang w:eastAsia="fr-FR"/>
        </w:rPr>
        <w:pict>
          <v:group id="_x0000_s1488" style="position:absolute;left:0;text-align:left;margin-left:20.65pt;margin-top:21.35pt;width:403.5pt;height:435.1pt;z-index:251664384" coordorigin="2398,4345" coordsize="8070,8236">
            <v:rect id="_x0000_s1489" style="position:absolute;left:4665;top:4345;width:3315;height:465;v-text-anchor:middle">
              <v:textbox inset=".5mm,.3mm,.5mm,.3mm">
                <w:txbxContent>
                  <w:p w:rsidR="0039067A" w:rsidRDefault="0039067A" w:rsidP="00D41BD8">
                    <w:pPr>
                      <w:spacing w:after="0"/>
                    </w:pPr>
                    <w:r w:rsidRPr="009023E3">
                      <w:rPr>
                        <w:rFonts w:ascii="Times New Roman" w:eastAsia="Times New Roman" w:hAnsi="Times New Roman" w:cs="Times New Roman"/>
                        <w:sz w:val="24"/>
                        <w:szCs w:val="24"/>
                        <w:lang w:eastAsia="fr-FR"/>
                      </w:rPr>
                      <w:t>Identification du sujet</w:t>
                    </w:r>
                  </w:p>
                </w:txbxContent>
              </v:textbox>
            </v:rect>
            <v:rect id="_x0000_s1490" style="position:absolute;left:3971;top:5051;width:4980;height:510;v-text-anchor:middle">
              <v:textbox style="mso-next-textbox:#_x0000_s1490" inset=".5mm,.3mm,.5mm,.3mm">
                <w:txbxContent>
                  <w:p w:rsidR="0039067A" w:rsidRDefault="0039067A" w:rsidP="00D41BD8">
                    <w:pPr>
                      <w:spacing w:before="120" w:after="120"/>
                    </w:pPr>
                    <w:r w:rsidRPr="009023E3">
                      <w:rPr>
                        <w:rFonts w:ascii="Times New Roman" w:eastAsia="Times New Roman" w:hAnsi="Times New Roman" w:cs="Times New Roman"/>
                        <w:sz w:val="24"/>
                        <w:szCs w:val="24"/>
                        <w:lang w:eastAsia="fr-FR"/>
                      </w:rPr>
                      <w:t>Etude comparative des pratiques nationales</w:t>
                    </w:r>
                  </w:p>
                </w:txbxContent>
              </v:textbox>
            </v:rect>
            <v:rect id="_x0000_s1491" style="position:absolute;left:2398;top:6656;width:8070;height:555">
              <v:textbox style="mso-next-textbox:#_x0000_s1491">
                <w:txbxContent>
                  <w:p w:rsidR="0039067A" w:rsidRDefault="0039067A" w:rsidP="00D41BD8">
                    <w:r w:rsidRPr="009023E3">
                      <w:rPr>
                        <w:rFonts w:ascii="Times New Roman" w:eastAsia="Times New Roman" w:hAnsi="Times New Roman" w:cs="Times New Roman"/>
                        <w:sz w:val="24"/>
                        <w:szCs w:val="24"/>
                        <w:lang w:eastAsia="fr-FR"/>
                      </w:rPr>
                      <w:t>Constitution d'un comité consultatif (appelé</w:t>
                    </w:r>
                    <w:r>
                      <w:rPr>
                        <w:rFonts w:ascii="Times New Roman" w:eastAsia="Times New Roman" w:hAnsi="Times New Roman" w:cs="Times New Roman"/>
                        <w:sz w:val="24"/>
                        <w:szCs w:val="24"/>
                        <w:lang w:eastAsia="fr-FR"/>
                      </w:rPr>
                      <w:t xml:space="preserve"> « </w:t>
                    </w:r>
                    <w:proofErr w:type="spellStart"/>
                    <w:r w:rsidRPr="009023E3">
                      <w:rPr>
                        <w:rFonts w:ascii="Times New Roman" w:eastAsia="Times New Roman" w:hAnsi="Times New Roman" w:cs="Times New Roman"/>
                        <w:i/>
                        <w:iCs/>
                        <w:sz w:val="24"/>
                        <w:szCs w:val="24"/>
                        <w:lang w:eastAsia="fr-FR"/>
                      </w:rPr>
                      <w:t>Advisory</w:t>
                    </w:r>
                    <w:proofErr w:type="spellEnd"/>
                    <w:r w:rsidRPr="009023E3">
                      <w:rPr>
                        <w:rFonts w:ascii="Times New Roman" w:eastAsia="Times New Roman" w:hAnsi="Times New Roman" w:cs="Times New Roman"/>
                        <w:i/>
                        <w:iCs/>
                        <w:sz w:val="24"/>
                        <w:szCs w:val="24"/>
                        <w:lang w:eastAsia="fr-FR"/>
                      </w:rPr>
                      <w:t xml:space="preserve"> Group</w:t>
                    </w:r>
                    <w:r>
                      <w:rPr>
                        <w:rFonts w:ascii="Times New Roman" w:eastAsia="Times New Roman" w:hAnsi="Times New Roman" w:cs="Times New Roman"/>
                        <w:i/>
                        <w:iCs/>
                        <w:sz w:val="24"/>
                        <w:szCs w:val="24"/>
                        <w:lang w:eastAsia="fr-FR"/>
                      </w:rPr>
                      <w:t> »</w:t>
                    </w:r>
                    <w:r w:rsidRPr="009023E3">
                      <w:rPr>
                        <w:rFonts w:ascii="Times New Roman" w:eastAsia="Times New Roman" w:hAnsi="Times New Roman" w:cs="Times New Roman"/>
                        <w:sz w:val="24"/>
                        <w:szCs w:val="24"/>
                        <w:lang w:eastAsia="fr-FR"/>
                      </w:rPr>
                      <w:t>)</w:t>
                    </w:r>
                  </w:p>
                </w:txbxContent>
              </v:textbox>
            </v:rect>
            <v:rect id="_x0000_s1492" style="position:absolute;left:4665;top:5846;width:3238;height:435;v-text-anchor:middle">
              <v:textbox style="mso-next-textbox:#_x0000_s1492" inset=".5mm,.3mm,.5mm,.3mm">
                <w:txbxContent>
                  <w:p w:rsidR="0039067A" w:rsidRDefault="0039067A" w:rsidP="00D41BD8">
                    <w:pPr>
                      <w:spacing w:after="0"/>
                    </w:pPr>
                    <w:r w:rsidRPr="009023E3">
                      <w:rPr>
                        <w:rFonts w:ascii="Times New Roman" w:eastAsia="Times New Roman" w:hAnsi="Times New Roman" w:cs="Times New Roman"/>
                        <w:sz w:val="24"/>
                        <w:szCs w:val="24"/>
                        <w:lang w:eastAsia="fr-FR"/>
                      </w:rPr>
                      <w:t>Consultation du SAC</w:t>
                    </w:r>
                  </w:p>
                </w:txbxContent>
              </v:textbox>
            </v:rect>
            <v:rect id="_x0000_s1493" style="position:absolute;left:2398;top:7499;width:8070;height:810;v-text-anchor:middle">
              <v:textbox style="mso-next-textbox:#_x0000_s1493" inset=".5mm,.3mm,.5mm,.3mm">
                <w:txbxContent>
                  <w:p w:rsidR="0039067A" w:rsidRPr="009023E3" w:rsidRDefault="0039067A" w:rsidP="00D41BD8">
                    <w:pPr>
                      <w:spacing w:before="120" w:after="120"/>
                      <w:rPr>
                        <w:rFonts w:ascii="Times New Roman" w:eastAsia="Times New Roman" w:hAnsi="Times New Roman" w:cs="Times New Roman"/>
                        <w:sz w:val="24"/>
                        <w:szCs w:val="24"/>
                        <w:lang w:eastAsia="fr-FR"/>
                      </w:rPr>
                    </w:pPr>
                    <w:r w:rsidRPr="009023E3">
                      <w:rPr>
                        <w:rFonts w:ascii="Times New Roman" w:eastAsia="Times New Roman" w:hAnsi="Times New Roman" w:cs="Times New Roman"/>
                        <w:sz w:val="24"/>
                        <w:szCs w:val="24"/>
                        <w:lang w:eastAsia="fr-FR"/>
                      </w:rPr>
                      <w:t xml:space="preserve"> Publication d'un document de discussion pour appel à commentaire </w:t>
                    </w:r>
                    <w:r w:rsidRPr="009023E3">
                      <w:rPr>
                        <w:rFonts w:ascii="Times New Roman" w:eastAsia="Times New Roman" w:hAnsi="Times New Roman" w:cs="Times New Roman"/>
                        <w:sz w:val="24"/>
                        <w:szCs w:val="24"/>
                        <w:lang w:eastAsia="fr-FR"/>
                      </w:rPr>
                      <w:br/>
                      <w:t xml:space="preserve">(Appelé </w:t>
                    </w:r>
                    <w:r>
                      <w:rPr>
                        <w:rFonts w:ascii="Times New Roman" w:eastAsia="Times New Roman" w:hAnsi="Times New Roman" w:cs="Times New Roman"/>
                        <w:sz w:val="24"/>
                        <w:szCs w:val="24"/>
                        <w:lang w:eastAsia="fr-FR"/>
                      </w:rPr>
                      <w:t>« </w:t>
                    </w:r>
                    <w:r w:rsidRPr="009023E3">
                      <w:rPr>
                        <w:rFonts w:ascii="Times New Roman" w:eastAsia="Times New Roman" w:hAnsi="Times New Roman" w:cs="Times New Roman"/>
                        <w:i/>
                        <w:iCs/>
                        <w:sz w:val="24"/>
                        <w:szCs w:val="24"/>
                        <w:lang w:eastAsia="fr-FR"/>
                      </w:rPr>
                      <w:t xml:space="preserve">discussion </w:t>
                    </w:r>
                    <w:proofErr w:type="spellStart"/>
                    <w:r w:rsidRPr="009023E3">
                      <w:rPr>
                        <w:rFonts w:ascii="Times New Roman" w:eastAsia="Times New Roman" w:hAnsi="Times New Roman" w:cs="Times New Roman"/>
                        <w:i/>
                        <w:iCs/>
                        <w:sz w:val="24"/>
                        <w:szCs w:val="24"/>
                        <w:lang w:eastAsia="fr-FR"/>
                      </w:rPr>
                      <w:t>paper</w:t>
                    </w:r>
                    <w:proofErr w:type="spellEnd"/>
                    <w:r>
                      <w:rPr>
                        <w:rFonts w:ascii="Times New Roman" w:eastAsia="Times New Roman" w:hAnsi="Times New Roman" w:cs="Times New Roman"/>
                        <w:i/>
                        <w:iCs/>
                        <w:sz w:val="24"/>
                        <w:szCs w:val="24"/>
                        <w:lang w:eastAsia="fr-FR"/>
                      </w:rPr>
                      <w:t> »</w:t>
                    </w:r>
                    <w:r w:rsidRPr="009023E3">
                      <w:rPr>
                        <w:rFonts w:ascii="Times New Roman" w:eastAsia="Times New Roman" w:hAnsi="Times New Roman" w:cs="Times New Roman"/>
                        <w:sz w:val="24"/>
                        <w:szCs w:val="24"/>
                        <w:lang w:eastAsia="fr-FR"/>
                      </w:rPr>
                      <w:t xml:space="preserve">ou encore DSOF </w:t>
                    </w:r>
                    <w:r>
                      <w:rPr>
                        <w:rFonts w:ascii="Times New Roman" w:eastAsia="Times New Roman" w:hAnsi="Times New Roman" w:cs="Times New Roman"/>
                        <w:sz w:val="24"/>
                        <w:szCs w:val="24"/>
                        <w:lang w:eastAsia="fr-FR"/>
                      </w:rPr>
                      <w:t>« </w:t>
                    </w:r>
                    <w:proofErr w:type="spellStart"/>
                    <w:r w:rsidRPr="009023E3">
                      <w:rPr>
                        <w:rFonts w:ascii="Times New Roman" w:eastAsia="Times New Roman" w:hAnsi="Times New Roman" w:cs="Times New Roman"/>
                        <w:i/>
                        <w:iCs/>
                        <w:sz w:val="24"/>
                        <w:szCs w:val="24"/>
                        <w:lang w:eastAsia="fr-FR"/>
                      </w:rPr>
                      <w:t>draftstatement</w:t>
                    </w:r>
                    <w:proofErr w:type="spellEnd"/>
                    <w:r w:rsidRPr="009023E3">
                      <w:rPr>
                        <w:rFonts w:ascii="Times New Roman" w:eastAsia="Times New Roman" w:hAnsi="Times New Roman" w:cs="Times New Roman"/>
                        <w:i/>
                        <w:iCs/>
                        <w:sz w:val="24"/>
                        <w:szCs w:val="24"/>
                        <w:lang w:eastAsia="fr-FR"/>
                      </w:rPr>
                      <w:t xml:space="preserve"> of </w:t>
                    </w:r>
                    <w:proofErr w:type="spellStart"/>
                    <w:r w:rsidRPr="009023E3">
                      <w:rPr>
                        <w:rFonts w:ascii="Times New Roman" w:eastAsia="Times New Roman" w:hAnsi="Times New Roman" w:cs="Times New Roman"/>
                        <w:i/>
                        <w:iCs/>
                        <w:sz w:val="24"/>
                        <w:szCs w:val="24"/>
                        <w:lang w:eastAsia="fr-FR"/>
                      </w:rPr>
                      <w:t>princiales</w:t>
                    </w:r>
                    <w:proofErr w:type="spellEnd"/>
                    <w:r>
                      <w:rPr>
                        <w:rFonts w:ascii="Times New Roman" w:eastAsia="Times New Roman" w:hAnsi="Times New Roman" w:cs="Times New Roman"/>
                        <w:i/>
                        <w:iCs/>
                        <w:sz w:val="24"/>
                        <w:szCs w:val="24"/>
                        <w:lang w:eastAsia="fr-FR"/>
                      </w:rPr>
                      <w:t> »</w:t>
                    </w:r>
                    <w:r w:rsidRPr="009023E3">
                      <w:rPr>
                        <w:rFonts w:ascii="Times New Roman" w:eastAsia="Times New Roman" w:hAnsi="Times New Roman" w:cs="Times New Roman"/>
                        <w:sz w:val="24"/>
                        <w:szCs w:val="24"/>
                        <w:lang w:eastAsia="fr-FR"/>
                      </w:rPr>
                      <w:t>)</w:t>
                    </w:r>
                  </w:p>
                  <w:p w:rsidR="0039067A" w:rsidRDefault="0039067A" w:rsidP="00D41BD8"/>
                </w:txbxContent>
              </v:textbox>
            </v:rect>
            <v:rect id="_x0000_s1494" style="position:absolute;left:2460;top:8681;width:8008;height:1065;v-text-anchor:middle">
              <v:textbox inset=".5mm,.3mm,.5mm,.3mm">
                <w:txbxContent>
                  <w:p w:rsidR="0039067A" w:rsidRDefault="0039067A" w:rsidP="00D41BD8">
                    <w:pPr>
                      <w:spacing w:after="0"/>
                      <w:rPr>
                        <w:rFonts w:ascii="Times New Roman" w:eastAsia="Times New Roman" w:hAnsi="Times New Roman" w:cs="Times New Roman"/>
                        <w:sz w:val="24"/>
                        <w:szCs w:val="24"/>
                        <w:lang w:eastAsia="fr-FR"/>
                      </w:rPr>
                    </w:pPr>
                    <w:r w:rsidRPr="009023E3">
                      <w:rPr>
                        <w:rFonts w:ascii="Times New Roman" w:eastAsia="Times New Roman" w:hAnsi="Times New Roman" w:cs="Times New Roman"/>
                        <w:sz w:val="24"/>
                        <w:szCs w:val="24"/>
                        <w:lang w:eastAsia="fr-FR"/>
                      </w:rPr>
                      <w:t xml:space="preserve">Publication d'un projet de norme ou de révision de </w:t>
                    </w:r>
                    <w:proofErr w:type="gramStart"/>
                    <w:r w:rsidRPr="009023E3">
                      <w:rPr>
                        <w:rFonts w:ascii="Times New Roman" w:eastAsia="Times New Roman" w:hAnsi="Times New Roman" w:cs="Times New Roman"/>
                        <w:sz w:val="24"/>
                        <w:szCs w:val="24"/>
                        <w:lang w:eastAsia="fr-FR"/>
                      </w:rPr>
                      <w:t>norme</w:t>
                    </w:r>
                    <w:proofErr w:type="gramEnd"/>
                    <w:r w:rsidRPr="009023E3">
                      <w:rPr>
                        <w:rFonts w:ascii="Times New Roman" w:eastAsia="Times New Roman" w:hAnsi="Times New Roman" w:cs="Times New Roman"/>
                        <w:sz w:val="24"/>
                        <w:szCs w:val="24"/>
                        <w:lang w:eastAsia="fr-FR"/>
                      </w:rPr>
                      <w:br/>
                      <w:t xml:space="preserve">(Appelé </w:t>
                    </w:r>
                    <w:r>
                      <w:rPr>
                        <w:rFonts w:ascii="Times New Roman" w:eastAsia="Times New Roman" w:hAnsi="Times New Roman" w:cs="Times New Roman"/>
                        <w:sz w:val="24"/>
                        <w:szCs w:val="24"/>
                        <w:lang w:eastAsia="fr-FR"/>
                      </w:rPr>
                      <w:t>« </w:t>
                    </w:r>
                    <w:proofErr w:type="spellStart"/>
                    <w:r w:rsidRPr="009023E3">
                      <w:rPr>
                        <w:rFonts w:ascii="Times New Roman" w:eastAsia="Times New Roman" w:hAnsi="Times New Roman" w:cs="Times New Roman"/>
                        <w:sz w:val="24"/>
                        <w:szCs w:val="24"/>
                        <w:lang w:eastAsia="fr-FR"/>
                      </w:rPr>
                      <w:t>expoé</w:t>
                    </w:r>
                    <w:proofErr w:type="spellEnd"/>
                    <w:r w:rsidRPr="009023E3">
                      <w:rPr>
                        <w:rFonts w:ascii="Times New Roman" w:eastAsia="Times New Roman" w:hAnsi="Times New Roman" w:cs="Times New Roman"/>
                        <w:sz w:val="24"/>
                        <w:szCs w:val="24"/>
                        <w:lang w:eastAsia="fr-FR"/>
                      </w:rPr>
                      <w:t>-sondage</w:t>
                    </w:r>
                    <w:r>
                      <w:rPr>
                        <w:rFonts w:ascii="Times New Roman" w:eastAsia="Times New Roman" w:hAnsi="Times New Roman" w:cs="Times New Roman"/>
                        <w:sz w:val="24"/>
                        <w:szCs w:val="24"/>
                        <w:lang w:eastAsia="fr-FR"/>
                      </w:rPr>
                      <w:t> »</w:t>
                    </w:r>
                    <w:r w:rsidRPr="009023E3">
                      <w:rPr>
                        <w:rFonts w:ascii="Times New Roman" w:eastAsia="Times New Roman" w:hAnsi="Times New Roman" w:cs="Times New Roman"/>
                        <w:sz w:val="24"/>
                        <w:szCs w:val="24"/>
                        <w:lang w:eastAsia="fr-FR"/>
                      </w:rPr>
                      <w:t xml:space="preserve">  ou </w:t>
                    </w:r>
                    <w:r>
                      <w:rPr>
                        <w:rFonts w:ascii="Times New Roman" w:eastAsia="Times New Roman" w:hAnsi="Times New Roman" w:cs="Times New Roman"/>
                        <w:sz w:val="24"/>
                        <w:szCs w:val="24"/>
                        <w:lang w:eastAsia="fr-FR"/>
                      </w:rPr>
                      <w:t>« </w:t>
                    </w:r>
                    <w:r w:rsidRPr="009023E3">
                      <w:rPr>
                        <w:rFonts w:ascii="Times New Roman" w:eastAsia="Times New Roman" w:hAnsi="Times New Roman" w:cs="Times New Roman"/>
                        <w:i/>
                        <w:iCs/>
                        <w:sz w:val="24"/>
                        <w:szCs w:val="24"/>
                        <w:lang w:eastAsia="fr-FR"/>
                      </w:rPr>
                      <w:t xml:space="preserve">exposer </w:t>
                    </w:r>
                    <w:proofErr w:type="spellStart"/>
                    <w:r w:rsidRPr="009023E3">
                      <w:rPr>
                        <w:rFonts w:ascii="Times New Roman" w:eastAsia="Times New Roman" w:hAnsi="Times New Roman" w:cs="Times New Roman"/>
                        <w:i/>
                        <w:iCs/>
                        <w:sz w:val="24"/>
                        <w:szCs w:val="24"/>
                        <w:lang w:eastAsia="fr-FR"/>
                      </w:rPr>
                      <w:t>draft</w:t>
                    </w:r>
                    <w:proofErr w:type="spellEnd"/>
                    <w:r>
                      <w:rPr>
                        <w:rFonts w:ascii="Times New Roman" w:eastAsia="Times New Roman" w:hAnsi="Times New Roman" w:cs="Times New Roman"/>
                        <w:i/>
                        <w:iCs/>
                        <w:sz w:val="24"/>
                        <w:szCs w:val="24"/>
                        <w:lang w:eastAsia="fr-FR"/>
                      </w:rPr>
                      <w:t> »</w:t>
                    </w:r>
                    <w:r w:rsidRPr="009023E3">
                      <w:rPr>
                        <w:rFonts w:ascii="Times New Roman" w:eastAsia="Times New Roman" w:hAnsi="Times New Roman" w:cs="Times New Roman"/>
                        <w:sz w:val="24"/>
                        <w:szCs w:val="24"/>
                        <w:lang w:eastAsia="fr-FR"/>
                      </w:rPr>
                      <w:t>)</w:t>
                    </w:r>
                  </w:p>
                  <w:p w:rsidR="0039067A" w:rsidRPr="009023E3" w:rsidRDefault="0039067A" w:rsidP="00D41BD8">
                    <w:pPr>
                      <w:spacing w:after="0"/>
                      <w:rPr>
                        <w:rFonts w:ascii="Times New Roman" w:eastAsia="Times New Roman" w:hAnsi="Times New Roman" w:cs="Times New Roman"/>
                        <w:sz w:val="24"/>
                        <w:szCs w:val="24"/>
                        <w:lang w:eastAsia="fr-FR"/>
                      </w:rPr>
                    </w:pPr>
                    <w:r w:rsidRPr="009023E3">
                      <w:rPr>
                        <w:rFonts w:ascii="Times New Roman" w:eastAsia="Times New Roman" w:hAnsi="Times New Roman" w:cs="Times New Roman"/>
                        <w:sz w:val="24"/>
                        <w:szCs w:val="24"/>
                        <w:lang w:eastAsia="fr-FR"/>
                      </w:rPr>
                      <w:t>Pour commentaires de toutes les organisation</w:t>
                    </w:r>
                    <w:r>
                      <w:rPr>
                        <w:rFonts w:ascii="Times New Roman" w:eastAsia="Times New Roman" w:hAnsi="Times New Roman" w:cs="Times New Roman"/>
                        <w:sz w:val="24"/>
                        <w:szCs w:val="24"/>
                        <w:lang w:eastAsia="fr-FR"/>
                      </w:rPr>
                      <w:t>s</w:t>
                    </w:r>
                    <w:r w:rsidRPr="009023E3">
                      <w:rPr>
                        <w:rFonts w:ascii="Times New Roman" w:eastAsia="Times New Roman" w:hAnsi="Times New Roman" w:cs="Times New Roman"/>
                        <w:sz w:val="24"/>
                        <w:szCs w:val="24"/>
                        <w:lang w:eastAsia="fr-FR"/>
                      </w:rPr>
                      <w:t xml:space="preserve"> membre de l'IASB</w:t>
                    </w:r>
                  </w:p>
                  <w:p w:rsidR="0039067A" w:rsidRDefault="0039067A" w:rsidP="00D41BD8">
                    <w:pPr>
                      <w:rPr>
                        <w:rFonts w:ascii="Times New Roman" w:eastAsia="Times New Roman" w:hAnsi="Times New Roman" w:cs="Times New Roman"/>
                        <w:sz w:val="24"/>
                        <w:szCs w:val="24"/>
                        <w:lang w:eastAsia="fr-FR"/>
                      </w:rPr>
                    </w:pPr>
                  </w:p>
                  <w:p w:rsidR="0039067A" w:rsidRDefault="0039067A" w:rsidP="00D41BD8">
                    <w:r w:rsidRPr="009023E3">
                      <w:rPr>
                        <w:rFonts w:ascii="Times New Roman" w:eastAsia="Times New Roman" w:hAnsi="Times New Roman" w:cs="Times New Roman"/>
                        <w:sz w:val="24"/>
                        <w:szCs w:val="24"/>
                        <w:lang w:eastAsia="fr-FR"/>
                      </w:rPr>
                      <w:br/>
                    </w:r>
                  </w:p>
                </w:txbxContent>
              </v:textbox>
            </v:rect>
            <v:rect id="_x0000_s1495" style="position:absolute;left:4166;top:10046;width:4275;height:555">
              <v:textbox>
                <w:txbxContent>
                  <w:p w:rsidR="0039067A" w:rsidRPr="009023E3" w:rsidRDefault="0039067A" w:rsidP="00D41BD8">
                    <w:pPr>
                      <w:tabs>
                        <w:tab w:val="left" w:pos="2790"/>
                        <w:tab w:val="center" w:pos="4536"/>
                      </w:tabs>
                      <w:rPr>
                        <w:rFonts w:ascii="Times New Roman" w:eastAsia="Times New Roman" w:hAnsi="Times New Roman" w:cs="Times New Roman"/>
                        <w:sz w:val="24"/>
                        <w:szCs w:val="24"/>
                        <w:lang w:eastAsia="fr-FR"/>
                      </w:rPr>
                    </w:pPr>
                    <w:r w:rsidRPr="009023E3">
                      <w:rPr>
                        <w:rFonts w:ascii="Times New Roman" w:eastAsia="Times New Roman" w:hAnsi="Times New Roman" w:cs="Times New Roman"/>
                        <w:sz w:val="24"/>
                        <w:szCs w:val="24"/>
                        <w:lang w:eastAsia="fr-FR"/>
                      </w:rPr>
                      <w:t>Analyse des commentaires reçus</w:t>
                    </w:r>
                  </w:p>
                  <w:p w:rsidR="0039067A" w:rsidRDefault="0039067A" w:rsidP="00D41BD8"/>
                </w:txbxContent>
              </v:textbox>
            </v:rect>
            <v:rect id="_x0000_s1496" style="position:absolute;left:4166;top:11051;width:4275;height:555">
              <v:textbox>
                <w:txbxContent>
                  <w:p w:rsidR="0039067A" w:rsidRPr="009023E3" w:rsidRDefault="0039067A" w:rsidP="00D41BD8">
                    <w:pPr>
                      <w:tabs>
                        <w:tab w:val="center" w:pos="4536"/>
                        <w:tab w:val="left" w:pos="5775"/>
                      </w:tabs>
                      <w:rPr>
                        <w:rFonts w:ascii="Times New Roman" w:eastAsia="Times New Roman" w:hAnsi="Times New Roman" w:cs="Times New Roman"/>
                        <w:sz w:val="24"/>
                        <w:szCs w:val="24"/>
                        <w:lang w:eastAsia="fr-FR"/>
                      </w:rPr>
                    </w:pPr>
                    <w:r w:rsidRPr="009023E3">
                      <w:rPr>
                        <w:rFonts w:ascii="Times New Roman" w:eastAsia="Times New Roman" w:hAnsi="Times New Roman" w:cs="Times New Roman"/>
                        <w:sz w:val="24"/>
                        <w:szCs w:val="24"/>
                        <w:lang w:eastAsia="fr-FR"/>
                      </w:rPr>
                      <w:t>Approbation de la norme</w:t>
                    </w:r>
                  </w:p>
                  <w:p w:rsidR="0039067A" w:rsidRDefault="0039067A" w:rsidP="00D41BD8"/>
                </w:txbxContent>
              </v:textbox>
            </v:rect>
            <v:rect id="_x0000_s1497" style="position:absolute;left:4166;top:12026;width:4275;height:555">
              <v:textbox style="mso-next-textbox:#_x0000_s1497">
                <w:txbxContent>
                  <w:p w:rsidR="0039067A" w:rsidRPr="009023E3" w:rsidRDefault="0039067A" w:rsidP="00D41BD8">
                    <w:pPr>
                      <w:rPr>
                        <w:rFonts w:ascii="Times New Roman" w:eastAsia="Times New Roman" w:hAnsi="Times New Roman" w:cs="Times New Roman"/>
                        <w:sz w:val="24"/>
                        <w:szCs w:val="24"/>
                        <w:lang w:eastAsia="fr-FR"/>
                      </w:rPr>
                    </w:pPr>
                    <w:r w:rsidRPr="009023E3">
                      <w:rPr>
                        <w:rFonts w:ascii="Times New Roman" w:eastAsia="Times New Roman" w:hAnsi="Times New Roman" w:cs="Times New Roman"/>
                        <w:sz w:val="24"/>
                        <w:szCs w:val="24"/>
                        <w:lang w:eastAsia="fr-FR"/>
                      </w:rPr>
                      <w:t>Publication de la norme définitive</w:t>
                    </w:r>
                  </w:p>
                  <w:p w:rsidR="0039067A" w:rsidRDefault="0039067A" w:rsidP="00D41BD8"/>
                </w:txbxContent>
              </v:textbox>
            </v:rect>
            <v:shape id="_x0000_s1498" type="#_x0000_t32" style="position:absolute;left:6223;top:4826;width:0;height:225" o:connectortype="straight"/>
            <v:shape id="_x0000_s1499" type="#_x0000_t32" style="position:absolute;left:6223;top:5576;width:0;height:270" o:connectortype="straight"/>
            <v:shape id="_x0000_s1500" type="#_x0000_t32" style="position:absolute;left:6223;top:10599;width:0;height:451" o:connectortype="straight"/>
            <v:shape id="_x0000_s1501" type="#_x0000_t32" style="position:absolute;left:6223;top:7224;width:0;height:275" o:connectortype="straight"/>
            <v:shape id="_x0000_s1502" type="#_x0000_t32" style="position:absolute;left:6223;top:6281;width:0;height:375" o:connectortype="straight"/>
            <v:shape id="_x0000_s1503" type="#_x0000_t32" style="position:absolute;left:6223;top:8309;width:0;height:372" o:connectortype="straight"/>
            <v:shape id="_x0000_s1504" type="#_x0000_t32" style="position:absolute;left:6223;top:9744;width:0;height:275" o:connectortype="straight"/>
            <v:shape id="_x0000_s1505" type="#_x0000_t32" style="position:absolute;left:6223;top:11606;width:0;height:419" o:connectortype="straight"/>
          </v:group>
        </w:pict>
      </w:r>
    </w:p>
    <w:p w:rsidR="00D41BD8" w:rsidRPr="00D41BD8" w:rsidRDefault="00D41BD8" w:rsidP="00D41BD8">
      <w:pPr>
        <w:rPr>
          <w:rFonts w:ascii="Times New Roman" w:eastAsia="Times New Roman" w:hAnsi="Times New Roman" w:cs="Times New Roman"/>
          <w:sz w:val="24"/>
          <w:szCs w:val="24"/>
          <w:u w:val="single"/>
          <w:lang w:eastAsia="fr-FR"/>
        </w:rPr>
      </w:pPr>
    </w:p>
    <w:p w:rsidR="00D41BD8" w:rsidRPr="00D41BD8" w:rsidRDefault="00D41BD8" w:rsidP="00D41BD8">
      <w:pPr>
        <w:rPr>
          <w:rFonts w:ascii="Times New Roman" w:eastAsia="Times New Roman" w:hAnsi="Times New Roman" w:cs="Times New Roman"/>
          <w:sz w:val="24"/>
          <w:szCs w:val="24"/>
          <w:lang w:eastAsia="fr-FR"/>
        </w:rPr>
      </w:pPr>
      <w:r w:rsidRPr="00D41BD8">
        <w:rPr>
          <w:rFonts w:ascii="Times New Roman" w:eastAsia="Times New Roman" w:hAnsi="Times New Roman" w:cs="Times New Roman"/>
          <w:sz w:val="24"/>
          <w:szCs w:val="24"/>
          <w:u w:val="single"/>
          <w:lang w:eastAsia="fr-FR"/>
        </w:rPr>
        <w:br/>
      </w:r>
      <w:r w:rsidRPr="00D41BD8">
        <w:rPr>
          <w:rFonts w:ascii="Times New Roman" w:eastAsia="Times New Roman" w:hAnsi="Times New Roman" w:cs="Times New Roman"/>
          <w:sz w:val="24"/>
          <w:szCs w:val="24"/>
          <w:lang w:eastAsia="fr-FR"/>
        </w:rPr>
        <w:br/>
      </w:r>
      <w:r w:rsidRPr="00D41BD8">
        <w:rPr>
          <w:rFonts w:ascii="Times New Roman" w:eastAsia="Times New Roman" w:hAnsi="Times New Roman" w:cs="Times New Roman"/>
          <w:sz w:val="24"/>
          <w:szCs w:val="24"/>
          <w:lang w:eastAsia="fr-FR"/>
        </w:rPr>
        <w:br/>
      </w:r>
      <w:r w:rsidRPr="00D41BD8">
        <w:rPr>
          <w:rFonts w:ascii="Times New Roman" w:eastAsia="Times New Roman" w:hAnsi="Times New Roman" w:cs="Times New Roman"/>
          <w:sz w:val="24"/>
          <w:szCs w:val="24"/>
          <w:lang w:eastAsia="fr-FR"/>
        </w:rPr>
        <w:br/>
      </w:r>
    </w:p>
    <w:p w:rsidR="00D41BD8" w:rsidRPr="00D41BD8" w:rsidRDefault="00D41BD8" w:rsidP="00D41BD8">
      <w:pPr>
        <w:rPr>
          <w:rFonts w:ascii="Times New Roman" w:eastAsia="Times New Roman" w:hAnsi="Times New Roman" w:cs="Times New Roman"/>
          <w:sz w:val="24"/>
          <w:szCs w:val="24"/>
          <w:lang w:eastAsia="fr-FR"/>
        </w:rPr>
      </w:pPr>
    </w:p>
    <w:p w:rsidR="00D41BD8" w:rsidRPr="00D41BD8" w:rsidRDefault="00D41BD8" w:rsidP="00D41BD8">
      <w:pPr>
        <w:rPr>
          <w:rFonts w:ascii="Times New Roman" w:eastAsia="Times New Roman" w:hAnsi="Times New Roman" w:cs="Times New Roman"/>
          <w:sz w:val="24"/>
          <w:szCs w:val="24"/>
          <w:lang w:eastAsia="fr-FR"/>
        </w:rPr>
      </w:pPr>
    </w:p>
    <w:p w:rsidR="00D41BD8" w:rsidRPr="00D41BD8" w:rsidRDefault="00D41BD8" w:rsidP="00D41BD8">
      <w:pPr>
        <w:rPr>
          <w:rFonts w:ascii="Times New Roman" w:eastAsia="Times New Roman" w:hAnsi="Times New Roman" w:cs="Times New Roman"/>
          <w:sz w:val="24"/>
          <w:szCs w:val="24"/>
          <w:lang w:eastAsia="fr-FR"/>
        </w:rPr>
      </w:pPr>
    </w:p>
    <w:p w:rsidR="00D41BD8" w:rsidRPr="00D41BD8" w:rsidRDefault="00D41BD8" w:rsidP="00D41BD8">
      <w:pPr>
        <w:tabs>
          <w:tab w:val="left" w:pos="2790"/>
          <w:tab w:val="center" w:pos="4536"/>
        </w:tabs>
        <w:jc w:val="left"/>
        <w:rPr>
          <w:rFonts w:ascii="Times New Roman" w:eastAsia="Times New Roman" w:hAnsi="Times New Roman" w:cs="Times New Roman"/>
          <w:sz w:val="24"/>
          <w:szCs w:val="24"/>
          <w:lang w:eastAsia="fr-FR"/>
        </w:rPr>
      </w:pPr>
      <w:r w:rsidRPr="00D41BD8">
        <w:rPr>
          <w:rFonts w:ascii="Times New Roman" w:eastAsia="Times New Roman" w:hAnsi="Times New Roman" w:cs="Times New Roman"/>
          <w:sz w:val="24"/>
          <w:szCs w:val="24"/>
          <w:lang w:eastAsia="fr-FR"/>
        </w:rPr>
        <w:tab/>
      </w:r>
    </w:p>
    <w:p w:rsidR="00D41BD8" w:rsidRPr="00D41BD8" w:rsidRDefault="00D41BD8" w:rsidP="00D41BD8">
      <w:pPr>
        <w:tabs>
          <w:tab w:val="left" w:pos="2790"/>
          <w:tab w:val="center" w:pos="4536"/>
        </w:tabs>
        <w:jc w:val="left"/>
        <w:rPr>
          <w:rFonts w:ascii="Times New Roman" w:eastAsia="Times New Roman" w:hAnsi="Times New Roman" w:cs="Times New Roman"/>
          <w:sz w:val="24"/>
          <w:szCs w:val="24"/>
          <w:lang w:eastAsia="fr-FR"/>
        </w:rPr>
      </w:pPr>
    </w:p>
    <w:p w:rsidR="00D41BD8" w:rsidRPr="00D41BD8" w:rsidRDefault="00D41BD8" w:rsidP="00D41BD8">
      <w:pPr>
        <w:tabs>
          <w:tab w:val="left" w:pos="2790"/>
          <w:tab w:val="center" w:pos="4536"/>
        </w:tabs>
        <w:jc w:val="left"/>
        <w:rPr>
          <w:rFonts w:ascii="Times New Roman" w:eastAsia="Times New Roman" w:hAnsi="Times New Roman" w:cs="Times New Roman"/>
          <w:sz w:val="24"/>
          <w:szCs w:val="24"/>
          <w:lang w:eastAsia="fr-FR"/>
        </w:rPr>
      </w:pPr>
      <w:r w:rsidRPr="00D41BD8">
        <w:rPr>
          <w:rFonts w:ascii="Times New Roman" w:eastAsia="Times New Roman" w:hAnsi="Times New Roman" w:cs="Times New Roman"/>
          <w:sz w:val="24"/>
          <w:szCs w:val="24"/>
          <w:lang w:eastAsia="fr-FR"/>
        </w:rPr>
        <w:tab/>
      </w:r>
    </w:p>
    <w:p w:rsidR="00D41BD8" w:rsidRPr="00D41BD8" w:rsidRDefault="00D41BD8" w:rsidP="00D41BD8">
      <w:pPr>
        <w:tabs>
          <w:tab w:val="center" w:pos="4536"/>
          <w:tab w:val="left" w:pos="5775"/>
        </w:tabs>
        <w:jc w:val="left"/>
        <w:rPr>
          <w:rFonts w:ascii="Times New Roman" w:eastAsia="Times New Roman" w:hAnsi="Times New Roman" w:cs="Times New Roman"/>
          <w:sz w:val="24"/>
          <w:szCs w:val="24"/>
          <w:lang w:eastAsia="fr-FR"/>
        </w:rPr>
      </w:pPr>
      <w:r w:rsidRPr="00D41BD8">
        <w:rPr>
          <w:rFonts w:ascii="Times New Roman" w:eastAsia="Times New Roman" w:hAnsi="Times New Roman" w:cs="Times New Roman"/>
          <w:sz w:val="24"/>
          <w:szCs w:val="24"/>
          <w:lang w:eastAsia="fr-FR"/>
        </w:rPr>
        <w:tab/>
      </w:r>
    </w:p>
    <w:p w:rsidR="00D41BD8" w:rsidRPr="00D41BD8" w:rsidRDefault="00D41BD8" w:rsidP="00D41BD8">
      <w:pPr>
        <w:jc w:val="left"/>
        <w:rPr>
          <w:rFonts w:ascii="Arial" w:eastAsia="Times New Roman" w:hAnsi="Arial" w:cs="Arial"/>
          <w:noProof/>
          <w:sz w:val="15"/>
          <w:szCs w:val="15"/>
          <w:lang w:eastAsia="fr-FR"/>
        </w:rPr>
      </w:pPr>
    </w:p>
    <w:p w:rsidR="00D41BD8" w:rsidRPr="00D41BD8" w:rsidRDefault="00D41BD8" w:rsidP="00D41BD8">
      <w:pPr>
        <w:jc w:val="left"/>
        <w:rPr>
          <w:rFonts w:ascii="Arial" w:eastAsia="Times New Roman" w:hAnsi="Arial" w:cs="Arial"/>
          <w:noProof/>
          <w:sz w:val="15"/>
          <w:szCs w:val="15"/>
          <w:lang w:eastAsia="fr-FR"/>
        </w:rPr>
      </w:pPr>
    </w:p>
    <w:p w:rsidR="00D41BD8" w:rsidRPr="00D41BD8" w:rsidRDefault="00D41BD8" w:rsidP="00D41BD8">
      <w:pPr>
        <w:jc w:val="left"/>
        <w:rPr>
          <w:rFonts w:ascii="Arial" w:eastAsia="Times New Roman" w:hAnsi="Arial" w:cs="Arial"/>
          <w:noProof/>
          <w:sz w:val="15"/>
          <w:szCs w:val="15"/>
          <w:lang w:eastAsia="fr-FR"/>
        </w:rPr>
      </w:pPr>
    </w:p>
    <w:p w:rsidR="00D41BD8" w:rsidRPr="00D41BD8" w:rsidRDefault="00D41BD8" w:rsidP="00D41BD8">
      <w:pPr>
        <w:jc w:val="left"/>
        <w:rPr>
          <w:rFonts w:ascii="Arial" w:eastAsia="Times New Roman" w:hAnsi="Arial" w:cs="Arial"/>
          <w:noProof/>
          <w:sz w:val="15"/>
          <w:szCs w:val="15"/>
          <w:lang w:eastAsia="fr-FR"/>
        </w:rPr>
      </w:pPr>
    </w:p>
    <w:p w:rsidR="00D41BD8" w:rsidRPr="00D41BD8" w:rsidRDefault="00D41BD8" w:rsidP="00D41BD8">
      <w:pPr>
        <w:jc w:val="left"/>
        <w:rPr>
          <w:rFonts w:ascii="Arial" w:eastAsia="Times New Roman" w:hAnsi="Arial" w:cs="Arial"/>
          <w:noProof/>
          <w:sz w:val="15"/>
          <w:szCs w:val="15"/>
          <w:lang w:eastAsia="fr-FR"/>
        </w:rPr>
      </w:pPr>
    </w:p>
    <w:p w:rsidR="00D41BD8" w:rsidRPr="00D41BD8" w:rsidRDefault="00D41BD8" w:rsidP="00D41BD8">
      <w:pPr>
        <w:jc w:val="both"/>
        <w:rPr>
          <w:rFonts w:ascii="Times New Roman" w:eastAsia="Times New Roman" w:hAnsi="Times New Roman" w:cs="Times New Roman"/>
          <w:sz w:val="24"/>
          <w:szCs w:val="15"/>
          <w:u w:val="single"/>
          <w:lang w:eastAsia="fr-FR"/>
        </w:rPr>
      </w:pPr>
    </w:p>
    <w:p w:rsidR="00D41BD8" w:rsidRPr="00D41BD8" w:rsidRDefault="00D41BD8" w:rsidP="00D41BD8">
      <w:pPr>
        <w:jc w:val="both"/>
        <w:rPr>
          <w:rFonts w:ascii="Arial" w:eastAsia="Times New Roman" w:hAnsi="Arial" w:cs="Arial"/>
          <w:sz w:val="15"/>
          <w:szCs w:val="15"/>
          <w:lang w:eastAsia="fr-FR"/>
        </w:rPr>
      </w:pPr>
      <w:r w:rsidRPr="00D41BD8">
        <w:rPr>
          <w:rFonts w:ascii="Times New Roman" w:eastAsia="Times New Roman" w:hAnsi="Times New Roman" w:cs="Times New Roman"/>
          <w:b/>
          <w:sz w:val="24"/>
          <w:szCs w:val="15"/>
          <w:lang w:eastAsia="fr-FR"/>
        </w:rPr>
        <w:t>Source:</w:t>
      </w:r>
      <w:r w:rsidRPr="00D41BD8">
        <w:rPr>
          <w:rFonts w:ascii="Times New Roman" w:eastAsia="Times New Roman" w:hAnsi="Times New Roman" w:cs="Times New Roman"/>
          <w:sz w:val="24"/>
          <w:szCs w:val="15"/>
          <w:lang w:eastAsia="fr-FR"/>
        </w:rPr>
        <w:t xml:space="preserve"> </w:t>
      </w:r>
      <w:r w:rsidRPr="00D41BD8">
        <w:rPr>
          <w:rFonts w:ascii="Times New Roman" w:hAnsi="Times New Roman" w:cs="Times New Roman"/>
          <w:sz w:val="24"/>
          <w:szCs w:val="15"/>
        </w:rPr>
        <w:t>Brun Stéphane, «</w:t>
      </w:r>
      <w:r w:rsidRPr="00D41BD8">
        <w:rPr>
          <w:rFonts w:ascii="Times New Roman" w:hAnsi="Times New Roman" w:cs="Times New Roman"/>
          <w:i/>
          <w:sz w:val="24"/>
          <w:szCs w:val="15"/>
          <w:u w:val="single"/>
        </w:rPr>
        <w:t> L'essentiel des Normes Comptables internationales IAS/IFRS</w:t>
      </w:r>
      <w:r w:rsidRPr="00D41BD8">
        <w:rPr>
          <w:rFonts w:ascii="Times New Roman" w:hAnsi="Times New Roman" w:cs="Times New Roman"/>
          <w:sz w:val="24"/>
          <w:szCs w:val="15"/>
        </w:rPr>
        <w:t xml:space="preserve"> », Édit </w:t>
      </w:r>
      <w:proofErr w:type="spellStart"/>
      <w:r w:rsidRPr="00D41BD8">
        <w:rPr>
          <w:rFonts w:ascii="Times New Roman" w:hAnsi="Times New Roman" w:cs="Times New Roman"/>
          <w:sz w:val="24"/>
          <w:szCs w:val="15"/>
        </w:rPr>
        <w:t>Gualino</w:t>
      </w:r>
      <w:proofErr w:type="spellEnd"/>
      <w:r w:rsidRPr="00D41BD8">
        <w:rPr>
          <w:rFonts w:ascii="Times New Roman" w:hAnsi="Times New Roman" w:cs="Times New Roman"/>
          <w:sz w:val="24"/>
          <w:szCs w:val="15"/>
        </w:rPr>
        <w:t xml:space="preserve">, 2004, </w:t>
      </w:r>
      <w:r w:rsidRPr="00D41BD8">
        <w:rPr>
          <w:rFonts w:ascii="Times New Roman" w:eastAsia="Times New Roman" w:hAnsi="Times New Roman" w:cs="Times New Roman"/>
          <w:sz w:val="24"/>
          <w:szCs w:val="15"/>
          <w:lang w:eastAsia="fr-FR"/>
        </w:rPr>
        <w:t>p.27.</w:t>
      </w:r>
    </w:p>
    <w:p w:rsidR="00D41BD8" w:rsidRPr="00D41BD8" w:rsidRDefault="00D41BD8" w:rsidP="00D41BD8">
      <w:pPr>
        <w:jc w:val="left"/>
        <w:rPr>
          <w:rFonts w:ascii="Arial" w:eastAsia="Times New Roman" w:hAnsi="Arial" w:cs="Arial"/>
          <w:sz w:val="15"/>
          <w:szCs w:val="15"/>
          <w:lang w:eastAsia="fr-FR"/>
        </w:rPr>
      </w:pPr>
    </w:p>
    <w:p w:rsidR="00D41BD8" w:rsidRPr="00D41BD8" w:rsidRDefault="00D41BD8" w:rsidP="00D41BD8">
      <w:pPr>
        <w:spacing w:before="0" w:beforeAutospacing="0" w:after="200" w:afterAutospacing="0" w:line="276" w:lineRule="auto"/>
        <w:jc w:val="both"/>
        <w:rPr>
          <w:rFonts w:ascii="Garamond" w:hAnsi="Garamond"/>
          <w:b/>
          <w:i/>
        </w:rPr>
      </w:pPr>
      <w:r w:rsidRPr="00D41BD8">
        <w:rPr>
          <w:rFonts w:ascii="Times New Roman" w:eastAsia="Times New Roman" w:hAnsi="Times New Roman" w:cs="Times New Roman"/>
          <w:b/>
          <w:bCs/>
          <w:i/>
          <w:sz w:val="24"/>
          <w:szCs w:val="24"/>
          <w:lang w:eastAsia="fr-FR"/>
        </w:rPr>
        <w:lastRenderedPageBreak/>
        <w:t>3.3.2. Autres normalisateurs internationaux</w:t>
      </w:r>
      <w:r w:rsidRPr="00D41BD8">
        <w:rPr>
          <w:rFonts w:ascii="Times New Roman" w:eastAsia="Times New Roman" w:hAnsi="Times New Roman" w:cs="Times New Roman"/>
          <w:b/>
          <w:bCs/>
          <w:i/>
          <w:sz w:val="24"/>
          <w:szCs w:val="24"/>
          <w:vertAlign w:val="superscript"/>
          <w:lang w:eastAsia="fr-FR"/>
        </w:rPr>
        <w:footnoteReference w:id="47"/>
      </w:r>
    </w:p>
    <w:p w:rsidR="00D41BD8" w:rsidRPr="00D41BD8" w:rsidRDefault="00D41BD8" w:rsidP="002A3F16">
      <w:pPr>
        <w:numPr>
          <w:ilvl w:val="0"/>
          <w:numId w:val="7"/>
        </w:numPr>
        <w:spacing w:before="0" w:beforeAutospacing="0" w:after="200" w:afterAutospacing="0" w:line="276" w:lineRule="auto"/>
        <w:contextualSpacing/>
        <w:jc w:val="left"/>
        <w:rPr>
          <w:rFonts w:ascii="Times New Roman" w:hAnsi="Times New Roman" w:cs="Times New Roman"/>
          <w:b/>
          <w:sz w:val="24"/>
        </w:rPr>
      </w:pPr>
      <w:r w:rsidRPr="00D41BD8">
        <w:rPr>
          <w:rFonts w:ascii="Times New Roman" w:hAnsi="Times New Roman" w:cs="Times New Roman"/>
          <w:b/>
          <w:sz w:val="24"/>
        </w:rPr>
        <w:t xml:space="preserve">L'International </w:t>
      </w:r>
      <w:proofErr w:type="spellStart"/>
      <w:r w:rsidRPr="00D41BD8">
        <w:rPr>
          <w:rFonts w:ascii="Times New Roman" w:hAnsi="Times New Roman" w:cs="Times New Roman"/>
          <w:b/>
          <w:sz w:val="24"/>
        </w:rPr>
        <w:t>Federation</w:t>
      </w:r>
      <w:proofErr w:type="spellEnd"/>
      <w:r w:rsidRPr="00D41BD8">
        <w:rPr>
          <w:rFonts w:ascii="Times New Roman" w:hAnsi="Times New Roman" w:cs="Times New Roman"/>
          <w:b/>
          <w:sz w:val="24"/>
        </w:rPr>
        <w:t xml:space="preserve"> of </w:t>
      </w:r>
      <w:proofErr w:type="spellStart"/>
      <w:r w:rsidRPr="00D41BD8">
        <w:rPr>
          <w:rFonts w:ascii="Times New Roman" w:hAnsi="Times New Roman" w:cs="Times New Roman"/>
          <w:b/>
          <w:sz w:val="24"/>
        </w:rPr>
        <w:t>Accountants</w:t>
      </w:r>
      <w:proofErr w:type="spellEnd"/>
    </w:p>
    <w:p w:rsidR="00D41BD8" w:rsidRPr="00D41BD8" w:rsidRDefault="00D41BD8" w:rsidP="00D41BD8">
      <w:pPr>
        <w:spacing w:before="0" w:beforeAutospacing="0" w:after="200" w:afterAutospacing="0" w:line="276" w:lineRule="auto"/>
        <w:ind w:firstLine="284"/>
        <w:jc w:val="both"/>
        <w:rPr>
          <w:rFonts w:ascii="Times New Roman" w:hAnsi="Times New Roman" w:cs="Times New Roman"/>
          <w:sz w:val="24"/>
          <w:szCs w:val="24"/>
        </w:rPr>
      </w:pPr>
      <w:r w:rsidRPr="00D41BD8">
        <w:rPr>
          <w:rFonts w:ascii="Times New Roman" w:hAnsi="Times New Roman" w:cs="Times New Roman"/>
          <w:sz w:val="24"/>
          <w:szCs w:val="24"/>
        </w:rPr>
        <w:t>L'</w:t>
      </w:r>
      <w:bookmarkStart w:id="2" w:name="ifac"/>
      <w:r w:rsidRPr="00D41BD8">
        <w:rPr>
          <w:rFonts w:ascii="Times New Roman" w:hAnsi="Times New Roman" w:cs="Times New Roman"/>
          <w:b/>
          <w:bCs/>
          <w:i/>
          <w:iCs/>
          <w:sz w:val="24"/>
          <w:szCs w:val="24"/>
        </w:rPr>
        <w:t>IFAC</w:t>
      </w:r>
      <w:bookmarkEnd w:id="2"/>
      <w:r w:rsidRPr="00D41BD8">
        <w:rPr>
          <w:rFonts w:ascii="Times New Roman" w:hAnsi="Times New Roman" w:cs="Times New Roman"/>
          <w:sz w:val="24"/>
          <w:szCs w:val="24"/>
        </w:rPr>
        <w:t xml:space="preserve"> est une organisation internationale de droit privé créée en 1977 dont le siège se situe à New York. L'</w:t>
      </w:r>
      <w:r w:rsidRPr="00D41BD8">
        <w:rPr>
          <w:rFonts w:ascii="Times New Roman" w:hAnsi="Times New Roman" w:cs="Times New Roman"/>
          <w:b/>
          <w:bCs/>
          <w:i/>
          <w:iCs/>
          <w:sz w:val="24"/>
          <w:szCs w:val="24"/>
        </w:rPr>
        <w:t>IFAC</w:t>
      </w:r>
      <w:r w:rsidRPr="00D41BD8">
        <w:rPr>
          <w:rFonts w:ascii="Times New Roman" w:hAnsi="Times New Roman" w:cs="Times New Roman"/>
          <w:sz w:val="24"/>
          <w:szCs w:val="24"/>
        </w:rPr>
        <w:t xml:space="preserve"> regroupe les organisations professionnelles comptables d'environ quatre-vingt pays dont la France, représentée par l'</w:t>
      </w:r>
      <w:r w:rsidRPr="00D41BD8">
        <w:rPr>
          <w:rFonts w:ascii="Times New Roman" w:hAnsi="Times New Roman" w:cs="Times New Roman"/>
          <w:i/>
          <w:iCs/>
          <w:sz w:val="24"/>
          <w:szCs w:val="24"/>
        </w:rPr>
        <w:t>OEC</w:t>
      </w:r>
      <w:r w:rsidRPr="00D41BD8">
        <w:rPr>
          <w:rFonts w:ascii="Times New Roman" w:hAnsi="Times New Roman" w:cs="Times New Roman"/>
          <w:sz w:val="24"/>
          <w:szCs w:val="24"/>
        </w:rPr>
        <w:t xml:space="preserve"> et la </w:t>
      </w:r>
      <w:r w:rsidRPr="00D41BD8">
        <w:rPr>
          <w:rFonts w:ascii="Times New Roman" w:hAnsi="Times New Roman" w:cs="Times New Roman"/>
          <w:i/>
          <w:iCs/>
          <w:sz w:val="24"/>
          <w:szCs w:val="24"/>
        </w:rPr>
        <w:t>CNCC</w:t>
      </w:r>
      <w:r w:rsidRPr="00D41BD8">
        <w:rPr>
          <w:rFonts w:ascii="Times New Roman" w:hAnsi="Times New Roman" w:cs="Times New Roman"/>
          <w:sz w:val="24"/>
          <w:szCs w:val="24"/>
        </w:rPr>
        <w:t>.</w:t>
      </w:r>
    </w:p>
    <w:p w:rsidR="00D41BD8" w:rsidRPr="00D41BD8" w:rsidRDefault="00D41BD8" w:rsidP="00D41BD8">
      <w:pPr>
        <w:spacing w:before="0" w:beforeAutospacing="0" w:after="200" w:afterAutospacing="0" w:line="276" w:lineRule="auto"/>
        <w:ind w:firstLine="284"/>
        <w:jc w:val="both"/>
        <w:rPr>
          <w:rFonts w:ascii="Times New Roman" w:hAnsi="Times New Roman" w:cs="Times New Roman"/>
          <w:sz w:val="24"/>
          <w:szCs w:val="24"/>
        </w:rPr>
      </w:pPr>
      <w:r w:rsidRPr="00D41BD8">
        <w:rPr>
          <w:rFonts w:ascii="Times New Roman" w:hAnsi="Times New Roman" w:cs="Times New Roman"/>
          <w:sz w:val="24"/>
          <w:szCs w:val="24"/>
        </w:rPr>
        <w:t>L'</w:t>
      </w:r>
      <w:r w:rsidRPr="00D41BD8">
        <w:rPr>
          <w:rFonts w:ascii="Times New Roman" w:hAnsi="Times New Roman" w:cs="Times New Roman"/>
          <w:i/>
          <w:iCs/>
          <w:sz w:val="24"/>
          <w:szCs w:val="24"/>
        </w:rPr>
        <w:t>IFAC</w:t>
      </w:r>
      <w:r w:rsidRPr="00D41BD8">
        <w:rPr>
          <w:rFonts w:ascii="Times New Roman" w:hAnsi="Times New Roman" w:cs="Times New Roman"/>
          <w:sz w:val="24"/>
          <w:szCs w:val="24"/>
        </w:rPr>
        <w:t xml:space="preserve"> émet des recommandations concernant l'audit, la comptabilité de gestion, la formation des personnels comptables et l'éthique professionnelle. Ces recommandations s'imposent aux membres des organisations professionnelles adhérentes mais pas aux entreprises.</w:t>
      </w:r>
    </w:p>
    <w:p w:rsidR="00D41BD8" w:rsidRPr="00D41BD8" w:rsidRDefault="00D41BD8" w:rsidP="002A3F16">
      <w:pPr>
        <w:numPr>
          <w:ilvl w:val="0"/>
          <w:numId w:val="7"/>
        </w:numPr>
        <w:spacing w:before="0" w:beforeAutospacing="0" w:after="200" w:afterAutospacing="0" w:line="276" w:lineRule="auto"/>
        <w:contextualSpacing/>
        <w:jc w:val="left"/>
        <w:rPr>
          <w:rFonts w:ascii="Times New Roman" w:hAnsi="Times New Roman" w:cs="Times New Roman"/>
          <w:b/>
          <w:sz w:val="24"/>
        </w:rPr>
      </w:pPr>
      <w:r w:rsidRPr="00D41BD8">
        <w:rPr>
          <w:rFonts w:ascii="Times New Roman" w:hAnsi="Times New Roman" w:cs="Times New Roman"/>
          <w:b/>
          <w:sz w:val="24"/>
        </w:rPr>
        <w:t>L'Organisation Internationale des Commissions de Valeurs (</w:t>
      </w:r>
      <w:bookmarkStart w:id="3" w:name="oicv"/>
      <w:r w:rsidRPr="00D41BD8">
        <w:rPr>
          <w:rFonts w:ascii="Times New Roman" w:hAnsi="Times New Roman" w:cs="Times New Roman"/>
          <w:b/>
          <w:sz w:val="24"/>
        </w:rPr>
        <w:t>OICV</w:t>
      </w:r>
      <w:bookmarkEnd w:id="3"/>
      <w:r w:rsidRPr="00D41BD8">
        <w:rPr>
          <w:rFonts w:ascii="Times New Roman" w:hAnsi="Times New Roman" w:cs="Times New Roman"/>
          <w:b/>
          <w:sz w:val="24"/>
        </w:rPr>
        <w:t xml:space="preserve"> ou </w:t>
      </w:r>
      <w:bookmarkStart w:id="4" w:name="iosco"/>
      <w:r w:rsidRPr="00D41BD8">
        <w:rPr>
          <w:rFonts w:ascii="Times New Roman" w:hAnsi="Times New Roman" w:cs="Times New Roman"/>
          <w:b/>
          <w:sz w:val="24"/>
        </w:rPr>
        <w:t>IOSCO</w:t>
      </w:r>
      <w:bookmarkEnd w:id="4"/>
      <w:r w:rsidRPr="00D41BD8">
        <w:rPr>
          <w:rFonts w:ascii="Times New Roman" w:hAnsi="Times New Roman" w:cs="Times New Roman"/>
          <w:b/>
          <w:sz w:val="24"/>
        </w:rPr>
        <w:t>)</w:t>
      </w:r>
    </w:p>
    <w:p w:rsidR="00D41BD8" w:rsidRPr="00D41BD8" w:rsidRDefault="00D41BD8" w:rsidP="00D41BD8">
      <w:pPr>
        <w:spacing w:before="0" w:beforeAutospacing="0" w:after="200" w:afterAutospacing="0" w:line="276" w:lineRule="auto"/>
        <w:ind w:firstLine="284"/>
        <w:jc w:val="both"/>
        <w:rPr>
          <w:rFonts w:ascii="Times New Roman" w:hAnsi="Times New Roman" w:cs="Times New Roman"/>
          <w:sz w:val="24"/>
        </w:rPr>
      </w:pPr>
      <w:r w:rsidRPr="00D41BD8">
        <w:rPr>
          <w:rFonts w:ascii="Times New Roman" w:hAnsi="Times New Roman" w:cs="Times New Roman"/>
          <w:sz w:val="24"/>
        </w:rPr>
        <w:t>L'</w:t>
      </w:r>
      <w:r w:rsidRPr="00D41BD8">
        <w:rPr>
          <w:rFonts w:ascii="Times New Roman" w:hAnsi="Times New Roman" w:cs="Times New Roman"/>
          <w:b/>
          <w:bCs/>
          <w:i/>
          <w:iCs/>
          <w:sz w:val="24"/>
        </w:rPr>
        <w:t xml:space="preserve">OICV </w:t>
      </w:r>
      <w:r w:rsidRPr="00D41BD8">
        <w:rPr>
          <w:rFonts w:ascii="Times New Roman" w:hAnsi="Times New Roman" w:cs="Times New Roman"/>
          <w:sz w:val="24"/>
          <w:szCs w:val="24"/>
        </w:rPr>
        <w:t>regroupe</w:t>
      </w:r>
      <w:r w:rsidRPr="00D41BD8">
        <w:rPr>
          <w:rFonts w:ascii="Times New Roman" w:hAnsi="Times New Roman" w:cs="Times New Roman"/>
          <w:sz w:val="24"/>
        </w:rPr>
        <w:t xml:space="preserve"> les institutions chargées de la surveillance des marchés boursiers telle la </w:t>
      </w:r>
      <w:r w:rsidRPr="00D41BD8">
        <w:rPr>
          <w:rFonts w:ascii="Times New Roman" w:hAnsi="Times New Roman" w:cs="Times New Roman"/>
          <w:i/>
          <w:iCs/>
          <w:sz w:val="24"/>
        </w:rPr>
        <w:t xml:space="preserve">COB </w:t>
      </w:r>
      <w:r w:rsidRPr="00D41BD8">
        <w:rPr>
          <w:rFonts w:ascii="Times New Roman" w:hAnsi="Times New Roman" w:cs="Times New Roman"/>
          <w:sz w:val="24"/>
        </w:rPr>
        <w:t xml:space="preserve">pour la France. La </w:t>
      </w:r>
      <w:r w:rsidRPr="00D41BD8">
        <w:rPr>
          <w:rFonts w:ascii="Times New Roman" w:hAnsi="Times New Roman" w:cs="Times New Roman"/>
          <w:i/>
          <w:iCs/>
          <w:sz w:val="24"/>
        </w:rPr>
        <w:t xml:space="preserve">SEC </w:t>
      </w:r>
      <w:r w:rsidRPr="00D41BD8">
        <w:rPr>
          <w:rFonts w:ascii="Times New Roman" w:hAnsi="Times New Roman" w:cs="Times New Roman"/>
          <w:sz w:val="24"/>
        </w:rPr>
        <w:t>y joue un rôle important. L'avenir des normes publiées par l'</w:t>
      </w:r>
      <w:r w:rsidRPr="00D41BD8">
        <w:rPr>
          <w:rFonts w:ascii="Times New Roman" w:hAnsi="Times New Roman" w:cs="Times New Roman"/>
          <w:i/>
          <w:iCs/>
          <w:sz w:val="24"/>
        </w:rPr>
        <w:t xml:space="preserve">IASB </w:t>
      </w:r>
      <w:r w:rsidRPr="00D41BD8">
        <w:rPr>
          <w:rFonts w:ascii="Times New Roman" w:hAnsi="Times New Roman" w:cs="Times New Roman"/>
          <w:sz w:val="24"/>
        </w:rPr>
        <w:t>(</w:t>
      </w:r>
      <w:r w:rsidRPr="00D41BD8">
        <w:rPr>
          <w:rFonts w:ascii="Times New Roman" w:hAnsi="Times New Roman" w:cs="Times New Roman"/>
          <w:i/>
          <w:iCs/>
          <w:sz w:val="24"/>
        </w:rPr>
        <w:t>IAS/IFRS</w:t>
      </w:r>
      <w:r w:rsidRPr="00D41BD8">
        <w:rPr>
          <w:rFonts w:ascii="Times New Roman" w:hAnsi="Times New Roman" w:cs="Times New Roman"/>
          <w:sz w:val="24"/>
        </w:rPr>
        <w:t>) dépend largement de l'</w:t>
      </w:r>
      <w:r w:rsidRPr="00D41BD8">
        <w:rPr>
          <w:rFonts w:ascii="Times New Roman" w:hAnsi="Times New Roman" w:cs="Times New Roman"/>
          <w:i/>
          <w:iCs/>
          <w:sz w:val="24"/>
        </w:rPr>
        <w:t>OICV</w:t>
      </w:r>
      <w:r w:rsidRPr="00D41BD8">
        <w:rPr>
          <w:rFonts w:ascii="Times New Roman" w:hAnsi="Times New Roman" w:cs="Times New Roman"/>
          <w:sz w:val="24"/>
        </w:rPr>
        <w:t xml:space="preserve">. En effet, pour que les normes </w:t>
      </w:r>
      <w:r w:rsidRPr="00D41BD8">
        <w:rPr>
          <w:rFonts w:ascii="Times New Roman" w:hAnsi="Times New Roman" w:cs="Times New Roman"/>
          <w:i/>
          <w:iCs/>
          <w:sz w:val="24"/>
        </w:rPr>
        <w:t xml:space="preserve">IAS/IFRS </w:t>
      </w:r>
      <w:r w:rsidRPr="00D41BD8">
        <w:rPr>
          <w:rFonts w:ascii="Times New Roman" w:hAnsi="Times New Roman" w:cs="Times New Roman"/>
          <w:sz w:val="24"/>
        </w:rPr>
        <w:t>soient reconnues sur l'ensemble des places boursières, il doit y avoir un agrément unanime des membres de l'</w:t>
      </w:r>
      <w:r w:rsidRPr="00D41BD8">
        <w:rPr>
          <w:rFonts w:ascii="Times New Roman" w:hAnsi="Times New Roman" w:cs="Times New Roman"/>
          <w:i/>
          <w:iCs/>
          <w:sz w:val="24"/>
        </w:rPr>
        <w:t>OICV</w:t>
      </w:r>
      <w:r w:rsidRPr="00D41BD8">
        <w:rPr>
          <w:rFonts w:ascii="Times New Roman" w:hAnsi="Times New Roman" w:cs="Times New Roman"/>
          <w:sz w:val="24"/>
        </w:rPr>
        <w:t xml:space="preserve">. Or, certains membres tels que les U.S.A., le Canada ou le Japon sont encore réticents quant à l'adoption des normes </w:t>
      </w:r>
      <w:r w:rsidRPr="00D41BD8">
        <w:rPr>
          <w:rFonts w:ascii="Times New Roman" w:hAnsi="Times New Roman" w:cs="Times New Roman"/>
          <w:i/>
          <w:iCs/>
          <w:sz w:val="24"/>
        </w:rPr>
        <w:t>IAS/IFRS</w:t>
      </w:r>
      <w:r w:rsidRPr="00D41BD8">
        <w:rPr>
          <w:rFonts w:ascii="Times New Roman" w:hAnsi="Times New Roman" w:cs="Times New Roman"/>
          <w:sz w:val="24"/>
        </w:rPr>
        <w:t>.</w:t>
      </w:r>
    </w:p>
    <w:p w:rsidR="00D41BD8" w:rsidRPr="00D41BD8" w:rsidRDefault="00D41BD8" w:rsidP="002A3F16">
      <w:pPr>
        <w:numPr>
          <w:ilvl w:val="0"/>
          <w:numId w:val="7"/>
        </w:numPr>
        <w:spacing w:before="0" w:beforeAutospacing="0" w:after="200" w:afterAutospacing="0" w:line="276" w:lineRule="auto"/>
        <w:contextualSpacing/>
        <w:jc w:val="left"/>
        <w:rPr>
          <w:rFonts w:ascii="Times New Roman" w:hAnsi="Times New Roman" w:cs="Times New Roman"/>
          <w:b/>
          <w:sz w:val="24"/>
        </w:rPr>
      </w:pPr>
      <w:r w:rsidRPr="00D41BD8">
        <w:rPr>
          <w:rFonts w:ascii="Times New Roman" w:hAnsi="Times New Roman" w:cs="Times New Roman"/>
          <w:b/>
          <w:sz w:val="24"/>
        </w:rPr>
        <w:t>L'O.N.U.</w:t>
      </w:r>
    </w:p>
    <w:p w:rsidR="00D41BD8" w:rsidRPr="00D41BD8" w:rsidRDefault="00D41BD8" w:rsidP="00D41BD8">
      <w:pPr>
        <w:spacing w:before="0" w:beforeAutospacing="0" w:after="200" w:afterAutospacing="0" w:line="276" w:lineRule="auto"/>
        <w:ind w:firstLine="284"/>
        <w:jc w:val="both"/>
        <w:rPr>
          <w:rFonts w:ascii="Times New Roman" w:hAnsi="Times New Roman" w:cs="Times New Roman"/>
          <w:sz w:val="24"/>
        </w:rPr>
      </w:pPr>
      <w:r w:rsidRPr="00D41BD8">
        <w:rPr>
          <w:rFonts w:ascii="Times New Roman" w:hAnsi="Times New Roman" w:cs="Times New Roman"/>
          <w:sz w:val="24"/>
        </w:rPr>
        <w:t>Le Groupe de travail intergouvernemental d'experts des normes internationales de comptabilité et la Commission des sociétés transnationales du Conseil économique et social de l'</w:t>
      </w:r>
      <w:r w:rsidRPr="00D41BD8">
        <w:rPr>
          <w:rFonts w:ascii="Times New Roman" w:hAnsi="Times New Roman" w:cs="Times New Roman"/>
          <w:i/>
          <w:iCs/>
          <w:sz w:val="24"/>
        </w:rPr>
        <w:t>O.N.U.</w:t>
      </w:r>
      <w:r w:rsidRPr="00D41BD8">
        <w:rPr>
          <w:rFonts w:ascii="Times New Roman" w:hAnsi="Times New Roman" w:cs="Times New Roman"/>
          <w:sz w:val="24"/>
        </w:rPr>
        <w:t xml:space="preserve"> ont publié, en 1985, un rapport portant sur les informations que les sociétés transnationales devraient obligatoirement publier. </w:t>
      </w:r>
    </w:p>
    <w:p w:rsidR="00D41BD8" w:rsidRPr="00D41BD8" w:rsidRDefault="00D41BD8" w:rsidP="00D41BD8">
      <w:pPr>
        <w:spacing w:before="0" w:beforeAutospacing="0" w:after="200" w:afterAutospacing="0" w:line="276" w:lineRule="auto"/>
        <w:ind w:firstLine="284"/>
        <w:jc w:val="both"/>
        <w:rPr>
          <w:rFonts w:ascii="Times New Roman" w:hAnsi="Times New Roman" w:cs="Times New Roman"/>
          <w:sz w:val="24"/>
        </w:rPr>
      </w:pPr>
      <w:r w:rsidRPr="00D41BD8">
        <w:rPr>
          <w:rFonts w:ascii="Times New Roman" w:hAnsi="Times New Roman" w:cs="Times New Roman"/>
          <w:sz w:val="24"/>
        </w:rPr>
        <w:t>Les organes publient des rapports et guides qui n'ont qu'un caractère d'information à l'adresse des états membres.</w:t>
      </w:r>
    </w:p>
    <w:p w:rsidR="00D41BD8" w:rsidRPr="00D41BD8" w:rsidRDefault="00D41BD8" w:rsidP="002A3F16">
      <w:pPr>
        <w:numPr>
          <w:ilvl w:val="0"/>
          <w:numId w:val="7"/>
        </w:numPr>
        <w:spacing w:before="0" w:beforeAutospacing="0" w:after="200" w:afterAutospacing="0" w:line="276" w:lineRule="auto"/>
        <w:contextualSpacing/>
        <w:jc w:val="left"/>
        <w:rPr>
          <w:rFonts w:ascii="Times New Roman" w:hAnsi="Times New Roman" w:cs="Times New Roman"/>
          <w:b/>
          <w:sz w:val="24"/>
        </w:rPr>
      </w:pPr>
      <w:r w:rsidRPr="00D41BD8">
        <w:rPr>
          <w:rFonts w:ascii="Times New Roman" w:hAnsi="Times New Roman" w:cs="Times New Roman"/>
          <w:b/>
          <w:sz w:val="24"/>
        </w:rPr>
        <w:t>L'O.C.D.E.</w:t>
      </w:r>
    </w:p>
    <w:p w:rsidR="00D41BD8" w:rsidRPr="00D41BD8" w:rsidRDefault="00D41BD8" w:rsidP="00D41BD8">
      <w:pPr>
        <w:spacing w:before="0" w:beforeAutospacing="0" w:after="200" w:afterAutospacing="0" w:line="276" w:lineRule="auto"/>
        <w:ind w:firstLine="284"/>
        <w:jc w:val="both"/>
        <w:rPr>
          <w:rFonts w:ascii="Times New Roman" w:hAnsi="Times New Roman" w:cs="Times New Roman"/>
          <w:sz w:val="24"/>
        </w:rPr>
      </w:pPr>
      <w:r w:rsidRPr="00D41BD8">
        <w:rPr>
          <w:rFonts w:ascii="Times New Roman" w:hAnsi="Times New Roman" w:cs="Times New Roman"/>
          <w:sz w:val="24"/>
        </w:rPr>
        <w:t>L'Organisation de Coopération et de Développement Economique, dont le siège se situe à Paris, comprend un groupe de travail sur les normes de comptabilité dont l'objectif est de stimuler les activités menant à l'établissement de normes de comptabilités dans les états membres.</w:t>
      </w:r>
    </w:p>
    <w:p w:rsidR="00D41BD8" w:rsidRPr="00D41BD8" w:rsidRDefault="00D41BD8" w:rsidP="00D41BD8">
      <w:pPr>
        <w:spacing w:before="0" w:beforeAutospacing="0" w:after="200" w:afterAutospacing="0" w:line="276" w:lineRule="auto"/>
        <w:ind w:firstLine="284"/>
        <w:jc w:val="both"/>
        <w:rPr>
          <w:rFonts w:ascii="Times New Roman" w:hAnsi="Times New Roman" w:cs="Times New Roman"/>
          <w:sz w:val="24"/>
        </w:rPr>
      </w:pPr>
      <w:r w:rsidRPr="00D41BD8">
        <w:rPr>
          <w:rFonts w:ascii="Times New Roman" w:hAnsi="Times New Roman" w:cs="Times New Roman"/>
          <w:sz w:val="24"/>
        </w:rPr>
        <w:t>L'influence de ces deux organisations s'est progressivement effacée face à la primauté de l'</w:t>
      </w:r>
      <w:r w:rsidRPr="00D41BD8">
        <w:rPr>
          <w:rFonts w:ascii="Times New Roman" w:hAnsi="Times New Roman" w:cs="Times New Roman"/>
          <w:i/>
          <w:iCs/>
          <w:sz w:val="24"/>
        </w:rPr>
        <w:t>IASC</w:t>
      </w:r>
      <w:r w:rsidRPr="00D41BD8">
        <w:rPr>
          <w:rFonts w:ascii="Times New Roman" w:hAnsi="Times New Roman" w:cs="Times New Roman"/>
          <w:sz w:val="24"/>
        </w:rPr>
        <w:t>.</w:t>
      </w:r>
    </w:p>
    <w:p w:rsidR="00D41BD8" w:rsidRPr="00D41BD8" w:rsidRDefault="00D41BD8" w:rsidP="00D41BD8">
      <w:pPr>
        <w:spacing w:before="0" w:beforeAutospacing="0" w:after="200" w:afterAutospacing="0" w:line="276" w:lineRule="auto"/>
        <w:jc w:val="both"/>
        <w:rPr>
          <w:rFonts w:ascii="Times New Roman" w:eastAsia="Times New Roman" w:hAnsi="Times New Roman" w:cs="Times New Roman"/>
          <w:sz w:val="24"/>
          <w:szCs w:val="24"/>
          <w:lang w:eastAsia="fr-FR"/>
        </w:rPr>
      </w:pPr>
    </w:p>
    <w:p w:rsidR="00D41BD8" w:rsidRPr="00D41BD8" w:rsidRDefault="00D41BD8" w:rsidP="00D41BD8">
      <w:pPr>
        <w:spacing w:before="0" w:beforeAutospacing="0" w:after="200" w:afterAutospacing="0" w:line="276" w:lineRule="auto"/>
        <w:jc w:val="both"/>
        <w:rPr>
          <w:rFonts w:ascii="Times New Roman" w:eastAsia="Times New Roman" w:hAnsi="Times New Roman" w:cs="Times New Roman"/>
          <w:sz w:val="24"/>
          <w:szCs w:val="24"/>
          <w:lang w:eastAsia="fr-FR"/>
        </w:rPr>
      </w:pPr>
    </w:p>
    <w:p w:rsidR="00D41BD8" w:rsidRPr="00D41BD8" w:rsidRDefault="00D41BD8" w:rsidP="00D41BD8">
      <w:pPr>
        <w:spacing w:before="0" w:beforeAutospacing="0" w:after="0" w:afterAutospacing="0" w:line="276" w:lineRule="auto"/>
        <w:jc w:val="both"/>
        <w:rPr>
          <w:rFonts w:ascii="Times New Roman" w:eastAsia="Times New Roman" w:hAnsi="Times New Roman" w:cs="Times New Roman"/>
          <w:b/>
          <w:sz w:val="20"/>
          <w:szCs w:val="26"/>
          <w:lang w:eastAsia="fr-FR"/>
        </w:rPr>
      </w:pPr>
    </w:p>
    <w:p w:rsidR="00D41BD8" w:rsidRPr="00D41BD8" w:rsidRDefault="00D41BD8" w:rsidP="00D41BD8">
      <w:pPr>
        <w:spacing w:before="0" w:beforeAutospacing="0" w:after="120" w:afterAutospacing="0" w:line="276" w:lineRule="auto"/>
        <w:jc w:val="both"/>
        <w:rPr>
          <w:rFonts w:ascii="Times New Roman" w:eastAsia="Times New Roman" w:hAnsi="Times New Roman" w:cs="Times New Roman"/>
          <w:b/>
          <w:sz w:val="26"/>
          <w:szCs w:val="26"/>
          <w:lang w:eastAsia="fr-FR"/>
        </w:rPr>
      </w:pPr>
      <w:r w:rsidRPr="00D41BD8">
        <w:rPr>
          <w:rFonts w:ascii="Times New Roman" w:eastAsia="Times New Roman" w:hAnsi="Times New Roman" w:cs="Times New Roman"/>
          <w:b/>
          <w:sz w:val="26"/>
          <w:szCs w:val="26"/>
          <w:lang w:eastAsia="fr-FR"/>
        </w:rPr>
        <w:t>Conclusion du chapitre</w:t>
      </w:r>
    </w:p>
    <w:p w:rsidR="00D41BD8" w:rsidRPr="00D41BD8" w:rsidRDefault="00D41BD8" w:rsidP="00D41BD8">
      <w:pPr>
        <w:spacing w:before="240" w:beforeAutospacing="0" w:after="200" w:afterAutospacing="0" w:line="276" w:lineRule="auto"/>
        <w:ind w:firstLine="284"/>
        <w:jc w:val="both"/>
        <w:rPr>
          <w:rFonts w:ascii="Times New Roman" w:eastAsia="Times New Roman" w:hAnsi="Times New Roman" w:cs="Times New Roman"/>
          <w:sz w:val="24"/>
          <w:szCs w:val="24"/>
          <w:lang w:eastAsia="fr-FR"/>
        </w:rPr>
      </w:pPr>
      <w:r w:rsidRPr="00D41BD8">
        <w:rPr>
          <w:rFonts w:ascii="Times New Roman" w:eastAsia="Times New Roman" w:hAnsi="Times New Roman" w:cs="Times New Roman"/>
          <w:sz w:val="24"/>
          <w:szCs w:val="24"/>
          <w:lang w:eastAsia="fr-FR"/>
        </w:rPr>
        <w:t xml:space="preserve">Dans ces dernières décennies, et en vertu de la globalisation que connaissent les marchés financiers et la concurrence qui s’est développée en matière d’allocation des ressources, on accorde une importance de plus en plus accrue à la qualité de la communication financière, dont le rôle est devenu fondamental pour le bon fonctionnement de ces marchés. C’est là où demeure l’importance de la comptabilité comme processus de production de l’information financière. Une information qui est supposée, dans un tel contexte, refléter une image fidèle de la situation financière des différents groupes cotés, afin de garantir la transparence et une allocation équitable des ressources de financement. Mais, aboutir à cet objectif n’était pas possible sans la mise en place d’un cadre réglementaire uni et convergent. </w:t>
      </w:r>
    </w:p>
    <w:p w:rsidR="00D41BD8" w:rsidRPr="00D41BD8" w:rsidRDefault="00D41BD8" w:rsidP="00D41BD8">
      <w:pPr>
        <w:spacing w:before="240" w:beforeAutospacing="0" w:after="200" w:afterAutospacing="0" w:line="276" w:lineRule="auto"/>
        <w:ind w:firstLine="284"/>
        <w:jc w:val="both"/>
        <w:rPr>
          <w:rFonts w:ascii="Times New Roman" w:eastAsia="Times New Roman" w:hAnsi="Times New Roman" w:cs="Times New Roman"/>
          <w:sz w:val="24"/>
          <w:szCs w:val="24"/>
          <w:lang w:eastAsia="fr-FR"/>
        </w:rPr>
      </w:pPr>
      <w:r w:rsidRPr="00D41BD8">
        <w:rPr>
          <w:rFonts w:ascii="Times New Roman" w:eastAsia="Times New Roman" w:hAnsi="Times New Roman" w:cs="Times New Roman"/>
          <w:sz w:val="24"/>
          <w:szCs w:val="24"/>
          <w:lang w:eastAsia="fr-FR"/>
        </w:rPr>
        <w:t>En effet, la régulation comptable était toujours considérée comme le reflet des phénomènes socio-économiques, ce qui a donné lieu au développement de systèmes comptables divergents à travers le monde. Dès lors, et vu les problèmes rencontrés suite à ces divergences, l’histoire récente de la régulation comptable montre que l’objectif principal accordé au processus de régulation comptable internationale est l’harmonisation des pratiques et règles de préparation et de production d’information financière des différents pays. Dans le but d’accroitre la comparabilité des comptes et faciliter ainsi le processus de prise de décision.</w:t>
      </w:r>
    </w:p>
    <w:p w:rsidR="00D41BD8" w:rsidRPr="00D41BD8" w:rsidRDefault="00D41BD8" w:rsidP="00D41BD8">
      <w:pPr>
        <w:spacing w:before="240" w:beforeAutospacing="0" w:after="200" w:afterAutospacing="0" w:line="276" w:lineRule="auto"/>
        <w:ind w:firstLine="284"/>
        <w:jc w:val="both"/>
        <w:rPr>
          <w:rFonts w:ascii="Times New Roman" w:eastAsia="Times New Roman" w:hAnsi="Times New Roman" w:cs="Times New Roman"/>
          <w:sz w:val="24"/>
          <w:szCs w:val="24"/>
          <w:lang w:eastAsia="fr-FR"/>
        </w:rPr>
      </w:pPr>
      <w:r w:rsidRPr="00D41BD8">
        <w:rPr>
          <w:rFonts w:ascii="Times New Roman" w:eastAsia="Times New Roman" w:hAnsi="Times New Roman" w:cs="Times New Roman"/>
          <w:sz w:val="24"/>
          <w:szCs w:val="24"/>
          <w:lang w:eastAsia="fr-FR"/>
        </w:rPr>
        <w:t>Et là c’est le système comptable anglo-saxon qui a pris le dessous, et le processus d’harmonisation comptable internationale a abouti à la mise en place d’un référentiel comptable international établit par un organisme de normalisation privé, à savoir l’IASB. Effectivement, le rôle de l’IASB comme normalisateur international était déterminant. A l’heure actuelle, les normes produites par cet organisme font l’objet d’inspiration pour les différents normalisateurs nationaux à travers le monde. Même les pays en voie de développement, et malgré que le système financier dans ces pays n’a pas atteint le niveau de développement des marchés internationaux, cherchent à assurer une convergence de leurs systèmes comptables avec le référentiel international.</w:t>
      </w:r>
    </w:p>
    <w:p w:rsidR="00DA0A69" w:rsidRDefault="00D41BD8" w:rsidP="00D41BD8">
      <w:pPr>
        <w:jc w:val="left"/>
        <w:rPr>
          <w:rFonts w:ascii="Times New Roman" w:hAnsi="Times New Roman" w:cs="Times New Roman"/>
          <w:sz w:val="24"/>
        </w:rPr>
      </w:pPr>
      <w:r w:rsidRPr="00D41BD8">
        <w:rPr>
          <w:rFonts w:ascii="Times New Roman" w:eastAsia="Times New Roman" w:hAnsi="Times New Roman" w:cs="Times New Roman"/>
          <w:sz w:val="24"/>
          <w:szCs w:val="24"/>
          <w:lang w:eastAsia="fr-FR"/>
        </w:rPr>
        <w:t>Ce qui nous amène à s’interroger sur l’objet et le contenu de ce référentiel. Aussi, sur l’impact et les conséquences de la transition vers un système convergent à ce référentiel. C’est l’objet du deuxième chapitre qui va traiter plus en détail le contenu du référentiel international et les différents critères qui sont à l’origine de l’impact de sa mise en place, cela en analysant les recherches scientifiques portant sur cet objet.</w:t>
      </w:r>
    </w:p>
    <w:p w:rsidR="00DA0A69" w:rsidRDefault="00DA0A69" w:rsidP="00DA0A69">
      <w:pPr>
        <w:rPr>
          <w:rFonts w:ascii="Times New Roman" w:hAnsi="Times New Roman" w:cs="Times New Roman"/>
          <w:sz w:val="24"/>
        </w:rPr>
      </w:pPr>
    </w:p>
    <w:p w:rsidR="00DA0A69" w:rsidRDefault="00DA0A69" w:rsidP="00DA0A69">
      <w:pPr>
        <w:rPr>
          <w:rFonts w:ascii="Times New Roman" w:hAnsi="Times New Roman" w:cs="Times New Roman"/>
          <w:sz w:val="24"/>
        </w:rPr>
      </w:pPr>
    </w:p>
    <w:p w:rsidR="00D41BD8" w:rsidRDefault="00D41BD8" w:rsidP="00DA0A69">
      <w:pPr>
        <w:rPr>
          <w:rFonts w:ascii="Times New Roman" w:hAnsi="Times New Roman" w:cs="Times New Roman"/>
          <w:sz w:val="24"/>
        </w:rPr>
        <w:sectPr w:rsidR="00D41BD8" w:rsidSect="00DA0A69">
          <w:headerReference w:type="default" r:id="rId19"/>
          <w:pgSz w:w="11906" w:h="16838"/>
          <w:pgMar w:top="1418" w:right="1418" w:bottom="1418" w:left="1418" w:header="709" w:footer="709" w:gutter="567"/>
          <w:cols w:space="708"/>
          <w:docGrid w:linePitch="360"/>
        </w:sectPr>
      </w:pPr>
    </w:p>
    <w:p w:rsidR="00D41BD8" w:rsidRDefault="00D41BD8" w:rsidP="00D41BD8">
      <w:pPr>
        <w:spacing w:before="0" w:beforeAutospacing="0" w:after="200" w:afterAutospacing="0" w:line="276" w:lineRule="auto"/>
        <w:rPr>
          <w:rFonts w:ascii="Times New Roman" w:eastAsia="Calibri" w:hAnsi="Times New Roman" w:cs="Times New Roman"/>
          <w:b/>
          <w:i/>
          <w:sz w:val="36"/>
          <w:szCs w:val="24"/>
        </w:rPr>
      </w:pPr>
    </w:p>
    <w:p w:rsidR="00D41BD8" w:rsidRDefault="00D41BD8" w:rsidP="00D41BD8">
      <w:pPr>
        <w:spacing w:before="0" w:beforeAutospacing="0" w:after="200" w:afterAutospacing="0" w:line="276" w:lineRule="auto"/>
        <w:rPr>
          <w:rFonts w:ascii="Times New Roman" w:eastAsia="Calibri" w:hAnsi="Times New Roman" w:cs="Times New Roman"/>
          <w:b/>
          <w:i/>
          <w:sz w:val="36"/>
          <w:szCs w:val="24"/>
        </w:rPr>
      </w:pPr>
    </w:p>
    <w:p w:rsidR="00D41BD8" w:rsidRPr="00D41BD8" w:rsidRDefault="00D41BD8" w:rsidP="00D41BD8">
      <w:pPr>
        <w:spacing w:before="0" w:beforeAutospacing="0" w:after="200" w:afterAutospacing="0" w:line="276" w:lineRule="auto"/>
        <w:rPr>
          <w:rFonts w:ascii="Times New Roman" w:eastAsia="Calibri" w:hAnsi="Times New Roman" w:cs="Times New Roman"/>
          <w:b/>
          <w:i/>
          <w:sz w:val="36"/>
          <w:szCs w:val="24"/>
        </w:rPr>
      </w:pPr>
      <w:r w:rsidRPr="00D41BD8">
        <w:rPr>
          <w:rFonts w:ascii="Times New Roman" w:eastAsia="Calibri" w:hAnsi="Times New Roman" w:cs="Times New Roman"/>
          <w:b/>
          <w:i/>
          <w:sz w:val="36"/>
          <w:szCs w:val="24"/>
        </w:rPr>
        <w:t>Chapitre 2 : La recherche scientifique en comptabilité et l’impact de la transition aux normes internationales</w:t>
      </w:r>
    </w:p>
    <w:p w:rsidR="00D41BD8" w:rsidRPr="00D41BD8" w:rsidRDefault="00D41BD8" w:rsidP="00D41BD8">
      <w:pPr>
        <w:spacing w:before="0" w:beforeAutospacing="0" w:after="200" w:afterAutospacing="0" w:line="276" w:lineRule="auto"/>
        <w:rPr>
          <w:rFonts w:ascii="Calibri" w:eastAsia="Calibri" w:hAnsi="Calibri" w:cs="Arial"/>
          <w:b/>
          <w:i/>
          <w:sz w:val="36"/>
          <w:szCs w:val="24"/>
        </w:rPr>
      </w:pPr>
    </w:p>
    <w:p w:rsidR="00D41BD8" w:rsidRPr="00D41BD8" w:rsidRDefault="00D41BD8" w:rsidP="00D41BD8">
      <w:pPr>
        <w:spacing w:before="0" w:beforeAutospacing="0" w:after="200" w:afterAutospacing="0" w:line="360" w:lineRule="auto"/>
        <w:ind w:firstLine="284"/>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Les normes comptables internationales viennent concrétiser un nouveau rôle à la comptabilité ainsi qu’à l’information financière produite par les entités économiques. Cela en instaurant de nouvelle règles et méthodes d’évaluation et de comptabilisation. En conséquence, leur mise en place engendra des variations concernant la situation financière des entités.</w:t>
      </w:r>
    </w:p>
    <w:p w:rsidR="00DA0A69" w:rsidRDefault="00D41BD8" w:rsidP="00D41BD8">
      <w:pPr>
        <w:spacing w:before="0" w:beforeAutospacing="0" w:after="200" w:afterAutospacing="0" w:line="360" w:lineRule="auto"/>
        <w:ind w:firstLine="284"/>
        <w:jc w:val="both"/>
        <w:rPr>
          <w:rFonts w:ascii="Times New Roman" w:hAnsi="Times New Roman" w:cs="Times New Roman"/>
          <w:sz w:val="24"/>
        </w:rPr>
      </w:pPr>
      <w:r w:rsidRPr="00D41BD8">
        <w:rPr>
          <w:rFonts w:ascii="Times New Roman" w:eastAsia="Calibri" w:hAnsi="Times New Roman" w:cs="Times New Roman"/>
          <w:sz w:val="24"/>
          <w:szCs w:val="24"/>
        </w:rPr>
        <w:t>De ce fait, plusieurs recherches se sont intéressées à l’étude d’impact des normes internationales sur les entreprises et les marchés financiers. Nous allons essayer à travers ce chapitre de présenter en premier lieu le contenu général des normes internationales en faisant ressortir les plus importants principes qui constituent le cadre fondamental de ces normes. En deuxième lieu, nous nous intéresserons aux recherches menées dans le cadre des nouvelles normes et qui peuvent nous apporter des éléments d’analyse dans notre étude.</w:t>
      </w:r>
    </w:p>
    <w:p w:rsidR="00DA0A69" w:rsidRDefault="00DA0A69" w:rsidP="00DA0A69">
      <w:pPr>
        <w:rPr>
          <w:rFonts w:ascii="Times New Roman" w:hAnsi="Times New Roman" w:cs="Times New Roman"/>
          <w:sz w:val="24"/>
        </w:rPr>
      </w:pPr>
    </w:p>
    <w:p w:rsidR="00D41BD8" w:rsidRDefault="00D41BD8" w:rsidP="00DA0A69">
      <w:pPr>
        <w:rPr>
          <w:rFonts w:ascii="Times New Roman" w:hAnsi="Times New Roman" w:cs="Times New Roman"/>
          <w:sz w:val="24"/>
        </w:rPr>
      </w:pPr>
    </w:p>
    <w:p w:rsidR="00D41BD8" w:rsidRDefault="00D41BD8" w:rsidP="00DA0A69">
      <w:pPr>
        <w:rPr>
          <w:rFonts w:ascii="Times New Roman" w:hAnsi="Times New Roman" w:cs="Times New Roman"/>
          <w:sz w:val="24"/>
        </w:rPr>
      </w:pPr>
    </w:p>
    <w:p w:rsidR="00D41BD8" w:rsidRDefault="00D41BD8" w:rsidP="00DA0A69">
      <w:pPr>
        <w:rPr>
          <w:rFonts w:ascii="Times New Roman" w:hAnsi="Times New Roman" w:cs="Times New Roman"/>
          <w:sz w:val="24"/>
        </w:rPr>
      </w:pPr>
    </w:p>
    <w:p w:rsidR="00D41BD8" w:rsidRDefault="00D41BD8" w:rsidP="00DA0A69">
      <w:pPr>
        <w:rPr>
          <w:rFonts w:ascii="Times New Roman" w:hAnsi="Times New Roman" w:cs="Times New Roman"/>
          <w:sz w:val="24"/>
        </w:rPr>
      </w:pPr>
    </w:p>
    <w:p w:rsidR="00D41BD8" w:rsidRDefault="00D41BD8" w:rsidP="00DA0A69">
      <w:pPr>
        <w:rPr>
          <w:rFonts w:ascii="Times New Roman" w:hAnsi="Times New Roman" w:cs="Times New Roman"/>
          <w:sz w:val="24"/>
        </w:rPr>
      </w:pPr>
    </w:p>
    <w:p w:rsidR="00D41BD8" w:rsidRDefault="00D41BD8" w:rsidP="00DA0A69">
      <w:pPr>
        <w:rPr>
          <w:rFonts w:ascii="Times New Roman" w:hAnsi="Times New Roman" w:cs="Times New Roman"/>
          <w:sz w:val="24"/>
        </w:rPr>
      </w:pPr>
    </w:p>
    <w:p w:rsidR="00D41BD8" w:rsidRDefault="00D41BD8" w:rsidP="00DA0A69">
      <w:pPr>
        <w:rPr>
          <w:rFonts w:ascii="Times New Roman" w:hAnsi="Times New Roman" w:cs="Times New Roman"/>
          <w:sz w:val="24"/>
        </w:rPr>
      </w:pPr>
    </w:p>
    <w:p w:rsidR="00D41BD8" w:rsidRDefault="00D41BD8" w:rsidP="00DA0A69">
      <w:pPr>
        <w:rPr>
          <w:rFonts w:ascii="Times New Roman" w:hAnsi="Times New Roman" w:cs="Times New Roman"/>
          <w:sz w:val="24"/>
        </w:rPr>
      </w:pPr>
    </w:p>
    <w:p w:rsidR="00D41BD8" w:rsidRPr="00D41BD8" w:rsidRDefault="00D41BD8" w:rsidP="00D41BD8">
      <w:pPr>
        <w:spacing w:before="0" w:beforeAutospacing="0" w:after="200" w:afterAutospacing="0" w:line="276" w:lineRule="auto"/>
        <w:rPr>
          <w:rFonts w:ascii="Times New Roman" w:eastAsia="Calibri" w:hAnsi="Times New Roman" w:cs="Times New Roman"/>
          <w:b/>
          <w:i/>
          <w:sz w:val="26"/>
          <w:szCs w:val="26"/>
        </w:rPr>
      </w:pPr>
      <w:r w:rsidRPr="00D41BD8">
        <w:rPr>
          <w:rFonts w:ascii="Times New Roman" w:eastAsia="Calibri" w:hAnsi="Times New Roman" w:cs="Times New Roman"/>
          <w:b/>
          <w:i/>
          <w:sz w:val="26"/>
          <w:szCs w:val="26"/>
        </w:rPr>
        <w:lastRenderedPageBreak/>
        <w:t>Section 1 : Les normes comptables internationales : contenu et changements apportés</w:t>
      </w:r>
    </w:p>
    <w:p w:rsidR="00D41BD8" w:rsidRPr="00D41BD8" w:rsidRDefault="00D41BD8" w:rsidP="00D41BD8">
      <w:pPr>
        <w:spacing w:before="0" w:beforeAutospacing="0" w:after="0" w:afterAutospacing="0" w:line="276" w:lineRule="auto"/>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Après avoir exposé, dans le premier chapitre, le contexte d’apparition du référentiel comptable international, on mettra l’accent, dans le présent chapitre, sur l’objet et le contenu de ce référentiel ainsi que les principaux changements apportés par les normes comptables internationales. Cela, dans le but d’apporter des éléments explicatifs concernant les impacts dus à l’application de ces normes constatés sur la situation financière des entreprises ainsi que ceux relatifs à la qualité de l’information financière produite.</w:t>
      </w:r>
    </w:p>
    <w:p w:rsidR="00D41BD8" w:rsidRPr="00D41BD8" w:rsidRDefault="00D41BD8" w:rsidP="00D41BD8">
      <w:pPr>
        <w:spacing w:before="120" w:beforeAutospacing="0" w:after="120" w:afterAutospacing="0" w:line="276" w:lineRule="auto"/>
        <w:jc w:val="both"/>
        <w:rPr>
          <w:rFonts w:ascii="Times New Roman" w:eastAsia="Calibri" w:hAnsi="Times New Roman" w:cs="Times New Roman"/>
          <w:b/>
          <w:sz w:val="26"/>
          <w:szCs w:val="26"/>
        </w:rPr>
      </w:pPr>
      <w:r w:rsidRPr="00D41BD8">
        <w:rPr>
          <w:rFonts w:ascii="Times New Roman" w:eastAsia="Calibri" w:hAnsi="Times New Roman" w:cs="Times New Roman"/>
          <w:b/>
          <w:sz w:val="26"/>
          <w:szCs w:val="26"/>
        </w:rPr>
        <w:t>1.1. Objet et contenu du référentiel comptable international</w:t>
      </w:r>
    </w:p>
    <w:p w:rsidR="00D41BD8" w:rsidRPr="00D41BD8" w:rsidRDefault="00D41BD8" w:rsidP="002A3F16">
      <w:pPr>
        <w:numPr>
          <w:ilvl w:val="0"/>
          <w:numId w:val="8"/>
        </w:numPr>
        <w:spacing w:before="60" w:beforeAutospacing="0" w:after="60" w:afterAutospacing="0" w:line="276" w:lineRule="auto"/>
        <w:contextualSpacing/>
        <w:jc w:val="both"/>
        <w:rPr>
          <w:rFonts w:ascii="Times New Roman" w:eastAsia="Calibri" w:hAnsi="Times New Roman" w:cs="Times New Roman"/>
          <w:b/>
          <w:i/>
          <w:sz w:val="26"/>
          <w:szCs w:val="26"/>
        </w:rPr>
      </w:pPr>
      <w:r w:rsidRPr="00D41BD8">
        <w:rPr>
          <w:rFonts w:ascii="Times New Roman" w:eastAsia="Calibri" w:hAnsi="Times New Roman" w:cs="Times New Roman"/>
          <w:b/>
          <w:i/>
          <w:sz w:val="26"/>
          <w:szCs w:val="26"/>
        </w:rPr>
        <w:t>Objet du référentiel comptable international</w:t>
      </w:r>
    </w:p>
    <w:p w:rsidR="00D41BD8" w:rsidRPr="00D41BD8" w:rsidRDefault="00D41BD8" w:rsidP="00D41BD8">
      <w:pPr>
        <w:spacing w:before="60" w:beforeAutospacing="0" w:after="60" w:afterAutospacing="0" w:line="276" w:lineRule="auto"/>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Suivant le cadre conceptuel de l’IASB, l’objet central du référentiel comptable international consiste à déterminer les modalités de préparation et de présentation des informations financières, qui seront destinées à satisfaire le besoin en information exprimé par une catégorie spécifique d’utilisateurs. Selon la conception des IAS/IFRS, les états financiers sont destinés en priorité aux investisseurs et aux créanciers de l’entreprise.</w:t>
      </w:r>
    </w:p>
    <w:p w:rsidR="00D41BD8" w:rsidRPr="00D41BD8" w:rsidRDefault="00D41BD8" w:rsidP="00D41BD8">
      <w:pPr>
        <w:spacing w:before="60" w:beforeAutospacing="0" w:after="60" w:afterAutospacing="0" w:line="276" w:lineRule="auto"/>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En conséquence, l’objectif arrêté par l’IASB concernant l’élaboration des états financiers est « de fournir une information sur la situation financière, la performance et les variations de la situation financière d’une entreprise, qui soit utile à un large éventail d’utilisateurs pour prendre des décisions économiques »</w:t>
      </w:r>
      <w:r w:rsidRPr="00D41BD8">
        <w:rPr>
          <w:rFonts w:ascii="Times New Roman" w:eastAsia="Calibri" w:hAnsi="Times New Roman" w:cs="Times New Roman"/>
          <w:sz w:val="24"/>
          <w:szCs w:val="24"/>
          <w:vertAlign w:val="superscript"/>
        </w:rPr>
        <w:footnoteReference w:id="48"/>
      </w:r>
      <w:r w:rsidRPr="00D41BD8">
        <w:rPr>
          <w:rFonts w:ascii="Times New Roman" w:eastAsia="Calibri" w:hAnsi="Times New Roman" w:cs="Times New Roman"/>
          <w:sz w:val="24"/>
          <w:szCs w:val="24"/>
        </w:rPr>
        <w:t>. En outre, la mission principale accordée à la comptabilité est de fournir une information financière fidèle, fiable et transparente qui permet aux utilisateurs des états financiers de prendre des décisions économiques.</w:t>
      </w:r>
    </w:p>
    <w:p w:rsidR="00D41BD8" w:rsidRPr="00D41BD8" w:rsidRDefault="00D41BD8" w:rsidP="002A3F16">
      <w:pPr>
        <w:numPr>
          <w:ilvl w:val="0"/>
          <w:numId w:val="8"/>
        </w:numPr>
        <w:spacing w:before="60" w:beforeAutospacing="0" w:after="60" w:afterAutospacing="0" w:line="276" w:lineRule="auto"/>
        <w:contextualSpacing/>
        <w:jc w:val="both"/>
        <w:rPr>
          <w:rFonts w:ascii="Times New Roman" w:eastAsia="Calibri" w:hAnsi="Times New Roman" w:cs="Times New Roman"/>
          <w:b/>
          <w:i/>
          <w:sz w:val="26"/>
          <w:szCs w:val="26"/>
        </w:rPr>
      </w:pPr>
      <w:r w:rsidRPr="00D41BD8">
        <w:rPr>
          <w:rFonts w:ascii="Times New Roman" w:eastAsia="Calibri" w:hAnsi="Times New Roman" w:cs="Times New Roman"/>
          <w:b/>
          <w:i/>
          <w:sz w:val="26"/>
          <w:szCs w:val="26"/>
        </w:rPr>
        <w:t xml:space="preserve">Le contenu du référentiel  comptable international </w:t>
      </w:r>
    </w:p>
    <w:p w:rsidR="00D41BD8" w:rsidRPr="00D41BD8" w:rsidRDefault="00D41BD8" w:rsidP="00D41BD8">
      <w:pPr>
        <w:spacing w:before="60" w:beforeAutospacing="0" w:after="60" w:afterAutospacing="0" w:line="276" w:lineRule="auto"/>
        <w:jc w:val="both"/>
        <w:rPr>
          <w:rFonts w:ascii="Times New Roman" w:eastAsia="Calibri" w:hAnsi="Times New Roman" w:cs="Times New Roman"/>
          <w:color w:val="FF0000"/>
          <w:sz w:val="24"/>
          <w:szCs w:val="24"/>
        </w:rPr>
      </w:pPr>
      <w:r w:rsidRPr="00D41BD8">
        <w:rPr>
          <w:rFonts w:ascii="Times New Roman" w:eastAsia="Calibri" w:hAnsi="Times New Roman" w:cs="Times New Roman"/>
          <w:sz w:val="24"/>
          <w:szCs w:val="24"/>
        </w:rPr>
        <w:t xml:space="preserve">Afin d’aboutir à la finalité attendue par la mise en place du référentiel comptable international, un ensemble unique de normes comptables mondiales est en cours d’élaboration depuis plus de trente ans, soit depuis la création de l’International </w:t>
      </w:r>
      <w:proofErr w:type="spellStart"/>
      <w:r w:rsidRPr="00D41BD8">
        <w:rPr>
          <w:rFonts w:ascii="Times New Roman" w:eastAsia="Calibri" w:hAnsi="Times New Roman" w:cs="Times New Roman"/>
          <w:sz w:val="24"/>
          <w:szCs w:val="24"/>
        </w:rPr>
        <w:t>Accounting</w:t>
      </w:r>
      <w:proofErr w:type="spellEnd"/>
      <w:r w:rsidRPr="00D41BD8">
        <w:rPr>
          <w:rFonts w:ascii="Times New Roman" w:eastAsia="Calibri" w:hAnsi="Times New Roman" w:cs="Times New Roman"/>
          <w:sz w:val="24"/>
          <w:szCs w:val="24"/>
        </w:rPr>
        <w:t xml:space="preserve"> Standards </w:t>
      </w:r>
      <w:proofErr w:type="spellStart"/>
      <w:r w:rsidRPr="00D41BD8">
        <w:rPr>
          <w:rFonts w:ascii="Times New Roman" w:eastAsia="Calibri" w:hAnsi="Times New Roman" w:cs="Times New Roman"/>
          <w:sz w:val="24"/>
          <w:szCs w:val="24"/>
        </w:rPr>
        <w:t>Committee</w:t>
      </w:r>
      <w:proofErr w:type="spellEnd"/>
      <w:r w:rsidRPr="00D41BD8">
        <w:rPr>
          <w:rFonts w:ascii="Times New Roman" w:eastAsia="Calibri" w:hAnsi="Times New Roman" w:cs="Times New Roman"/>
          <w:sz w:val="24"/>
          <w:szCs w:val="24"/>
        </w:rPr>
        <w:t xml:space="preserve"> (IASC), en 1973. Aujourd’hui, cet ensemble de normes comprend les International </w:t>
      </w:r>
      <w:proofErr w:type="spellStart"/>
      <w:r w:rsidRPr="00D41BD8">
        <w:rPr>
          <w:rFonts w:ascii="Times New Roman" w:eastAsia="Calibri" w:hAnsi="Times New Roman" w:cs="Times New Roman"/>
          <w:sz w:val="24"/>
          <w:szCs w:val="24"/>
        </w:rPr>
        <w:t>Accounting</w:t>
      </w:r>
      <w:proofErr w:type="spellEnd"/>
      <w:r w:rsidRPr="00D41BD8">
        <w:rPr>
          <w:rFonts w:ascii="Times New Roman" w:eastAsia="Calibri" w:hAnsi="Times New Roman" w:cs="Times New Roman"/>
          <w:sz w:val="24"/>
          <w:szCs w:val="24"/>
        </w:rPr>
        <w:t xml:space="preserve"> Standards (Normes comptables internationales (IAS)) publiées à l’origine par l’IASC et, depuis avril 2001, les normes IFRS publiées par l’International </w:t>
      </w:r>
      <w:proofErr w:type="spellStart"/>
      <w:r w:rsidRPr="00D41BD8">
        <w:rPr>
          <w:rFonts w:ascii="Times New Roman" w:eastAsia="Calibri" w:hAnsi="Times New Roman" w:cs="Times New Roman"/>
          <w:sz w:val="24"/>
          <w:szCs w:val="24"/>
        </w:rPr>
        <w:t>Accounting</w:t>
      </w:r>
      <w:proofErr w:type="spellEnd"/>
      <w:r w:rsidRPr="00D41BD8">
        <w:rPr>
          <w:rFonts w:ascii="Times New Roman" w:eastAsia="Calibri" w:hAnsi="Times New Roman" w:cs="Times New Roman"/>
          <w:sz w:val="24"/>
          <w:szCs w:val="24"/>
        </w:rPr>
        <w:t xml:space="preserve"> Standards </w:t>
      </w:r>
      <w:proofErr w:type="spellStart"/>
      <w:r w:rsidRPr="00D41BD8">
        <w:rPr>
          <w:rFonts w:ascii="Times New Roman" w:eastAsia="Calibri" w:hAnsi="Times New Roman" w:cs="Times New Roman"/>
          <w:sz w:val="24"/>
          <w:szCs w:val="24"/>
        </w:rPr>
        <w:t>Board</w:t>
      </w:r>
      <w:proofErr w:type="spellEnd"/>
      <w:r w:rsidRPr="00D41BD8">
        <w:rPr>
          <w:rFonts w:ascii="Times New Roman" w:eastAsia="Calibri" w:hAnsi="Times New Roman" w:cs="Times New Roman"/>
          <w:sz w:val="24"/>
          <w:szCs w:val="24"/>
        </w:rPr>
        <w:t xml:space="preserve"> (IASB), successeur de l’IASC. De plus, la série de normes comprend les interprétations publiées par les organes d’interprétation de l’IASC et de l’IASB, respectivement le Standing </w:t>
      </w:r>
      <w:proofErr w:type="spellStart"/>
      <w:r w:rsidRPr="00D41BD8">
        <w:rPr>
          <w:rFonts w:ascii="Times New Roman" w:eastAsia="Calibri" w:hAnsi="Times New Roman" w:cs="Times New Roman"/>
          <w:sz w:val="24"/>
          <w:szCs w:val="24"/>
        </w:rPr>
        <w:lastRenderedPageBreak/>
        <w:t>Interpretations</w:t>
      </w:r>
      <w:proofErr w:type="spellEnd"/>
      <w:r w:rsidRPr="00D41BD8">
        <w:rPr>
          <w:rFonts w:ascii="Times New Roman" w:eastAsia="Calibri" w:hAnsi="Times New Roman" w:cs="Times New Roman"/>
          <w:sz w:val="24"/>
          <w:szCs w:val="24"/>
        </w:rPr>
        <w:t xml:space="preserve"> </w:t>
      </w:r>
      <w:proofErr w:type="spellStart"/>
      <w:r w:rsidRPr="00D41BD8">
        <w:rPr>
          <w:rFonts w:ascii="Times New Roman" w:eastAsia="Calibri" w:hAnsi="Times New Roman" w:cs="Times New Roman"/>
          <w:sz w:val="24"/>
          <w:szCs w:val="24"/>
        </w:rPr>
        <w:t>Committee</w:t>
      </w:r>
      <w:proofErr w:type="spellEnd"/>
      <w:r w:rsidRPr="00D41BD8">
        <w:rPr>
          <w:rFonts w:ascii="Times New Roman" w:eastAsia="Calibri" w:hAnsi="Times New Roman" w:cs="Times New Roman"/>
          <w:sz w:val="24"/>
          <w:szCs w:val="24"/>
        </w:rPr>
        <w:t xml:space="preserve"> (SIC) et l’International Financial </w:t>
      </w:r>
      <w:proofErr w:type="spellStart"/>
      <w:r w:rsidRPr="00D41BD8">
        <w:rPr>
          <w:rFonts w:ascii="Times New Roman" w:eastAsia="Calibri" w:hAnsi="Times New Roman" w:cs="Times New Roman"/>
          <w:sz w:val="24"/>
          <w:szCs w:val="24"/>
        </w:rPr>
        <w:t>Reporting</w:t>
      </w:r>
      <w:proofErr w:type="spellEnd"/>
      <w:r w:rsidRPr="00D41BD8">
        <w:rPr>
          <w:rFonts w:ascii="Times New Roman" w:eastAsia="Calibri" w:hAnsi="Times New Roman" w:cs="Times New Roman"/>
          <w:sz w:val="24"/>
          <w:szCs w:val="24"/>
        </w:rPr>
        <w:t xml:space="preserve"> </w:t>
      </w:r>
      <w:proofErr w:type="spellStart"/>
      <w:r w:rsidRPr="00D41BD8">
        <w:rPr>
          <w:rFonts w:ascii="Times New Roman" w:eastAsia="Calibri" w:hAnsi="Times New Roman" w:cs="Times New Roman"/>
          <w:sz w:val="24"/>
          <w:szCs w:val="24"/>
        </w:rPr>
        <w:t>Interpretations</w:t>
      </w:r>
      <w:proofErr w:type="spellEnd"/>
      <w:r w:rsidRPr="00D41BD8">
        <w:rPr>
          <w:rFonts w:ascii="Times New Roman" w:eastAsia="Calibri" w:hAnsi="Times New Roman" w:cs="Times New Roman"/>
          <w:sz w:val="24"/>
          <w:szCs w:val="24"/>
        </w:rPr>
        <w:t xml:space="preserve"> </w:t>
      </w:r>
      <w:proofErr w:type="spellStart"/>
      <w:r w:rsidRPr="00D41BD8">
        <w:rPr>
          <w:rFonts w:ascii="Times New Roman" w:eastAsia="Calibri" w:hAnsi="Times New Roman" w:cs="Times New Roman"/>
          <w:sz w:val="24"/>
          <w:szCs w:val="24"/>
        </w:rPr>
        <w:t>Committee</w:t>
      </w:r>
      <w:proofErr w:type="spellEnd"/>
      <w:r w:rsidRPr="00D41BD8">
        <w:rPr>
          <w:rFonts w:ascii="Times New Roman" w:eastAsia="Calibri" w:hAnsi="Times New Roman" w:cs="Times New Roman"/>
          <w:sz w:val="24"/>
          <w:szCs w:val="24"/>
        </w:rPr>
        <w:t xml:space="preserve"> (IFRIC).</w:t>
      </w:r>
    </w:p>
    <w:p w:rsidR="00D41BD8" w:rsidRPr="00D41BD8" w:rsidRDefault="00D41BD8" w:rsidP="00D41BD8">
      <w:pPr>
        <w:spacing w:before="60" w:beforeAutospacing="0" w:after="60" w:afterAutospacing="0" w:line="276" w:lineRule="auto"/>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 xml:space="preserve">Dès lors, nous présenterons ci-après plus en détail le contenu du référentiel comptable international, qui est constitué d’un cadre conceptuel, les normes internationales et les interprétations des normes. </w:t>
      </w:r>
    </w:p>
    <w:p w:rsidR="00D41BD8" w:rsidRPr="00D41BD8" w:rsidRDefault="00D41BD8" w:rsidP="002A3F16">
      <w:pPr>
        <w:numPr>
          <w:ilvl w:val="0"/>
          <w:numId w:val="9"/>
        </w:numPr>
        <w:spacing w:before="60" w:beforeAutospacing="0" w:after="60" w:afterAutospacing="0" w:line="276" w:lineRule="auto"/>
        <w:contextualSpacing/>
        <w:jc w:val="both"/>
        <w:rPr>
          <w:rFonts w:ascii="Times New Roman" w:eastAsia="Calibri" w:hAnsi="Times New Roman" w:cs="Times New Roman"/>
          <w:b/>
          <w:bCs/>
          <w:sz w:val="24"/>
          <w:szCs w:val="24"/>
        </w:rPr>
      </w:pPr>
      <w:r w:rsidRPr="00D41BD8">
        <w:rPr>
          <w:rFonts w:ascii="Times New Roman" w:eastAsia="Calibri" w:hAnsi="Times New Roman" w:cs="Times New Roman"/>
          <w:b/>
          <w:bCs/>
          <w:sz w:val="24"/>
          <w:szCs w:val="24"/>
        </w:rPr>
        <w:t>Le cadre conceptuel de l’IASB </w:t>
      </w:r>
    </w:p>
    <w:p w:rsidR="00D41BD8" w:rsidRPr="00D41BD8" w:rsidRDefault="00D41BD8" w:rsidP="00D41BD8">
      <w:pPr>
        <w:spacing w:before="60" w:beforeAutospacing="0" w:after="60" w:afterAutospacing="0" w:line="276" w:lineRule="auto"/>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Réunissant les principes et concepts de la comptabilité, le cadre conceptuel est assimilé à un cadre théorique de la comptabilité</w:t>
      </w:r>
      <w:r w:rsidRPr="00D41BD8">
        <w:rPr>
          <w:rFonts w:ascii="Times New Roman" w:eastAsia="Calibri" w:hAnsi="Times New Roman" w:cs="Times New Roman"/>
          <w:sz w:val="24"/>
          <w:szCs w:val="24"/>
          <w:vertAlign w:val="superscript"/>
        </w:rPr>
        <w:footnoteReference w:id="49"/>
      </w:r>
      <w:r w:rsidRPr="00D41BD8">
        <w:rPr>
          <w:rFonts w:ascii="Times New Roman" w:eastAsia="Calibri" w:hAnsi="Times New Roman" w:cs="Times New Roman"/>
          <w:sz w:val="24"/>
          <w:szCs w:val="24"/>
        </w:rPr>
        <w:t>.</w:t>
      </w:r>
    </w:p>
    <w:p w:rsidR="00D41BD8" w:rsidRPr="00D41BD8" w:rsidRDefault="00D41BD8" w:rsidP="00D41BD8">
      <w:pPr>
        <w:spacing w:before="60" w:beforeAutospacing="0" w:after="60" w:afterAutospacing="0" w:line="276" w:lineRule="auto"/>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Le cadre conceptuel de la comptabilité financière, selon le référentiel comptable international, constitue la structure de référence théorique qui sert de support et de guide à l’élaboration des normes comptables. Il instaure un ensemble d’objectifs, de concepts fondamentaux et d’éléments qui entretiennent entre eux, des liens de cohérence et de complémentarité. Il a pour objectif d’aider à :</w:t>
      </w:r>
    </w:p>
    <w:p w:rsidR="00D41BD8" w:rsidRPr="00D41BD8" w:rsidRDefault="00D41BD8" w:rsidP="002A3F16">
      <w:pPr>
        <w:numPr>
          <w:ilvl w:val="0"/>
          <w:numId w:val="11"/>
        </w:numPr>
        <w:spacing w:before="60" w:beforeAutospacing="0" w:after="60" w:afterAutospacing="0" w:line="360" w:lineRule="auto"/>
        <w:contextualSpacing/>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L’élaboration de normes cohérentes pouvant faciliter la production de données et d’états financiers ;</w:t>
      </w:r>
    </w:p>
    <w:p w:rsidR="00D41BD8" w:rsidRPr="00D41BD8" w:rsidRDefault="00D41BD8" w:rsidP="002A3F16">
      <w:pPr>
        <w:numPr>
          <w:ilvl w:val="0"/>
          <w:numId w:val="11"/>
        </w:numPr>
        <w:spacing w:before="60" w:beforeAutospacing="0" w:after="60" w:afterAutospacing="0" w:line="360" w:lineRule="auto"/>
        <w:contextualSpacing/>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L’arbitrage en cas de divergences d’appréhension ou d’oppositions d’intérêts et la recherche de solutions appropriées ;</w:t>
      </w:r>
    </w:p>
    <w:p w:rsidR="00D41BD8" w:rsidRPr="00D41BD8" w:rsidRDefault="00D41BD8" w:rsidP="002A3F16">
      <w:pPr>
        <w:numPr>
          <w:ilvl w:val="0"/>
          <w:numId w:val="11"/>
        </w:numPr>
        <w:spacing w:before="60" w:beforeAutospacing="0" w:after="60" w:afterAutospacing="0" w:line="360" w:lineRule="auto"/>
        <w:contextualSpacing/>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L’interprétation des états financiers ;</w:t>
      </w:r>
    </w:p>
    <w:p w:rsidR="00D41BD8" w:rsidRPr="00D41BD8" w:rsidRDefault="00D41BD8" w:rsidP="002A3F16">
      <w:pPr>
        <w:numPr>
          <w:ilvl w:val="0"/>
          <w:numId w:val="11"/>
        </w:numPr>
        <w:spacing w:before="60" w:beforeAutospacing="0" w:after="60" w:afterAutospacing="0" w:line="360" w:lineRule="auto"/>
        <w:contextualSpacing/>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 xml:space="preserve">La résolution des questions comptables n’ayant pas été </w:t>
      </w:r>
      <w:proofErr w:type="gramStart"/>
      <w:r w:rsidRPr="00D41BD8">
        <w:rPr>
          <w:rFonts w:ascii="Times New Roman" w:eastAsia="Calibri" w:hAnsi="Times New Roman" w:cs="Times New Roman"/>
          <w:sz w:val="24"/>
          <w:szCs w:val="24"/>
        </w:rPr>
        <w:t>traitées</w:t>
      </w:r>
      <w:proofErr w:type="gramEnd"/>
      <w:r w:rsidRPr="00D41BD8">
        <w:rPr>
          <w:rFonts w:ascii="Times New Roman" w:eastAsia="Calibri" w:hAnsi="Times New Roman" w:cs="Times New Roman"/>
          <w:sz w:val="24"/>
          <w:szCs w:val="24"/>
        </w:rPr>
        <w:t xml:space="preserve"> par les normes.</w:t>
      </w:r>
    </w:p>
    <w:p w:rsidR="00D41BD8" w:rsidRPr="00D41BD8" w:rsidRDefault="00D41BD8" w:rsidP="00D41BD8">
      <w:pPr>
        <w:spacing w:before="60" w:beforeAutospacing="0" w:after="60" w:afterAutospacing="0" w:line="276" w:lineRule="auto"/>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De ce fait, le cadre conceptuel permet essentiellement d’expliquer les situations comptables, standardiser les concepts comptables et comprendre la logique comptable dans le but de la mettre en œuvre. Il est structuré selon la hiérarchie suivante :</w:t>
      </w:r>
    </w:p>
    <w:p w:rsidR="00D41BD8" w:rsidRPr="00D41BD8" w:rsidRDefault="00D41BD8" w:rsidP="002A3F16">
      <w:pPr>
        <w:numPr>
          <w:ilvl w:val="0"/>
          <w:numId w:val="10"/>
        </w:numPr>
        <w:spacing w:before="60" w:beforeAutospacing="0" w:after="60" w:afterAutospacing="0" w:line="360" w:lineRule="auto"/>
        <w:ind w:hanging="357"/>
        <w:contextualSpacing/>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Au premier lieu, sont définis les utilisateurs, leurs besoins et les objectifs des états financiers.</w:t>
      </w:r>
    </w:p>
    <w:p w:rsidR="00D41BD8" w:rsidRPr="00D41BD8" w:rsidRDefault="00D41BD8" w:rsidP="002A3F16">
      <w:pPr>
        <w:numPr>
          <w:ilvl w:val="0"/>
          <w:numId w:val="10"/>
        </w:numPr>
        <w:spacing w:before="60" w:beforeAutospacing="0" w:after="60" w:afterAutospacing="0" w:line="360" w:lineRule="auto"/>
        <w:ind w:hanging="357"/>
        <w:contextualSpacing/>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Les concepts fondamentaux de la comptabilité financière qui comprennent :</w:t>
      </w:r>
    </w:p>
    <w:p w:rsidR="00D41BD8" w:rsidRPr="00D41BD8" w:rsidRDefault="00D41BD8" w:rsidP="002A3F16">
      <w:pPr>
        <w:numPr>
          <w:ilvl w:val="1"/>
          <w:numId w:val="10"/>
        </w:numPr>
        <w:spacing w:before="60" w:beforeAutospacing="0" w:after="60" w:afterAutospacing="0" w:line="360" w:lineRule="auto"/>
        <w:ind w:hanging="357"/>
        <w:contextualSpacing/>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Les caractéristiques qualitatives de l’information contenue dans les états financiers ;</w:t>
      </w:r>
    </w:p>
    <w:p w:rsidR="00D41BD8" w:rsidRPr="00D41BD8" w:rsidRDefault="00D41BD8" w:rsidP="002A3F16">
      <w:pPr>
        <w:numPr>
          <w:ilvl w:val="1"/>
          <w:numId w:val="10"/>
        </w:numPr>
        <w:spacing w:before="60" w:beforeAutospacing="0" w:after="60" w:afterAutospacing="0" w:line="360" w:lineRule="auto"/>
        <w:ind w:hanging="357"/>
        <w:contextualSpacing/>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Les hypothèses sous-jacentes et les conventions comptables ;</w:t>
      </w:r>
    </w:p>
    <w:p w:rsidR="00D41BD8" w:rsidRPr="00D41BD8" w:rsidRDefault="00D41BD8" w:rsidP="002A3F16">
      <w:pPr>
        <w:numPr>
          <w:ilvl w:val="1"/>
          <w:numId w:val="10"/>
        </w:numPr>
        <w:spacing w:before="60" w:beforeAutospacing="0" w:after="60" w:afterAutospacing="0" w:line="360" w:lineRule="auto"/>
        <w:ind w:hanging="357"/>
        <w:contextualSpacing/>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La terminologie comptable et la prise en compte des éléments des états financiers.</w:t>
      </w:r>
    </w:p>
    <w:p w:rsidR="00D41BD8" w:rsidRPr="00D41BD8" w:rsidRDefault="00D41BD8" w:rsidP="002A3F16">
      <w:pPr>
        <w:numPr>
          <w:ilvl w:val="0"/>
          <w:numId w:val="10"/>
        </w:numPr>
        <w:spacing w:before="60" w:beforeAutospacing="0" w:after="60" w:afterAutospacing="0" w:line="360" w:lineRule="auto"/>
        <w:ind w:hanging="357"/>
        <w:contextualSpacing/>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Ainsi que les guides opérationnels qui traitent des procédés de mesure (attributs ou caractéristiques à mesurer, échelle ou unité de mesure).</w:t>
      </w:r>
    </w:p>
    <w:p w:rsidR="00D41BD8" w:rsidRPr="00D41BD8" w:rsidRDefault="00D41BD8" w:rsidP="002A3F16">
      <w:pPr>
        <w:numPr>
          <w:ilvl w:val="0"/>
          <w:numId w:val="10"/>
        </w:numPr>
        <w:spacing w:before="60" w:beforeAutospacing="0" w:after="60" w:afterAutospacing="0" w:line="360" w:lineRule="auto"/>
        <w:ind w:hanging="357"/>
        <w:contextualSpacing/>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lastRenderedPageBreak/>
        <w:t>Et les mécanismes de communication de l’information qui dérivent des objectifs des états financiers.</w:t>
      </w:r>
    </w:p>
    <w:p w:rsidR="00D41BD8" w:rsidRPr="00D41BD8" w:rsidRDefault="00D41BD8" w:rsidP="002A3F16">
      <w:pPr>
        <w:numPr>
          <w:ilvl w:val="0"/>
          <w:numId w:val="9"/>
        </w:numPr>
        <w:spacing w:before="60" w:beforeAutospacing="0" w:after="60" w:afterAutospacing="0" w:line="276" w:lineRule="auto"/>
        <w:contextualSpacing/>
        <w:jc w:val="both"/>
        <w:rPr>
          <w:rFonts w:ascii="Times New Roman" w:eastAsia="Calibri" w:hAnsi="Times New Roman" w:cs="Times New Roman"/>
          <w:b/>
          <w:bCs/>
          <w:sz w:val="24"/>
          <w:szCs w:val="24"/>
        </w:rPr>
      </w:pPr>
      <w:r w:rsidRPr="00D41BD8">
        <w:rPr>
          <w:rFonts w:ascii="Times New Roman" w:eastAsia="Calibri" w:hAnsi="Times New Roman" w:cs="Times New Roman"/>
          <w:b/>
          <w:bCs/>
          <w:sz w:val="24"/>
          <w:szCs w:val="24"/>
        </w:rPr>
        <w:t>Les normes comptables internationales</w:t>
      </w:r>
      <w:r w:rsidRPr="00D41BD8">
        <w:rPr>
          <w:rFonts w:ascii="Times New Roman" w:eastAsia="Calibri" w:hAnsi="Times New Roman" w:cs="Times New Roman"/>
          <w:b/>
          <w:bCs/>
          <w:sz w:val="24"/>
          <w:szCs w:val="24"/>
          <w:vertAlign w:val="superscript"/>
        </w:rPr>
        <w:footnoteReference w:id="50"/>
      </w:r>
    </w:p>
    <w:p w:rsidR="00D41BD8" w:rsidRPr="00D41BD8" w:rsidRDefault="00D41BD8" w:rsidP="00D41BD8">
      <w:pPr>
        <w:spacing w:before="60" w:beforeAutospacing="0" w:after="60" w:afterAutospacing="0" w:line="276" w:lineRule="auto"/>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Depuis sa fondation, l’IASB (ou ex-IASC) a instauré plus de36 Normes comptables. Les normes comptables sont des règles qui déterminent le traitement comptable des opérations financières. Ces normes sont utilisées pour garantir la comparabilité, la cohérence et l'exhaustivité des enregistrements comptables.</w:t>
      </w:r>
    </w:p>
    <w:p w:rsidR="00D41BD8" w:rsidRPr="00D41BD8" w:rsidRDefault="00D41BD8" w:rsidP="00D41BD8">
      <w:pPr>
        <w:spacing w:before="60" w:beforeAutospacing="0" w:after="60" w:afterAutospacing="0" w:line="300" w:lineRule="exact"/>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Les normes comptables donnent des directives sur :</w:t>
      </w:r>
    </w:p>
    <w:p w:rsidR="00D41BD8" w:rsidRPr="00D41BD8" w:rsidRDefault="00D41BD8" w:rsidP="002A3F16">
      <w:pPr>
        <w:numPr>
          <w:ilvl w:val="0"/>
          <w:numId w:val="10"/>
        </w:numPr>
        <w:spacing w:before="60" w:beforeAutospacing="0" w:after="60" w:afterAutospacing="0" w:line="276" w:lineRule="auto"/>
        <w:contextualSpacing/>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Le traitement comptable des différents comptes financiers et opérations ;</w:t>
      </w:r>
    </w:p>
    <w:p w:rsidR="00D41BD8" w:rsidRPr="00D41BD8" w:rsidRDefault="00D41BD8" w:rsidP="002A3F16">
      <w:pPr>
        <w:numPr>
          <w:ilvl w:val="0"/>
          <w:numId w:val="10"/>
        </w:numPr>
        <w:spacing w:before="60" w:beforeAutospacing="0" w:after="60" w:afterAutospacing="0" w:line="276" w:lineRule="auto"/>
        <w:contextualSpacing/>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Les obligations minimales d'information financière à l'égard de tiers.</w:t>
      </w:r>
    </w:p>
    <w:p w:rsidR="00D41BD8" w:rsidRPr="00D41BD8" w:rsidRDefault="00D41BD8" w:rsidP="00D41BD8">
      <w:pPr>
        <w:spacing w:before="60" w:beforeAutospacing="0" w:after="60" w:afterAutospacing="0" w:line="276" w:lineRule="auto"/>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 xml:space="preserve">Elles comportent trois volets : </w:t>
      </w:r>
    </w:p>
    <w:p w:rsidR="00D41BD8" w:rsidRPr="00D41BD8" w:rsidRDefault="00D41BD8" w:rsidP="002A3F16">
      <w:pPr>
        <w:numPr>
          <w:ilvl w:val="0"/>
          <w:numId w:val="10"/>
        </w:numPr>
        <w:spacing w:before="60" w:beforeAutospacing="0" w:after="60" w:afterAutospacing="0" w:line="276" w:lineRule="auto"/>
        <w:contextualSpacing/>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 xml:space="preserve">Les opérations que l’on comptabilise et que l’on reconnaît dans le bilan et le compte de résultat, </w:t>
      </w:r>
    </w:p>
    <w:p w:rsidR="00D41BD8" w:rsidRPr="00D41BD8" w:rsidRDefault="00D41BD8" w:rsidP="002A3F16">
      <w:pPr>
        <w:numPr>
          <w:ilvl w:val="0"/>
          <w:numId w:val="10"/>
        </w:numPr>
        <w:spacing w:before="60" w:beforeAutospacing="0" w:after="60" w:afterAutospacing="0" w:line="276" w:lineRule="auto"/>
        <w:contextualSpacing/>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 xml:space="preserve">La manière dont on évalue ou mesure les actifs et passifs, </w:t>
      </w:r>
    </w:p>
    <w:p w:rsidR="00D41BD8" w:rsidRPr="00D41BD8" w:rsidRDefault="00D41BD8" w:rsidP="002A3F16">
      <w:pPr>
        <w:numPr>
          <w:ilvl w:val="0"/>
          <w:numId w:val="10"/>
        </w:numPr>
        <w:spacing w:before="60" w:beforeAutospacing="0" w:after="60" w:afterAutospacing="0" w:line="276" w:lineRule="auto"/>
        <w:contextualSpacing/>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Les informations complémentaires qui sont données pour expliquer les comptes.</w:t>
      </w:r>
    </w:p>
    <w:p w:rsidR="00D41BD8" w:rsidRPr="00D41BD8" w:rsidRDefault="00D41BD8" w:rsidP="002A3F16">
      <w:pPr>
        <w:numPr>
          <w:ilvl w:val="0"/>
          <w:numId w:val="9"/>
        </w:numPr>
        <w:spacing w:before="60" w:beforeAutospacing="0" w:after="60" w:afterAutospacing="0" w:line="276" w:lineRule="auto"/>
        <w:contextualSpacing/>
        <w:jc w:val="both"/>
        <w:rPr>
          <w:rFonts w:ascii="Times New Roman" w:eastAsia="Calibri" w:hAnsi="Times New Roman" w:cs="Times New Roman"/>
          <w:b/>
          <w:bCs/>
          <w:sz w:val="24"/>
          <w:szCs w:val="24"/>
        </w:rPr>
      </w:pPr>
      <w:r w:rsidRPr="00D41BD8">
        <w:rPr>
          <w:rFonts w:ascii="Times New Roman" w:eastAsia="Calibri" w:hAnsi="Times New Roman" w:cs="Times New Roman"/>
          <w:b/>
          <w:bCs/>
          <w:sz w:val="24"/>
          <w:szCs w:val="24"/>
        </w:rPr>
        <w:t>Les interprétations des normes comptables internationales</w:t>
      </w:r>
    </w:p>
    <w:p w:rsidR="00D41BD8" w:rsidRPr="00D41BD8" w:rsidRDefault="00D41BD8" w:rsidP="00D41BD8">
      <w:pPr>
        <w:spacing w:before="60" w:beforeAutospacing="0" w:after="60" w:afterAutospacing="0" w:line="276" w:lineRule="auto"/>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 xml:space="preserve">Afin d’assurer une application homogène des normes, l'International Financial </w:t>
      </w:r>
      <w:proofErr w:type="spellStart"/>
      <w:r w:rsidRPr="00D41BD8">
        <w:rPr>
          <w:rFonts w:ascii="Times New Roman" w:eastAsia="Calibri" w:hAnsi="Times New Roman" w:cs="Times New Roman"/>
          <w:sz w:val="24"/>
          <w:szCs w:val="24"/>
        </w:rPr>
        <w:t>Reporting</w:t>
      </w:r>
      <w:proofErr w:type="spellEnd"/>
      <w:r w:rsidRPr="00D41BD8">
        <w:rPr>
          <w:rFonts w:ascii="Times New Roman" w:eastAsia="Calibri" w:hAnsi="Times New Roman" w:cs="Times New Roman"/>
          <w:sz w:val="24"/>
          <w:szCs w:val="24"/>
        </w:rPr>
        <w:t xml:space="preserve"> </w:t>
      </w:r>
      <w:proofErr w:type="spellStart"/>
      <w:r w:rsidRPr="00D41BD8">
        <w:rPr>
          <w:rFonts w:ascii="Times New Roman" w:eastAsia="Calibri" w:hAnsi="Times New Roman" w:cs="Times New Roman"/>
          <w:sz w:val="24"/>
          <w:szCs w:val="24"/>
        </w:rPr>
        <w:t>Interpretations</w:t>
      </w:r>
      <w:proofErr w:type="spellEnd"/>
      <w:r w:rsidRPr="00D41BD8">
        <w:rPr>
          <w:rFonts w:ascii="Times New Roman" w:eastAsia="Calibri" w:hAnsi="Times New Roman" w:cs="Times New Roman"/>
          <w:sz w:val="24"/>
          <w:szCs w:val="24"/>
        </w:rPr>
        <w:t xml:space="preserve"> </w:t>
      </w:r>
      <w:proofErr w:type="spellStart"/>
      <w:r w:rsidRPr="00D41BD8">
        <w:rPr>
          <w:rFonts w:ascii="Times New Roman" w:eastAsia="Calibri" w:hAnsi="Times New Roman" w:cs="Times New Roman"/>
          <w:sz w:val="24"/>
          <w:szCs w:val="24"/>
        </w:rPr>
        <w:t>Committee</w:t>
      </w:r>
      <w:proofErr w:type="spellEnd"/>
      <w:r w:rsidRPr="00D41BD8">
        <w:rPr>
          <w:rFonts w:ascii="Times New Roman" w:eastAsia="Calibri" w:hAnsi="Times New Roman" w:cs="Times New Roman"/>
          <w:sz w:val="24"/>
          <w:szCs w:val="24"/>
        </w:rPr>
        <w:t xml:space="preserve"> (IFRIC) a élaboré des interprétations des IAS/IFRS pour y apporter des précisions et trouver des solutions pratiques concernant l’application des méthodes comptables portées dans ces normes.</w:t>
      </w:r>
    </w:p>
    <w:p w:rsidR="00D41BD8" w:rsidRPr="00D41BD8" w:rsidRDefault="00D41BD8" w:rsidP="00D41BD8">
      <w:pPr>
        <w:spacing w:before="60" w:beforeAutospacing="0" w:after="60" w:afterAutospacing="0" w:line="276" w:lineRule="auto"/>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Crée en décembre 2001, l’IERIC est un comité technique de travail dont sa mission principale consiste à :</w:t>
      </w:r>
    </w:p>
    <w:p w:rsidR="00D41BD8" w:rsidRPr="00D41BD8" w:rsidRDefault="00D41BD8" w:rsidP="002A3F16">
      <w:pPr>
        <w:numPr>
          <w:ilvl w:val="0"/>
          <w:numId w:val="10"/>
        </w:numPr>
        <w:spacing w:before="60" w:beforeAutospacing="0" w:after="60" w:afterAutospacing="0" w:line="360" w:lineRule="auto"/>
        <w:contextualSpacing/>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 xml:space="preserve">Interpréter les normes IAS/IFRS et fournit un guide de travail sur l'établissement de </w:t>
      </w:r>
      <w:proofErr w:type="spellStart"/>
      <w:r w:rsidRPr="00D41BD8">
        <w:rPr>
          <w:rFonts w:ascii="Times New Roman" w:eastAsia="Calibri" w:hAnsi="Times New Roman" w:cs="Times New Roman"/>
          <w:sz w:val="24"/>
          <w:szCs w:val="24"/>
        </w:rPr>
        <w:t>reporting</w:t>
      </w:r>
      <w:proofErr w:type="spellEnd"/>
      <w:r w:rsidRPr="00D41BD8">
        <w:rPr>
          <w:rFonts w:ascii="Times New Roman" w:eastAsia="Calibri" w:hAnsi="Times New Roman" w:cs="Times New Roman"/>
          <w:sz w:val="24"/>
          <w:szCs w:val="24"/>
        </w:rPr>
        <w:t xml:space="preserve"> financier ;</w:t>
      </w:r>
    </w:p>
    <w:p w:rsidR="00D41BD8" w:rsidRPr="00D41BD8" w:rsidRDefault="00D41BD8" w:rsidP="002A3F16">
      <w:pPr>
        <w:numPr>
          <w:ilvl w:val="0"/>
          <w:numId w:val="10"/>
        </w:numPr>
        <w:spacing w:before="60" w:beforeAutospacing="0" w:after="60" w:afterAutospacing="0" w:line="360" w:lineRule="auto"/>
        <w:contextualSpacing/>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Assurer l'objectivité et la convergence entre les référentiels comptables internationaux et nationaux ;</w:t>
      </w:r>
    </w:p>
    <w:p w:rsidR="00D41BD8" w:rsidRPr="00D41BD8" w:rsidRDefault="00D41BD8" w:rsidP="002A3F16">
      <w:pPr>
        <w:numPr>
          <w:ilvl w:val="0"/>
          <w:numId w:val="10"/>
        </w:numPr>
        <w:spacing w:before="60" w:beforeAutospacing="0" w:after="60" w:afterAutospacing="0" w:line="360" w:lineRule="auto"/>
        <w:contextualSpacing/>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Publier une note d'interprétation sur une norme en cours de discussion ;</w:t>
      </w:r>
    </w:p>
    <w:p w:rsidR="00D41BD8" w:rsidRPr="00D41BD8" w:rsidRDefault="00D41BD8" w:rsidP="002A3F16">
      <w:pPr>
        <w:numPr>
          <w:ilvl w:val="0"/>
          <w:numId w:val="10"/>
        </w:numPr>
        <w:spacing w:before="60" w:beforeAutospacing="0" w:after="60" w:afterAutospacing="0" w:line="360" w:lineRule="auto"/>
        <w:contextualSpacing/>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Fournir une interprétation finale sur une norme au conseil.</w:t>
      </w:r>
    </w:p>
    <w:p w:rsidR="00D41BD8" w:rsidRPr="00D41BD8" w:rsidRDefault="00D41BD8" w:rsidP="00D41BD8">
      <w:pPr>
        <w:spacing w:before="120" w:beforeAutospacing="0" w:after="120" w:afterAutospacing="0" w:line="276" w:lineRule="auto"/>
        <w:jc w:val="both"/>
        <w:rPr>
          <w:rFonts w:ascii="Times New Roman" w:eastAsia="Calibri" w:hAnsi="Times New Roman" w:cs="Times New Roman"/>
          <w:b/>
          <w:sz w:val="26"/>
          <w:szCs w:val="26"/>
        </w:rPr>
      </w:pPr>
      <w:r w:rsidRPr="00D41BD8">
        <w:rPr>
          <w:rFonts w:ascii="Times New Roman" w:eastAsia="Calibri" w:hAnsi="Times New Roman" w:cs="Times New Roman"/>
          <w:b/>
          <w:sz w:val="26"/>
          <w:szCs w:val="26"/>
        </w:rPr>
        <w:t>1.2. Les changements apportés par les normes internationales et leur impact sur les comptes des entreprises</w:t>
      </w:r>
    </w:p>
    <w:p w:rsidR="00D41BD8" w:rsidRPr="00D41BD8" w:rsidRDefault="00D41BD8" w:rsidP="00D41BD8">
      <w:pPr>
        <w:spacing w:before="60" w:beforeAutospacing="0" w:after="60" w:afterAutospacing="0" w:line="276" w:lineRule="auto"/>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 xml:space="preserve">Le passage aux normes internationales constitue un grand changement, dans la mesure où il s’agit d’une conception réellement nouvelle de l’information financière. On passe d’une comptabilité juridique et fiscale à un langage pour investisseurs. Vu que, ces </w:t>
      </w:r>
      <w:r w:rsidRPr="00D41BD8">
        <w:rPr>
          <w:rFonts w:ascii="Times New Roman" w:eastAsia="Calibri" w:hAnsi="Times New Roman" w:cs="Times New Roman"/>
          <w:sz w:val="24"/>
          <w:szCs w:val="24"/>
        </w:rPr>
        <w:lastRenderedPageBreak/>
        <w:t xml:space="preserve">dernières instaurent de nouvelles règles et méthodes comptables qui sont inspirées d’un ensemble de principes suivant lesquels la comptabilité des entités doit être tenue. </w:t>
      </w:r>
    </w:p>
    <w:p w:rsidR="00D41BD8" w:rsidRPr="00D41BD8" w:rsidRDefault="00D41BD8" w:rsidP="00D41BD8">
      <w:pPr>
        <w:spacing w:before="60" w:beforeAutospacing="0" w:after="60" w:afterAutospacing="0" w:line="276" w:lineRule="auto"/>
        <w:jc w:val="both"/>
        <w:rPr>
          <w:rFonts w:ascii="Times New Roman" w:eastAsia="Calibri" w:hAnsi="Times New Roman" w:cs="Times New Roman"/>
          <w:b/>
          <w:i/>
          <w:sz w:val="26"/>
          <w:szCs w:val="26"/>
        </w:rPr>
      </w:pPr>
      <w:r w:rsidRPr="00D41BD8">
        <w:rPr>
          <w:rFonts w:ascii="Times New Roman" w:eastAsia="Calibri" w:hAnsi="Times New Roman" w:cs="Times New Roman"/>
          <w:sz w:val="24"/>
          <w:szCs w:val="24"/>
        </w:rPr>
        <w:t>Afin d’aboutir à l’objectif principal du présent mémoire, il est important dans un premier lieu de déterminer les changements apportés par les normes internationales afin d’identifier quel pourrait être leur impact sur les informations financières des entreprises. Le but recherché ne vise pas à reprendre les principes et méthodes contenues dans les textes de loi, mais plutôt mettre l’accent sur les principaux changements apportés, particulièrement ceux qui vont avoir un impact sur la situation financière des entités. De ce fait, deux types de changement seront distingués : les changements liés aux principes et règles comptables et les changements liés aux caractéristiques et au contenu de l’information financière.</w:t>
      </w:r>
    </w:p>
    <w:p w:rsidR="00D41BD8" w:rsidRPr="00D41BD8" w:rsidRDefault="00D41BD8" w:rsidP="002A3F16">
      <w:pPr>
        <w:numPr>
          <w:ilvl w:val="0"/>
          <w:numId w:val="8"/>
        </w:numPr>
        <w:spacing w:before="60" w:beforeAutospacing="0" w:after="60" w:afterAutospacing="0" w:line="276" w:lineRule="auto"/>
        <w:contextualSpacing/>
        <w:jc w:val="both"/>
        <w:rPr>
          <w:rFonts w:ascii="Times New Roman" w:eastAsia="Calibri" w:hAnsi="Times New Roman" w:cs="Times New Roman"/>
          <w:b/>
          <w:i/>
          <w:sz w:val="26"/>
          <w:szCs w:val="26"/>
        </w:rPr>
      </w:pPr>
      <w:r w:rsidRPr="00D41BD8">
        <w:rPr>
          <w:rFonts w:ascii="Times New Roman" w:eastAsia="Calibri" w:hAnsi="Times New Roman" w:cs="Times New Roman"/>
          <w:b/>
          <w:i/>
          <w:sz w:val="26"/>
          <w:szCs w:val="26"/>
        </w:rPr>
        <w:t>Principes et règles comptables</w:t>
      </w:r>
    </w:p>
    <w:p w:rsidR="00D41BD8" w:rsidRPr="00D41BD8" w:rsidRDefault="00D41BD8" w:rsidP="00D41BD8">
      <w:pPr>
        <w:spacing w:before="60" w:beforeAutospacing="0" w:after="60" w:afterAutospacing="0" w:line="276" w:lineRule="auto"/>
        <w:jc w:val="both"/>
        <w:rPr>
          <w:rFonts w:ascii="Times New Roman" w:eastAsia="Calibri" w:hAnsi="Times New Roman" w:cs="Times New Roman"/>
          <w:bCs/>
          <w:iCs/>
          <w:sz w:val="24"/>
          <w:szCs w:val="24"/>
        </w:rPr>
      </w:pPr>
      <w:r w:rsidRPr="00D41BD8">
        <w:rPr>
          <w:rFonts w:ascii="Times New Roman" w:eastAsia="Calibri" w:hAnsi="Times New Roman" w:cs="Times New Roman"/>
          <w:bCs/>
          <w:iCs/>
          <w:sz w:val="24"/>
          <w:szCs w:val="24"/>
        </w:rPr>
        <w:t xml:space="preserve">La comptabilité financière telle conçue selon les normes internationales, est fondée sur des principes et conventions comptables suivant lesquels les règles de comptabilité sont déduites. </w:t>
      </w:r>
    </w:p>
    <w:p w:rsidR="00D41BD8" w:rsidRPr="00D41BD8" w:rsidRDefault="00D41BD8" w:rsidP="00D41BD8">
      <w:pPr>
        <w:spacing w:before="60" w:beforeAutospacing="0" w:after="60" w:afterAutospacing="0" w:line="276" w:lineRule="auto"/>
        <w:jc w:val="both"/>
        <w:rPr>
          <w:rFonts w:ascii="Times New Roman" w:eastAsia="Calibri" w:hAnsi="Times New Roman" w:cs="Times New Roman"/>
          <w:bCs/>
          <w:iCs/>
          <w:sz w:val="24"/>
          <w:szCs w:val="24"/>
        </w:rPr>
      </w:pPr>
      <w:r w:rsidRPr="00D41BD8">
        <w:rPr>
          <w:rFonts w:ascii="Times New Roman" w:eastAsia="Calibri" w:hAnsi="Times New Roman" w:cs="Times New Roman"/>
          <w:bCs/>
          <w:iCs/>
          <w:sz w:val="24"/>
          <w:szCs w:val="24"/>
        </w:rPr>
        <w:t>Les normes IAS/IFRS se caractérisent par trois innovations majeures : un cadre conceptuel, principe de la prééminence du fond (réalité économique et financière) sur la forme (apparence juridique</w:t>
      </w:r>
      <w:proofErr w:type="gramStart"/>
      <w:r w:rsidRPr="00D41BD8">
        <w:rPr>
          <w:rFonts w:ascii="Times New Roman" w:eastAsia="Calibri" w:hAnsi="Times New Roman" w:cs="Times New Roman"/>
          <w:bCs/>
          <w:iCs/>
          <w:sz w:val="24"/>
          <w:szCs w:val="24"/>
        </w:rPr>
        <w:t>)«</w:t>
      </w:r>
      <w:proofErr w:type="gramEnd"/>
      <w:r w:rsidRPr="00D41BD8">
        <w:rPr>
          <w:rFonts w:ascii="Times New Roman" w:eastAsia="Calibri" w:hAnsi="Times New Roman" w:cs="Times New Roman"/>
          <w:bCs/>
          <w:iCs/>
          <w:sz w:val="24"/>
          <w:szCs w:val="24"/>
        </w:rPr>
        <w:t xml:space="preserve"> substance over </w:t>
      </w:r>
      <w:proofErr w:type="spellStart"/>
      <w:r w:rsidRPr="00D41BD8">
        <w:rPr>
          <w:rFonts w:ascii="Times New Roman" w:eastAsia="Calibri" w:hAnsi="Times New Roman" w:cs="Times New Roman"/>
          <w:bCs/>
          <w:iCs/>
          <w:sz w:val="24"/>
          <w:szCs w:val="24"/>
        </w:rPr>
        <w:t>form</w:t>
      </w:r>
      <w:proofErr w:type="spellEnd"/>
      <w:r w:rsidRPr="00D41BD8">
        <w:rPr>
          <w:rFonts w:ascii="Times New Roman" w:eastAsia="Calibri" w:hAnsi="Times New Roman" w:cs="Times New Roman"/>
          <w:bCs/>
          <w:iCs/>
          <w:sz w:val="24"/>
          <w:szCs w:val="24"/>
        </w:rPr>
        <w:t xml:space="preserve"> », et le principe de la juste valeur.</w:t>
      </w:r>
    </w:p>
    <w:p w:rsidR="00D41BD8" w:rsidRPr="00D41BD8" w:rsidRDefault="00D41BD8" w:rsidP="00D41BD8">
      <w:pPr>
        <w:spacing w:before="60" w:beforeAutospacing="0" w:after="60" w:afterAutospacing="0" w:line="276" w:lineRule="auto"/>
        <w:jc w:val="both"/>
        <w:rPr>
          <w:rFonts w:ascii="Times New Roman" w:eastAsia="Calibri" w:hAnsi="Times New Roman" w:cs="Times New Roman"/>
          <w:bCs/>
          <w:iCs/>
          <w:color w:val="FF0000"/>
          <w:sz w:val="24"/>
          <w:szCs w:val="24"/>
        </w:rPr>
      </w:pPr>
      <w:r w:rsidRPr="00D41BD8">
        <w:rPr>
          <w:rFonts w:ascii="Times New Roman" w:eastAsia="Calibri" w:hAnsi="Times New Roman" w:cs="Times New Roman"/>
          <w:bCs/>
          <w:iCs/>
          <w:sz w:val="24"/>
          <w:szCs w:val="24"/>
        </w:rPr>
        <w:t>Ces innovations vont avoir un impact aussi bien sur les méthodes de calcul ou de valorisation ;  que sur la présentation des comptes et leur lecture. C’est pourquoi nous avons choisi de les présenter afin de pouvoir démonter leurs impacts par la suite.</w:t>
      </w:r>
    </w:p>
    <w:p w:rsidR="00D41BD8" w:rsidRPr="00D41BD8" w:rsidRDefault="00D41BD8" w:rsidP="002A3F16">
      <w:pPr>
        <w:numPr>
          <w:ilvl w:val="0"/>
          <w:numId w:val="9"/>
        </w:numPr>
        <w:spacing w:before="60" w:beforeAutospacing="0" w:after="60" w:afterAutospacing="0" w:line="276" w:lineRule="auto"/>
        <w:contextualSpacing/>
        <w:jc w:val="both"/>
        <w:rPr>
          <w:rFonts w:ascii="Times New Roman" w:eastAsia="Calibri" w:hAnsi="Times New Roman" w:cs="Times New Roman"/>
          <w:b/>
          <w:bCs/>
          <w:sz w:val="24"/>
          <w:szCs w:val="24"/>
        </w:rPr>
      </w:pPr>
      <w:r w:rsidRPr="00D41BD8">
        <w:rPr>
          <w:rFonts w:ascii="Times New Roman" w:eastAsia="Calibri" w:hAnsi="Times New Roman" w:cs="Times New Roman"/>
          <w:b/>
          <w:bCs/>
          <w:sz w:val="24"/>
          <w:szCs w:val="24"/>
        </w:rPr>
        <w:t>Le cadre conceptuel </w:t>
      </w:r>
    </w:p>
    <w:p w:rsidR="00D41BD8" w:rsidRPr="00D41BD8" w:rsidRDefault="00D41BD8" w:rsidP="00D41BD8">
      <w:pPr>
        <w:spacing w:before="60" w:beforeAutospacing="0" w:after="60" w:afterAutospacing="0" w:line="276" w:lineRule="auto"/>
        <w:jc w:val="both"/>
        <w:rPr>
          <w:rFonts w:ascii="Times New Roman" w:eastAsia="Calibri" w:hAnsi="Times New Roman" w:cs="Times New Roman"/>
          <w:bCs/>
          <w:iCs/>
          <w:sz w:val="24"/>
          <w:szCs w:val="24"/>
        </w:rPr>
      </w:pPr>
      <w:r w:rsidRPr="00D41BD8">
        <w:rPr>
          <w:rFonts w:ascii="Times New Roman" w:eastAsia="Calibri" w:hAnsi="Times New Roman" w:cs="Times New Roman"/>
          <w:bCs/>
          <w:iCs/>
          <w:sz w:val="24"/>
          <w:szCs w:val="24"/>
        </w:rPr>
        <w:t xml:space="preserve">Tel qu’il était présenté dans la partie précédente, le cadre conceptuel ne représente pas une norme en soi, Selon </w:t>
      </w:r>
      <w:proofErr w:type="spellStart"/>
      <w:r w:rsidRPr="00D41BD8">
        <w:rPr>
          <w:rFonts w:ascii="Times New Roman" w:eastAsia="Calibri" w:hAnsi="Times New Roman" w:cs="Times New Roman"/>
          <w:bCs/>
          <w:iCs/>
          <w:sz w:val="24"/>
          <w:szCs w:val="24"/>
        </w:rPr>
        <w:t>A.Stettler</w:t>
      </w:r>
      <w:proofErr w:type="spellEnd"/>
      <w:r w:rsidRPr="00D41BD8">
        <w:rPr>
          <w:rFonts w:ascii="Times New Roman" w:eastAsia="Calibri" w:hAnsi="Times New Roman" w:cs="Times New Roman"/>
          <w:bCs/>
          <w:iCs/>
          <w:sz w:val="24"/>
          <w:szCs w:val="24"/>
        </w:rPr>
        <w:t xml:space="preserve"> et </w:t>
      </w:r>
      <w:proofErr w:type="spellStart"/>
      <w:r w:rsidRPr="00D41BD8">
        <w:rPr>
          <w:rFonts w:ascii="Times New Roman" w:eastAsia="Calibri" w:hAnsi="Times New Roman" w:cs="Times New Roman"/>
          <w:bCs/>
          <w:iCs/>
          <w:sz w:val="24"/>
          <w:szCs w:val="24"/>
        </w:rPr>
        <w:t>R.Gherbi</w:t>
      </w:r>
      <w:proofErr w:type="spellEnd"/>
      <w:r w:rsidRPr="00D41BD8">
        <w:rPr>
          <w:rFonts w:ascii="Times New Roman" w:eastAsia="Calibri" w:hAnsi="Times New Roman" w:cs="Times New Roman"/>
          <w:bCs/>
          <w:iCs/>
          <w:sz w:val="24"/>
          <w:szCs w:val="24"/>
        </w:rPr>
        <w:t xml:space="preserve"> « un cadre conceptuel comptable se définit comme un environnement organisé, pertinent, cohérent et stable dans lequel sont énoncés les objectifs des états financiers, les principes comptables, les définitions et les mesures nécessaires à leur préparation et leur présentation en vue d’atteindre </w:t>
      </w:r>
      <w:proofErr w:type="spellStart"/>
      <w:r w:rsidRPr="00D41BD8">
        <w:rPr>
          <w:rFonts w:ascii="Times New Roman" w:eastAsia="Calibri" w:hAnsi="Times New Roman" w:cs="Times New Roman"/>
          <w:bCs/>
          <w:iCs/>
          <w:sz w:val="24"/>
          <w:szCs w:val="24"/>
        </w:rPr>
        <w:t>lesobjectifs</w:t>
      </w:r>
      <w:proofErr w:type="spellEnd"/>
      <w:r w:rsidRPr="00D41BD8">
        <w:rPr>
          <w:rFonts w:ascii="Times New Roman" w:eastAsia="Calibri" w:hAnsi="Times New Roman" w:cs="Times New Roman"/>
          <w:bCs/>
          <w:iCs/>
          <w:sz w:val="24"/>
          <w:szCs w:val="24"/>
        </w:rPr>
        <w:t xml:space="preserve"> fixés »</w:t>
      </w:r>
      <w:r w:rsidRPr="00D41BD8">
        <w:rPr>
          <w:rFonts w:ascii="Times New Roman" w:eastAsia="Calibri" w:hAnsi="Times New Roman" w:cs="Times New Roman"/>
          <w:bCs/>
          <w:iCs/>
          <w:sz w:val="24"/>
          <w:szCs w:val="24"/>
          <w:vertAlign w:val="superscript"/>
        </w:rPr>
        <w:footnoteReference w:id="51"/>
      </w:r>
      <w:r w:rsidRPr="00D41BD8">
        <w:rPr>
          <w:rFonts w:ascii="Times New Roman" w:eastAsia="Calibri" w:hAnsi="Times New Roman" w:cs="Times New Roman"/>
          <w:bCs/>
          <w:iCs/>
          <w:sz w:val="24"/>
          <w:szCs w:val="24"/>
        </w:rPr>
        <w:t xml:space="preserve">. </w:t>
      </w:r>
    </w:p>
    <w:p w:rsidR="00D41BD8" w:rsidRPr="00D41BD8" w:rsidRDefault="00D41BD8" w:rsidP="00D41BD8">
      <w:pPr>
        <w:spacing w:before="60" w:beforeAutospacing="0" w:after="60" w:afterAutospacing="0" w:line="276" w:lineRule="auto"/>
        <w:jc w:val="both"/>
        <w:rPr>
          <w:rFonts w:ascii="Times New Roman" w:eastAsia="Calibri" w:hAnsi="Times New Roman" w:cs="Times New Roman"/>
          <w:bCs/>
          <w:iCs/>
          <w:sz w:val="24"/>
          <w:szCs w:val="24"/>
        </w:rPr>
      </w:pPr>
      <w:r w:rsidRPr="00D41BD8">
        <w:rPr>
          <w:rFonts w:ascii="Times New Roman" w:eastAsia="Calibri" w:hAnsi="Times New Roman" w:cs="Times New Roman"/>
          <w:bCs/>
          <w:iCs/>
          <w:sz w:val="24"/>
          <w:szCs w:val="24"/>
        </w:rPr>
        <w:t>En outre, l’innovation majeure apportée par le cadre conceptuel de l’IASB concerne principalement l’objectif des états financiers. Considérés comme moyen de communication financière, les états financiers doivent reflétés, selon le nouveau référentiel, une image fidèle de la situation financière des entités qui les présentent.</w:t>
      </w:r>
    </w:p>
    <w:p w:rsidR="00D41BD8" w:rsidRPr="00D41BD8" w:rsidRDefault="00D41BD8" w:rsidP="00D41BD8">
      <w:pPr>
        <w:spacing w:before="60" w:beforeAutospacing="0" w:after="60" w:afterAutospacing="0" w:line="276" w:lineRule="auto"/>
        <w:jc w:val="both"/>
        <w:rPr>
          <w:rFonts w:ascii="Times New Roman" w:eastAsia="Calibri" w:hAnsi="Times New Roman" w:cs="Times New Roman"/>
          <w:bCs/>
          <w:iCs/>
          <w:sz w:val="24"/>
          <w:szCs w:val="24"/>
        </w:rPr>
      </w:pPr>
      <w:r w:rsidRPr="00D41BD8">
        <w:rPr>
          <w:rFonts w:ascii="Times New Roman" w:eastAsia="Calibri" w:hAnsi="Times New Roman" w:cs="Times New Roman"/>
          <w:bCs/>
          <w:iCs/>
          <w:sz w:val="24"/>
          <w:szCs w:val="24"/>
        </w:rPr>
        <w:t xml:space="preserve">Egalement, le cadre conceptuel stipule : «Comme les investisseurs sont les apporteurs de capitaux à risque de l’entreprise, la fourniture d’états financiers qui répondent à leurs </w:t>
      </w:r>
      <w:r w:rsidRPr="00D41BD8">
        <w:rPr>
          <w:rFonts w:ascii="Times New Roman" w:eastAsia="Calibri" w:hAnsi="Times New Roman" w:cs="Times New Roman"/>
          <w:bCs/>
          <w:iCs/>
          <w:sz w:val="24"/>
          <w:szCs w:val="24"/>
        </w:rPr>
        <w:lastRenderedPageBreak/>
        <w:t>besoins répondra également à la plupart des besoins des autres utilisateurs susceptibles d’être satisfaits par les états financiers. »</w:t>
      </w:r>
      <w:r w:rsidRPr="00D41BD8">
        <w:rPr>
          <w:rFonts w:ascii="Times New Roman" w:eastAsia="Calibri" w:hAnsi="Times New Roman" w:cs="Times New Roman"/>
          <w:bCs/>
          <w:iCs/>
          <w:sz w:val="24"/>
          <w:szCs w:val="24"/>
          <w:vertAlign w:val="superscript"/>
        </w:rPr>
        <w:footnoteReference w:id="52"/>
      </w:r>
    </w:p>
    <w:p w:rsidR="00D41BD8" w:rsidRPr="00D41BD8" w:rsidRDefault="00D41BD8" w:rsidP="00D41BD8">
      <w:pPr>
        <w:spacing w:before="60" w:beforeAutospacing="0" w:after="60" w:afterAutospacing="0" w:line="276" w:lineRule="auto"/>
        <w:jc w:val="both"/>
        <w:rPr>
          <w:rFonts w:ascii="Times New Roman" w:eastAsia="Calibri" w:hAnsi="Times New Roman" w:cs="Times New Roman"/>
          <w:bCs/>
          <w:iCs/>
          <w:sz w:val="24"/>
          <w:szCs w:val="24"/>
        </w:rPr>
      </w:pPr>
      <w:r w:rsidRPr="00D41BD8">
        <w:rPr>
          <w:rFonts w:ascii="Times New Roman" w:eastAsia="Calibri" w:hAnsi="Times New Roman" w:cs="Times New Roman"/>
          <w:bCs/>
          <w:iCs/>
          <w:sz w:val="24"/>
          <w:szCs w:val="24"/>
        </w:rPr>
        <w:t>A partir de cela, on peut conclure que les états financiers ont pour fonction de fournir, aux investisseurs apporteurs de capitaux à risque, une information sur la situation financière et son évolution, sur la mesure de la performance, de la rentabilité et sur la création de valeur. De ce fait, les investisseurs sont les destinataires privilégiés de l’information contenue dans les états financiers.</w:t>
      </w:r>
    </w:p>
    <w:p w:rsidR="00D41BD8" w:rsidRPr="00D41BD8" w:rsidRDefault="00D41BD8" w:rsidP="00D41BD8">
      <w:pPr>
        <w:spacing w:before="60" w:beforeAutospacing="0" w:after="60" w:afterAutospacing="0" w:line="276" w:lineRule="auto"/>
        <w:jc w:val="both"/>
        <w:rPr>
          <w:rFonts w:ascii="Times New Roman" w:eastAsia="Calibri" w:hAnsi="Times New Roman" w:cs="Times New Roman"/>
          <w:bCs/>
          <w:iCs/>
          <w:sz w:val="24"/>
          <w:szCs w:val="24"/>
        </w:rPr>
      </w:pPr>
      <w:r w:rsidRPr="00D41BD8">
        <w:rPr>
          <w:rFonts w:ascii="Times New Roman" w:eastAsia="Calibri" w:hAnsi="Times New Roman" w:cs="Times New Roman"/>
          <w:bCs/>
          <w:iCs/>
          <w:sz w:val="24"/>
          <w:szCs w:val="24"/>
        </w:rPr>
        <w:t>Cette nouvelle philosophie a donné un rôle plus important aux états financiers ainsi qu’à la comptabilité, ce qui a conduit à plusieurs changements dans les principes et règles de fonctionnement de cette dernière. Les principes posés dans le cadre conceptuel se substituent aux règles d’application mécanique. Ils doivent être interprétés pour traduire la réalité économico-financière des contrats, et refléter la situation et les performances financières. Ce qui ouvre des options aux entreprises et impacte leurs principaux comptes.</w:t>
      </w:r>
    </w:p>
    <w:p w:rsidR="00D41BD8" w:rsidRPr="00D41BD8" w:rsidRDefault="00D41BD8" w:rsidP="00D41BD8">
      <w:pPr>
        <w:spacing w:before="60" w:beforeAutospacing="0" w:after="60" w:afterAutospacing="0" w:line="276" w:lineRule="auto"/>
        <w:jc w:val="both"/>
        <w:rPr>
          <w:rFonts w:ascii="Times New Roman" w:eastAsia="Calibri" w:hAnsi="Times New Roman" w:cs="Times New Roman"/>
          <w:bCs/>
          <w:iCs/>
          <w:sz w:val="24"/>
          <w:szCs w:val="24"/>
        </w:rPr>
      </w:pPr>
      <w:r w:rsidRPr="00D41BD8">
        <w:rPr>
          <w:rFonts w:ascii="Times New Roman" w:eastAsia="Calibri" w:hAnsi="Times New Roman" w:cs="Times New Roman"/>
          <w:bCs/>
          <w:iCs/>
          <w:sz w:val="24"/>
          <w:szCs w:val="24"/>
        </w:rPr>
        <w:t>En effet, ces changements ne vont pas impacter de façon directe les comptes des entités mais c’est plutôt, l’application des règles déduites de ces nouveaux principes ainsi que leur interprétation qui va générer cet impact.</w:t>
      </w:r>
    </w:p>
    <w:p w:rsidR="00D41BD8" w:rsidRPr="00D41BD8" w:rsidRDefault="00D41BD8" w:rsidP="002A3F16">
      <w:pPr>
        <w:numPr>
          <w:ilvl w:val="0"/>
          <w:numId w:val="9"/>
        </w:numPr>
        <w:spacing w:before="60" w:beforeAutospacing="0" w:after="60" w:afterAutospacing="0" w:line="276" w:lineRule="auto"/>
        <w:contextualSpacing/>
        <w:jc w:val="both"/>
        <w:rPr>
          <w:rFonts w:ascii="Times New Roman" w:eastAsia="Calibri" w:hAnsi="Times New Roman" w:cs="Times New Roman"/>
          <w:b/>
          <w:bCs/>
          <w:sz w:val="24"/>
          <w:szCs w:val="24"/>
        </w:rPr>
      </w:pPr>
      <w:r w:rsidRPr="00D41BD8">
        <w:rPr>
          <w:rFonts w:ascii="Times New Roman" w:eastAsia="Calibri" w:hAnsi="Times New Roman" w:cs="Times New Roman"/>
          <w:b/>
          <w:bCs/>
          <w:sz w:val="24"/>
          <w:szCs w:val="24"/>
        </w:rPr>
        <w:t>La comptabilité d’engagement</w:t>
      </w:r>
    </w:p>
    <w:p w:rsidR="00D41BD8" w:rsidRPr="00D41BD8" w:rsidRDefault="00D41BD8" w:rsidP="00D41BD8">
      <w:pPr>
        <w:spacing w:before="60" w:beforeAutospacing="0" w:after="60" w:afterAutospacing="0" w:line="276" w:lineRule="auto"/>
        <w:jc w:val="both"/>
        <w:rPr>
          <w:rFonts w:ascii="Times New Roman" w:eastAsia="Calibri" w:hAnsi="Times New Roman" w:cs="Times New Roman"/>
          <w:b/>
          <w:bCs/>
          <w:sz w:val="24"/>
          <w:szCs w:val="24"/>
        </w:rPr>
      </w:pPr>
      <w:r w:rsidRPr="00D41BD8">
        <w:rPr>
          <w:rFonts w:ascii="Times New Roman" w:eastAsia="Calibri" w:hAnsi="Times New Roman" w:cs="Times New Roman"/>
          <w:bCs/>
          <w:sz w:val="24"/>
          <w:szCs w:val="24"/>
        </w:rPr>
        <w:t>La comptabilité d’engagement constitue une pierre angulaire dans le fondement des principes et convention contenus dans le cadre conceptuel de l’IASB. Selon cette convention les effets des transactions et autres évènements doivent être comptabilisés quand ces transactions ou évènements se produisent (et non pas lorsque intervient le versement ou la réception de trésorerie ou d’équivalents de trésorerie). Ce qui peut impacter la constitution des actifs et passifs du bilan en général.</w:t>
      </w:r>
    </w:p>
    <w:p w:rsidR="00D41BD8" w:rsidRPr="00D41BD8" w:rsidRDefault="00D41BD8" w:rsidP="002A3F16">
      <w:pPr>
        <w:numPr>
          <w:ilvl w:val="0"/>
          <w:numId w:val="9"/>
        </w:numPr>
        <w:spacing w:before="60" w:beforeAutospacing="0" w:after="60" w:afterAutospacing="0" w:line="276" w:lineRule="auto"/>
        <w:contextualSpacing/>
        <w:jc w:val="both"/>
        <w:rPr>
          <w:rFonts w:ascii="Times New Roman" w:eastAsia="Calibri" w:hAnsi="Times New Roman" w:cs="Times New Roman"/>
          <w:b/>
          <w:bCs/>
          <w:sz w:val="24"/>
          <w:szCs w:val="24"/>
        </w:rPr>
      </w:pPr>
      <w:r w:rsidRPr="00D41BD8">
        <w:rPr>
          <w:rFonts w:ascii="Times New Roman" w:eastAsia="Calibri" w:hAnsi="Times New Roman" w:cs="Times New Roman"/>
          <w:b/>
          <w:bCs/>
          <w:sz w:val="24"/>
          <w:szCs w:val="24"/>
        </w:rPr>
        <w:t xml:space="preserve">La primauté de la substance sur la forme « substance over </w:t>
      </w:r>
      <w:proofErr w:type="spellStart"/>
      <w:r w:rsidRPr="00D41BD8">
        <w:rPr>
          <w:rFonts w:ascii="Times New Roman" w:eastAsia="Calibri" w:hAnsi="Times New Roman" w:cs="Times New Roman"/>
          <w:b/>
          <w:bCs/>
          <w:sz w:val="24"/>
          <w:szCs w:val="24"/>
        </w:rPr>
        <w:t>form</w:t>
      </w:r>
      <w:proofErr w:type="spellEnd"/>
      <w:r w:rsidRPr="00D41BD8">
        <w:rPr>
          <w:rFonts w:ascii="Times New Roman" w:eastAsia="Calibri" w:hAnsi="Times New Roman" w:cs="Times New Roman"/>
          <w:b/>
          <w:bCs/>
          <w:sz w:val="24"/>
          <w:szCs w:val="24"/>
        </w:rPr>
        <w:t> » </w:t>
      </w:r>
    </w:p>
    <w:p w:rsidR="00D41BD8" w:rsidRPr="00D41BD8" w:rsidRDefault="00D41BD8" w:rsidP="00D41BD8">
      <w:pPr>
        <w:spacing w:before="60" w:beforeAutospacing="0" w:after="60" w:afterAutospacing="0" w:line="276" w:lineRule="auto"/>
        <w:jc w:val="both"/>
        <w:rPr>
          <w:rFonts w:ascii="Times New Roman" w:eastAsia="Calibri" w:hAnsi="Times New Roman" w:cs="Times New Roman"/>
          <w:bCs/>
          <w:iCs/>
          <w:sz w:val="24"/>
          <w:szCs w:val="24"/>
        </w:rPr>
      </w:pPr>
      <w:r w:rsidRPr="00D41BD8">
        <w:rPr>
          <w:rFonts w:ascii="Times New Roman" w:eastAsia="Calibri" w:hAnsi="Times New Roman" w:cs="Times New Roman"/>
          <w:bCs/>
          <w:iCs/>
          <w:sz w:val="24"/>
          <w:szCs w:val="24"/>
        </w:rPr>
        <w:t>Parmi les nouveaux principes contenus dans le cadre conceptuel de l’IASB, demeure le principe de la primauté de la substance sur la forme. La nouveauté apportée par ce principe se trouve dans la philosophie des normes IFRS qui occultent le fiscal et le juridique pour donner la primauté à la réalité économique. En outre, l’information est destinée à l’investisseur donc elle doit être économique et est orientée vers la performance. De ce fait, le nouveau référentiel s’éloigne de la vision patrimoniale (l’apparence juridique, la propriété), ce qui va donner lieu à une forte déconnexion entre le droit et la comptabilité en IFRS.</w:t>
      </w:r>
    </w:p>
    <w:p w:rsidR="00D41BD8" w:rsidRPr="00D41BD8" w:rsidRDefault="00D41BD8" w:rsidP="00D41BD8">
      <w:pPr>
        <w:spacing w:before="60" w:beforeAutospacing="0" w:after="60" w:afterAutospacing="0" w:line="276" w:lineRule="auto"/>
        <w:jc w:val="both"/>
        <w:rPr>
          <w:rFonts w:ascii="Times New Roman" w:eastAsia="Calibri" w:hAnsi="Times New Roman" w:cs="Times New Roman"/>
          <w:bCs/>
          <w:iCs/>
          <w:sz w:val="24"/>
          <w:szCs w:val="24"/>
        </w:rPr>
      </w:pPr>
      <w:r w:rsidRPr="00D41BD8">
        <w:rPr>
          <w:rFonts w:ascii="Times New Roman" w:eastAsia="Calibri" w:hAnsi="Times New Roman" w:cs="Times New Roman"/>
          <w:bCs/>
          <w:iCs/>
          <w:sz w:val="24"/>
          <w:szCs w:val="24"/>
        </w:rPr>
        <w:lastRenderedPageBreak/>
        <w:t>Selon le Conseil National Français de la Comptabilité, dans son rapport IAS-DROIT présenté le 20 décembre 2005, « On passe d’une comptabilité qui est la représentation chiffrée du patrimoine juridique, fondé sur le droit de propriété d’une entité et de l’évolution de celui-ci au cours d’un exercice, « la comptabilité est l’algèbre du droit » pour reprendre le titre d’un ouvrage devenu classique, à une comptabilité qui reflète les droits, obligations et avantages économiques qui sont à la disposition d’une entité (la valeur du patrimoine économique de l’entreprise)»</w:t>
      </w:r>
      <w:r w:rsidRPr="00D41BD8">
        <w:rPr>
          <w:rFonts w:ascii="Times New Roman" w:eastAsia="Calibri" w:hAnsi="Times New Roman" w:cs="Times New Roman"/>
          <w:bCs/>
          <w:iCs/>
          <w:sz w:val="24"/>
          <w:szCs w:val="24"/>
          <w:vertAlign w:val="superscript"/>
        </w:rPr>
        <w:footnoteReference w:id="53"/>
      </w:r>
      <w:r w:rsidRPr="00D41BD8">
        <w:rPr>
          <w:rFonts w:ascii="Times New Roman" w:eastAsia="Calibri" w:hAnsi="Times New Roman" w:cs="Times New Roman"/>
          <w:bCs/>
          <w:iCs/>
          <w:sz w:val="24"/>
          <w:szCs w:val="24"/>
        </w:rPr>
        <w:t>.</w:t>
      </w:r>
    </w:p>
    <w:p w:rsidR="00D41BD8" w:rsidRPr="00D41BD8" w:rsidRDefault="00D41BD8" w:rsidP="002A3F16">
      <w:pPr>
        <w:numPr>
          <w:ilvl w:val="0"/>
          <w:numId w:val="9"/>
        </w:numPr>
        <w:spacing w:before="60" w:beforeAutospacing="0" w:after="60" w:afterAutospacing="0" w:line="276" w:lineRule="auto"/>
        <w:contextualSpacing/>
        <w:jc w:val="both"/>
        <w:rPr>
          <w:rFonts w:ascii="Times New Roman" w:eastAsia="Calibri" w:hAnsi="Times New Roman" w:cs="Times New Roman"/>
          <w:b/>
          <w:bCs/>
          <w:sz w:val="24"/>
          <w:szCs w:val="24"/>
        </w:rPr>
      </w:pPr>
      <w:r w:rsidRPr="00D41BD8">
        <w:rPr>
          <w:rFonts w:ascii="Times New Roman" w:eastAsia="Calibri" w:hAnsi="Times New Roman" w:cs="Times New Roman"/>
          <w:b/>
          <w:bCs/>
          <w:sz w:val="24"/>
          <w:szCs w:val="24"/>
        </w:rPr>
        <w:t>La juste valeur « </w:t>
      </w:r>
      <w:proofErr w:type="spellStart"/>
      <w:r w:rsidRPr="00D41BD8">
        <w:rPr>
          <w:rFonts w:ascii="Times New Roman" w:eastAsia="Calibri" w:hAnsi="Times New Roman" w:cs="Times New Roman"/>
          <w:b/>
          <w:bCs/>
          <w:sz w:val="24"/>
          <w:szCs w:val="24"/>
        </w:rPr>
        <w:t>Fair</w:t>
      </w:r>
      <w:proofErr w:type="spellEnd"/>
      <w:r w:rsidRPr="00D41BD8">
        <w:rPr>
          <w:rFonts w:ascii="Times New Roman" w:eastAsia="Calibri" w:hAnsi="Times New Roman" w:cs="Times New Roman"/>
          <w:b/>
          <w:bCs/>
          <w:sz w:val="24"/>
          <w:szCs w:val="24"/>
        </w:rPr>
        <w:t>-value »</w:t>
      </w:r>
    </w:p>
    <w:p w:rsidR="00D41BD8" w:rsidRPr="00D41BD8" w:rsidRDefault="00D41BD8" w:rsidP="00D41BD8">
      <w:pPr>
        <w:spacing w:before="60" w:beforeAutospacing="0" w:after="60" w:afterAutospacing="0" w:line="276" w:lineRule="auto"/>
        <w:jc w:val="both"/>
        <w:rPr>
          <w:rFonts w:ascii="Times New Roman" w:eastAsia="Calibri" w:hAnsi="Times New Roman" w:cs="Times New Roman"/>
          <w:bCs/>
          <w:iCs/>
          <w:sz w:val="24"/>
          <w:szCs w:val="24"/>
        </w:rPr>
      </w:pPr>
      <w:r w:rsidRPr="00D41BD8">
        <w:rPr>
          <w:rFonts w:ascii="Times New Roman" w:eastAsia="Calibri" w:hAnsi="Times New Roman" w:cs="Times New Roman"/>
          <w:bCs/>
          <w:iCs/>
          <w:sz w:val="24"/>
          <w:szCs w:val="24"/>
        </w:rPr>
        <w:t>Le principe de convention du coût historique est toujours maintenu parmi les principes du référentiel comptable international. Mais cela reste sous réserve de certaines dispositions particulières, qui font recours à une notion toute à fait différente, à savoir « la juste valeur ».Il s’agit plus précisément des actifs et passifs financiers, immeubles de placement, certaines immobilisations corporelles (ou incorporelles) et autres.</w:t>
      </w:r>
    </w:p>
    <w:p w:rsidR="00D41BD8" w:rsidRPr="00D41BD8" w:rsidRDefault="00D41BD8" w:rsidP="00D41BD8">
      <w:pPr>
        <w:spacing w:before="60" w:beforeAutospacing="0" w:after="60" w:afterAutospacing="0" w:line="276" w:lineRule="auto"/>
        <w:jc w:val="both"/>
        <w:rPr>
          <w:rFonts w:ascii="Times New Roman" w:eastAsia="Calibri" w:hAnsi="Times New Roman" w:cs="Times New Roman"/>
          <w:bCs/>
          <w:iCs/>
          <w:sz w:val="24"/>
          <w:szCs w:val="24"/>
        </w:rPr>
      </w:pPr>
      <w:r w:rsidRPr="00D41BD8">
        <w:rPr>
          <w:rFonts w:ascii="Times New Roman" w:eastAsia="Calibri" w:hAnsi="Times New Roman" w:cs="Times New Roman"/>
          <w:bCs/>
          <w:iCs/>
          <w:sz w:val="24"/>
          <w:szCs w:val="24"/>
        </w:rPr>
        <w:t>La notion de la juste valeur est liée aux caractéristiques de l’information financière, et répond à l'optique financière des IFRS qui vise à satisfaire, en premier lieu, les besoins informationnels des investisseurs. Elle est définie par les normes IFRS comme étant « le montant pour lequel un actif pourrait être échangé, ou un passif éteint, entre des parties bien informées et consentantes dans le cadre d’une transaction effectuée dans des conditions de concurrence normale »</w:t>
      </w:r>
      <w:r w:rsidRPr="00D41BD8">
        <w:rPr>
          <w:rFonts w:ascii="Times New Roman" w:eastAsia="Calibri" w:hAnsi="Times New Roman" w:cs="Times New Roman"/>
          <w:bCs/>
          <w:iCs/>
          <w:sz w:val="24"/>
          <w:szCs w:val="24"/>
          <w:vertAlign w:val="superscript"/>
        </w:rPr>
        <w:footnoteReference w:id="54"/>
      </w:r>
      <w:r w:rsidRPr="00D41BD8">
        <w:rPr>
          <w:rFonts w:ascii="Times New Roman" w:eastAsia="Calibri" w:hAnsi="Times New Roman" w:cs="Times New Roman"/>
          <w:bCs/>
          <w:iCs/>
          <w:sz w:val="24"/>
          <w:szCs w:val="24"/>
        </w:rPr>
        <w:t>.</w:t>
      </w:r>
    </w:p>
    <w:p w:rsidR="00D41BD8" w:rsidRPr="00D41BD8" w:rsidRDefault="00D41BD8" w:rsidP="00D41BD8">
      <w:pPr>
        <w:spacing w:before="60" w:beforeAutospacing="0" w:after="60" w:afterAutospacing="0" w:line="276" w:lineRule="auto"/>
        <w:jc w:val="both"/>
        <w:rPr>
          <w:rFonts w:ascii="Times New Roman" w:eastAsia="Calibri" w:hAnsi="Times New Roman" w:cs="Times New Roman"/>
          <w:bCs/>
          <w:iCs/>
          <w:sz w:val="24"/>
          <w:szCs w:val="24"/>
        </w:rPr>
      </w:pPr>
      <w:r w:rsidRPr="00D41BD8">
        <w:rPr>
          <w:rFonts w:ascii="Times New Roman" w:eastAsia="Calibri" w:hAnsi="Times New Roman" w:cs="Times New Roman"/>
          <w:bCs/>
          <w:iCs/>
          <w:sz w:val="24"/>
          <w:szCs w:val="24"/>
        </w:rPr>
        <w:t>De nombreuses critiques ont été adressé à la méthode d’évaluation au coût historique, les défenseurs du principe de juste valeur reprochent à la comptabilisation en coût historique sa myopie vis-à-vis de l'évolution des marchés financiers et son incapacité à traduire la réalité économique et l'image fidèle du patrimoine de l'entreprise. En revanche, ils estiment que l’évaluation des actifs et passifs à leur juste valeur permet d’avoir une image plus réelle et fidèle du patrimoine de l'entreprise.</w:t>
      </w:r>
    </w:p>
    <w:p w:rsidR="00D41BD8" w:rsidRPr="00D41BD8" w:rsidRDefault="00D41BD8" w:rsidP="00D41BD8">
      <w:pPr>
        <w:spacing w:before="60" w:beforeAutospacing="0" w:after="60" w:afterAutospacing="0" w:line="276" w:lineRule="auto"/>
        <w:jc w:val="both"/>
        <w:rPr>
          <w:rFonts w:ascii="Times New Roman" w:eastAsia="Calibri" w:hAnsi="Times New Roman" w:cs="Times New Roman"/>
          <w:bCs/>
          <w:iCs/>
          <w:sz w:val="24"/>
          <w:szCs w:val="24"/>
        </w:rPr>
      </w:pPr>
      <w:r w:rsidRPr="00D41BD8">
        <w:rPr>
          <w:rFonts w:ascii="Times New Roman" w:eastAsia="Calibri" w:hAnsi="Times New Roman" w:cs="Times New Roman"/>
          <w:bCs/>
          <w:iCs/>
          <w:sz w:val="24"/>
          <w:szCs w:val="24"/>
        </w:rPr>
        <w:t xml:space="preserve">Partant de ce principe, la notion de juste valeur implique un changement important sur les postes du bilan de l'entreprise. Et ce, du fait que les actifs et les passifs sont enregistrés à leur juste valeur, qui englobe aussi bien la valeur de marché, si l'actif ou le passif est échangé sur un marché actif, que sa valeur d'utilité dans le cas contraire, ce qui implique la comptabilisation des plus ou moins-values latentes concernant ces actifs (ou passifs) et impactent les capitaux propres et résultat de l’entreprise. </w:t>
      </w:r>
    </w:p>
    <w:p w:rsidR="00D41BD8" w:rsidRPr="00D41BD8" w:rsidRDefault="00D41BD8" w:rsidP="002A3F16">
      <w:pPr>
        <w:numPr>
          <w:ilvl w:val="0"/>
          <w:numId w:val="8"/>
        </w:numPr>
        <w:spacing w:before="60" w:beforeAutospacing="0" w:after="60" w:afterAutospacing="0" w:line="276" w:lineRule="auto"/>
        <w:contextualSpacing/>
        <w:jc w:val="both"/>
        <w:rPr>
          <w:rFonts w:ascii="Times New Roman" w:eastAsia="Calibri" w:hAnsi="Times New Roman" w:cs="Times New Roman"/>
          <w:b/>
          <w:i/>
          <w:sz w:val="26"/>
          <w:szCs w:val="26"/>
        </w:rPr>
      </w:pPr>
      <w:r w:rsidRPr="00D41BD8">
        <w:rPr>
          <w:rFonts w:ascii="Times New Roman" w:eastAsia="Calibri" w:hAnsi="Times New Roman" w:cs="Times New Roman"/>
          <w:b/>
          <w:i/>
          <w:sz w:val="26"/>
          <w:szCs w:val="26"/>
        </w:rPr>
        <w:t>Caractéristiques et contenu de l’information financière</w:t>
      </w:r>
    </w:p>
    <w:p w:rsidR="00D41BD8" w:rsidRPr="00D41BD8" w:rsidRDefault="00D41BD8" w:rsidP="00D41BD8">
      <w:pPr>
        <w:spacing w:before="60" w:beforeAutospacing="0" w:after="60" w:afterAutospacing="0" w:line="276" w:lineRule="auto"/>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 xml:space="preserve">Les normes IAS introduisent de nouveaux concepts fondamentaux : </w:t>
      </w:r>
    </w:p>
    <w:p w:rsidR="00D41BD8" w:rsidRPr="00D41BD8" w:rsidRDefault="00D41BD8" w:rsidP="002A3F16">
      <w:pPr>
        <w:numPr>
          <w:ilvl w:val="0"/>
          <w:numId w:val="12"/>
        </w:numPr>
        <w:spacing w:before="60" w:beforeAutospacing="0" w:after="60" w:afterAutospacing="0" w:line="276" w:lineRule="auto"/>
        <w:ind w:left="357" w:hanging="357"/>
        <w:contextualSpacing/>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lastRenderedPageBreak/>
        <w:t xml:space="preserve">L’information comptable doit être « intelligible », elle doit permettre de se forger une opinion éclairée sur l’entreprise, ses activités et ses comptes. Ainsi les états financiers doivent utiliser des termes ou des ratios connus ou reconnus par tous.  </w:t>
      </w:r>
    </w:p>
    <w:p w:rsidR="00D41BD8" w:rsidRPr="00D41BD8" w:rsidRDefault="00D41BD8" w:rsidP="002A3F16">
      <w:pPr>
        <w:numPr>
          <w:ilvl w:val="0"/>
          <w:numId w:val="13"/>
        </w:numPr>
        <w:spacing w:before="60" w:beforeAutospacing="0" w:after="60" w:afterAutospacing="0" w:line="276" w:lineRule="auto"/>
        <w:ind w:left="357" w:hanging="357"/>
        <w:contextualSpacing/>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 xml:space="preserve">L’information doit être pertinente afin de permettre à l’utilisateur de corriger ou confirmer ses prévisions et de prendre éventuellement toute décision économique qui s’imposerait. </w:t>
      </w:r>
    </w:p>
    <w:p w:rsidR="00D41BD8" w:rsidRPr="00D41BD8" w:rsidRDefault="00D41BD8" w:rsidP="002A3F16">
      <w:pPr>
        <w:numPr>
          <w:ilvl w:val="0"/>
          <w:numId w:val="13"/>
        </w:numPr>
        <w:spacing w:before="60" w:beforeAutospacing="0" w:after="60" w:afterAutospacing="0" w:line="276" w:lineRule="auto"/>
        <w:ind w:left="357" w:hanging="357"/>
        <w:contextualSpacing/>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 xml:space="preserve">La notion d’importance relative : une information ne doit être divulguée que si elle apporte des éléments utiles à la prise de décision. </w:t>
      </w:r>
    </w:p>
    <w:p w:rsidR="00D41BD8" w:rsidRPr="00D41BD8" w:rsidRDefault="00D41BD8" w:rsidP="002A3F16">
      <w:pPr>
        <w:numPr>
          <w:ilvl w:val="0"/>
          <w:numId w:val="13"/>
        </w:numPr>
        <w:spacing w:before="60" w:beforeAutospacing="0" w:after="60" w:afterAutospacing="0" w:line="276" w:lineRule="auto"/>
        <w:ind w:left="357" w:hanging="357"/>
        <w:contextualSpacing/>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 xml:space="preserve">L’information comptable doit être fiable et permettre d’être utilisée sans risque d’erreur. </w:t>
      </w:r>
    </w:p>
    <w:p w:rsidR="00D41BD8" w:rsidRPr="00D41BD8" w:rsidRDefault="00D41BD8" w:rsidP="00D41BD8">
      <w:pPr>
        <w:spacing w:before="60" w:beforeAutospacing="0" w:after="60" w:afterAutospacing="0" w:line="276" w:lineRule="auto"/>
        <w:jc w:val="both"/>
        <w:rPr>
          <w:rFonts w:ascii="Calibri" w:eastAsia="Calibri" w:hAnsi="Calibri" w:cs="Arial"/>
          <w:color w:val="FF0000"/>
        </w:rPr>
      </w:pPr>
      <w:r w:rsidRPr="00D41BD8">
        <w:rPr>
          <w:rFonts w:ascii="Times New Roman" w:eastAsia="Calibri" w:hAnsi="Times New Roman" w:cs="Times New Roman"/>
          <w:sz w:val="24"/>
          <w:szCs w:val="24"/>
        </w:rPr>
        <w:t>En outre, l’information est plus économique, orientée vers la mesure de la performance et elle vise à améliorer la fiabilité des prévisions.</w:t>
      </w:r>
    </w:p>
    <w:p w:rsidR="00D41BD8" w:rsidRPr="00D41BD8" w:rsidRDefault="00D41BD8" w:rsidP="00D41BD8">
      <w:pPr>
        <w:spacing w:before="60" w:beforeAutospacing="0" w:after="60" w:afterAutospacing="0" w:line="276" w:lineRule="auto"/>
        <w:rPr>
          <w:rFonts w:ascii="Times New Roman" w:eastAsia="Calibri" w:hAnsi="Times New Roman" w:cs="Times New Roman"/>
          <w:b/>
          <w:sz w:val="26"/>
          <w:szCs w:val="26"/>
        </w:rPr>
      </w:pPr>
    </w:p>
    <w:p w:rsidR="00D41BD8" w:rsidRPr="00D41BD8" w:rsidRDefault="00D41BD8" w:rsidP="00D41BD8">
      <w:pPr>
        <w:spacing w:before="0" w:beforeAutospacing="0" w:after="200" w:afterAutospacing="0" w:line="276" w:lineRule="auto"/>
        <w:rPr>
          <w:rFonts w:ascii="Times New Roman" w:eastAsia="Calibri" w:hAnsi="Times New Roman" w:cs="Times New Roman"/>
          <w:b/>
          <w:sz w:val="26"/>
          <w:szCs w:val="26"/>
        </w:rPr>
      </w:pPr>
    </w:p>
    <w:p w:rsidR="00D41BD8" w:rsidRPr="00D41BD8" w:rsidRDefault="00D41BD8" w:rsidP="00D41BD8">
      <w:pPr>
        <w:spacing w:before="0" w:beforeAutospacing="0" w:after="200" w:afterAutospacing="0" w:line="276" w:lineRule="auto"/>
        <w:rPr>
          <w:rFonts w:ascii="Times New Roman" w:eastAsia="Calibri" w:hAnsi="Times New Roman" w:cs="Times New Roman"/>
          <w:b/>
          <w:sz w:val="26"/>
          <w:szCs w:val="26"/>
        </w:rPr>
      </w:pPr>
    </w:p>
    <w:p w:rsidR="00D41BD8" w:rsidRDefault="00D41BD8" w:rsidP="00D41BD8">
      <w:pPr>
        <w:spacing w:before="0" w:beforeAutospacing="0" w:after="200" w:afterAutospacing="0" w:line="276" w:lineRule="auto"/>
        <w:rPr>
          <w:rFonts w:ascii="Times New Roman" w:eastAsia="Calibri" w:hAnsi="Times New Roman" w:cs="Times New Roman"/>
          <w:b/>
          <w:sz w:val="26"/>
          <w:szCs w:val="26"/>
        </w:rPr>
      </w:pPr>
    </w:p>
    <w:p w:rsidR="00D41BD8" w:rsidRDefault="00D41BD8" w:rsidP="00D41BD8">
      <w:pPr>
        <w:spacing w:before="0" w:beforeAutospacing="0" w:after="200" w:afterAutospacing="0" w:line="276" w:lineRule="auto"/>
        <w:rPr>
          <w:rFonts w:ascii="Times New Roman" w:eastAsia="Calibri" w:hAnsi="Times New Roman" w:cs="Times New Roman"/>
          <w:b/>
          <w:sz w:val="26"/>
          <w:szCs w:val="26"/>
        </w:rPr>
      </w:pPr>
    </w:p>
    <w:p w:rsidR="00D41BD8" w:rsidRDefault="00D41BD8" w:rsidP="00D41BD8">
      <w:pPr>
        <w:spacing w:before="0" w:beforeAutospacing="0" w:after="200" w:afterAutospacing="0" w:line="276" w:lineRule="auto"/>
        <w:rPr>
          <w:rFonts w:ascii="Times New Roman" w:eastAsia="Calibri" w:hAnsi="Times New Roman" w:cs="Times New Roman"/>
          <w:b/>
          <w:sz w:val="26"/>
          <w:szCs w:val="26"/>
        </w:rPr>
      </w:pPr>
    </w:p>
    <w:p w:rsidR="00D41BD8" w:rsidRDefault="00D41BD8" w:rsidP="00D41BD8">
      <w:pPr>
        <w:spacing w:before="0" w:beforeAutospacing="0" w:after="200" w:afterAutospacing="0" w:line="276" w:lineRule="auto"/>
        <w:rPr>
          <w:rFonts w:ascii="Times New Roman" w:eastAsia="Calibri" w:hAnsi="Times New Roman" w:cs="Times New Roman"/>
          <w:b/>
          <w:sz w:val="26"/>
          <w:szCs w:val="26"/>
        </w:rPr>
      </w:pPr>
    </w:p>
    <w:p w:rsidR="00D41BD8" w:rsidRDefault="00D41BD8" w:rsidP="00D41BD8">
      <w:pPr>
        <w:spacing w:before="0" w:beforeAutospacing="0" w:after="200" w:afterAutospacing="0" w:line="276" w:lineRule="auto"/>
        <w:rPr>
          <w:rFonts w:ascii="Times New Roman" w:eastAsia="Calibri" w:hAnsi="Times New Roman" w:cs="Times New Roman"/>
          <w:b/>
          <w:sz w:val="26"/>
          <w:szCs w:val="26"/>
        </w:rPr>
      </w:pPr>
    </w:p>
    <w:p w:rsidR="00D41BD8" w:rsidRDefault="00D41BD8" w:rsidP="00D41BD8">
      <w:pPr>
        <w:spacing w:before="0" w:beforeAutospacing="0" w:after="200" w:afterAutospacing="0" w:line="276" w:lineRule="auto"/>
        <w:rPr>
          <w:rFonts w:ascii="Times New Roman" w:eastAsia="Calibri" w:hAnsi="Times New Roman" w:cs="Times New Roman"/>
          <w:b/>
          <w:sz w:val="26"/>
          <w:szCs w:val="26"/>
        </w:rPr>
      </w:pPr>
    </w:p>
    <w:p w:rsidR="00D41BD8" w:rsidRDefault="00D41BD8" w:rsidP="00D41BD8">
      <w:pPr>
        <w:spacing w:before="0" w:beforeAutospacing="0" w:after="200" w:afterAutospacing="0" w:line="276" w:lineRule="auto"/>
        <w:rPr>
          <w:rFonts w:ascii="Times New Roman" w:eastAsia="Calibri" w:hAnsi="Times New Roman" w:cs="Times New Roman"/>
          <w:b/>
          <w:sz w:val="26"/>
          <w:szCs w:val="26"/>
        </w:rPr>
      </w:pPr>
    </w:p>
    <w:p w:rsidR="00D41BD8" w:rsidRDefault="00D41BD8" w:rsidP="00D41BD8">
      <w:pPr>
        <w:spacing w:before="0" w:beforeAutospacing="0" w:after="200" w:afterAutospacing="0" w:line="276" w:lineRule="auto"/>
        <w:rPr>
          <w:rFonts w:ascii="Times New Roman" w:eastAsia="Calibri" w:hAnsi="Times New Roman" w:cs="Times New Roman"/>
          <w:b/>
          <w:sz w:val="26"/>
          <w:szCs w:val="26"/>
        </w:rPr>
      </w:pPr>
    </w:p>
    <w:p w:rsidR="00D41BD8" w:rsidRDefault="00D41BD8" w:rsidP="00D41BD8">
      <w:pPr>
        <w:spacing w:before="0" w:beforeAutospacing="0" w:after="200" w:afterAutospacing="0" w:line="276" w:lineRule="auto"/>
        <w:rPr>
          <w:rFonts w:ascii="Times New Roman" w:eastAsia="Calibri" w:hAnsi="Times New Roman" w:cs="Times New Roman"/>
          <w:b/>
          <w:sz w:val="26"/>
          <w:szCs w:val="26"/>
        </w:rPr>
      </w:pPr>
    </w:p>
    <w:p w:rsidR="00D41BD8" w:rsidRDefault="00D41BD8" w:rsidP="00D41BD8">
      <w:pPr>
        <w:spacing w:before="0" w:beforeAutospacing="0" w:after="200" w:afterAutospacing="0" w:line="276" w:lineRule="auto"/>
        <w:rPr>
          <w:rFonts w:ascii="Times New Roman" w:eastAsia="Calibri" w:hAnsi="Times New Roman" w:cs="Times New Roman"/>
          <w:b/>
          <w:sz w:val="26"/>
          <w:szCs w:val="26"/>
        </w:rPr>
      </w:pPr>
    </w:p>
    <w:p w:rsidR="00D41BD8" w:rsidRDefault="00D41BD8" w:rsidP="00D41BD8">
      <w:pPr>
        <w:spacing w:before="0" w:beforeAutospacing="0" w:after="200" w:afterAutospacing="0" w:line="276" w:lineRule="auto"/>
        <w:rPr>
          <w:rFonts w:ascii="Times New Roman" w:eastAsia="Calibri" w:hAnsi="Times New Roman" w:cs="Times New Roman"/>
          <w:b/>
          <w:sz w:val="26"/>
          <w:szCs w:val="26"/>
        </w:rPr>
      </w:pPr>
    </w:p>
    <w:p w:rsidR="00D41BD8" w:rsidRPr="00D41BD8" w:rsidRDefault="00D41BD8" w:rsidP="00D41BD8">
      <w:pPr>
        <w:spacing w:before="0" w:beforeAutospacing="0" w:after="200" w:afterAutospacing="0" w:line="276" w:lineRule="auto"/>
        <w:rPr>
          <w:rFonts w:ascii="Times New Roman" w:eastAsia="Calibri" w:hAnsi="Times New Roman" w:cs="Times New Roman"/>
          <w:b/>
          <w:sz w:val="26"/>
          <w:szCs w:val="26"/>
        </w:rPr>
      </w:pPr>
    </w:p>
    <w:p w:rsidR="00D41BD8" w:rsidRPr="00D41BD8" w:rsidRDefault="00D41BD8" w:rsidP="00D41BD8">
      <w:pPr>
        <w:spacing w:before="0" w:beforeAutospacing="0" w:after="200" w:afterAutospacing="0" w:line="276" w:lineRule="auto"/>
        <w:rPr>
          <w:rFonts w:ascii="Times New Roman" w:eastAsia="Calibri" w:hAnsi="Times New Roman" w:cs="Times New Roman"/>
          <w:b/>
          <w:sz w:val="26"/>
          <w:szCs w:val="26"/>
        </w:rPr>
      </w:pPr>
    </w:p>
    <w:p w:rsidR="00D41BD8" w:rsidRPr="00D41BD8" w:rsidRDefault="00D41BD8" w:rsidP="00D41BD8">
      <w:pPr>
        <w:spacing w:before="0" w:beforeAutospacing="0" w:after="200" w:afterAutospacing="0" w:line="276" w:lineRule="auto"/>
        <w:rPr>
          <w:rFonts w:ascii="Times New Roman" w:eastAsia="Calibri" w:hAnsi="Times New Roman" w:cs="Times New Roman"/>
          <w:b/>
          <w:sz w:val="26"/>
          <w:szCs w:val="26"/>
        </w:rPr>
      </w:pPr>
    </w:p>
    <w:p w:rsidR="00D41BD8" w:rsidRPr="00D41BD8" w:rsidRDefault="00D41BD8" w:rsidP="00D41BD8">
      <w:pPr>
        <w:spacing w:before="0" w:beforeAutospacing="0" w:after="200" w:afterAutospacing="0" w:line="276" w:lineRule="auto"/>
        <w:rPr>
          <w:rFonts w:ascii="Times New Roman" w:eastAsia="Calibri" w:hAnsi="Times New Roman" w:cs="Times New Roman"/>
          <w:b/>
          <w:i/>
          <w:sz w:val="26"/>
          <w:szCs w:val="26"/>
        </w:rPr>
      </w:pPr>
      <w:r w:rsidRPr="00D41BD8">
        <w:rPr>
          <w:rFonts w:ascii="Times New Roman" w:eastAsia="Calibri" w:hAnsi="Times New Roman" w:cs="Times New Roman"/>
          <w:b/>
          <w:i/>
          <w:sz w:val="26"/>
          <w:szCs w:val="26"/>
        </w:rPr>
        <w:lastRenderedPageBreak/>
        <w:t>Section 2 : L’arbitrage comptable et son impact sur les comptes des entreprises</w:t>
      </w:r>
    </w:p>
    <w:p w:rsidR="00D41BD8" w:rsidRPr="00D41BD8" w:rsidRDefault="00D41BD8" w:rsidP="00D41BD8">
      <w:pPr>
        <w:spacing w:before="0" w:beforeAutospacing="0" w:after="60" w:afterAutospacing="0" w:line="276" w:lineRule="auto"/>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Dans la première section, on a présenté les principales nouveautés apportées par le référentiel comptable international, et qui peuvent apporter des éléments explicatifs concernant les impacts constatés sur la situation financière des entités adoptant les IAS/IFRS. Il se trouve, également, que l’impact de la transition aux normes internationales (ou bien vers un système convergent au référentiel international, tel que le système comptable et financier Algérien) peut varier d’une entité à une autre et d’un pays à un autre. Ce qui est expliqué par d’autres paramètres liés aux spécificités des entreprises et de leur environnement économique et réglementaire.</w:t>
      </w:r>
    </w:p>
    <w:p w:rsidR="00D41BD8" w:rsidRPr="00D41BD8" w:rsidRDefault="00D41BD8" w:rsidP="00D41BD8">
      <w:pPr>
        <w:spacing w:before="0" w:beforeAutospacing="0" w:after="60" w:afterAutospacing="0" w:line="276" w:lineRule="auto"/>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 xml:space="preserve">Autrement, les entités effectuent généralement des arbitrages dans leurs décisions de passage qui sont liés à leurs caractéristiques spécifiques et leur environnement. De ce fait, qu’est-ce qu’il peut justifier ces arbitrages ? Quelle est la marge de liberté laissée à la disposition des entités dans le cadre des normes IAS/IFRS ? Et quel pourrait être l’impact relatif à cet aspect ? Des questions </w:t>
      </w:r>
      <w:proofErr w:type="spellStart"/>
      <w:r w:rsidRPr="00D41BD8">
        <w:rPr>
          <w:rFonts w:ascii="Times New Roman" w:eastAsia="Calibri" w:hAnsi="Times New Roman" w:cs="Times New Roman"/>
          <w:sz w:val="24"/>
          <w:szCs w:val="24"/>
        </w:rPr>
        <w:t>aux quelles</w:t>
      </w:r>
      <w:proofErr w:type="spellEnd"/>
      <w:r w:rsidRPr="00D41BD8">
        <w:rPr>
          <w:rFonts w:ascii="Times New Roman" w:eastAsia="Calibri" w:hAnsi="Times New Roman" w:cs="Times New Roman"/>
          <w:sz w:val="24"/>
          <w:szCs w:val="24"/>
        </w:rPr>
        <w:t xml:space="preserve"> on essayera de répondre tout au long de l’actuelle section.</w:t>
      </w:r>
    </w:p>
    <w:p w:rsidR="00D41BD8" w:rsidRPr="00D41BD8" w:rsidRDefault="00D41BD8" w:rsidP="00D41BD8">
      <w:pPr>
        <w:spacing w:before="120" w:beforeAutospacing="0" w:after="120" w:afterAutospacing="0" w:line="276" w:lineRule="auto"/>
        <w:jc w:val="both"/>
        <w:rPr>
          <w:rFonts w:ascii="Times New Roman" w:eastAsia="Calibri" w:hAnsi="Times New Roman" w:cs="Times New Roman"/>
          <w:b/>
          <w:sz w:val="24"/>
          <w:szCs w:val="24"/>
        </w:rPr>
      </w:pPr>
      <w:r w:rsidRPr="00D41BD8">
        <w:rPr>
          <w:rFonts w:ascii="Times New Roman" w:eastAsia="Calibri" w:hAnsi="Times New Roman" w:cs="Times New Roman"/>
          <w:b/>
          <w:sz w:val="24"/>
          <w:szCs w:val="24"/>
        </w:rPr>
        <w:t xml:space="preserve">2.1. Les sources d’incertitudes en comptabilité </w:t>
      </w:r>
    </w:p>
    <w:p w:rsidR="00D41BD8" w:rsidRPr="00D41BD8" w:rsidRDefault="00D41BD8" w:rsidP="00D41BD8">
      <w:pPr>
        <w:spacing w:before="60" w:beforeAutospacing="0" w:after="60" w:afterAutospacing="0" w:line="276" w:lineRule="auto"/>
        <w:jc w:val="both"/>
        <w:rPr>
          <w:rFonts w:ascii="Times New Roman" w:eastAsia="Calibri" w:hAnsi="Times New Roman" w:cs="Times New Roman"/>
          <w:b/>
          <w:bCs/>
          <w:color w:val="943634"/>
          <w:sz w:val="24"/>
          <w:szCs w:val="24"/>
        </w:rPr>
      </w:pPr>
      <w:r w:rsidRPr="00D41BD8">
        <w:rPr>
          <w:rFonts w:ascii="Times New Roman" w:eastAsia="Calibri" w:hAnsi="Times New Roman" w:cs="Times New Roman"/>
          <w:sz w:val="24"/>
          <w:szCs w:val="24"/>
        </w:rPr>
        <w:t>Dans l’absence d’une réglementation comptable, le praticien en comptabilité (ou tout autre utilisateur de l’information comptable) va être confronté à plusieurs sources d’incertitude. Ces incertitudes peuvent être considérées comme étant des sources potentielles qui obligent le comptable (ou le régulateur) à faire recours à des arbitrages lors du choix des méthodes à appliquer ou même pour la présentation et la divulgation de l’information comptable. Voici les principaux sources d’incertitudes telles quelles étaient présentées par M.AMBLARD, dans son article « Conventions et modélisation comptable »</w:t>
      </w:r>
      <w:r w:rsidRPr="00D41BD8">
        <w:rPr>
          <w:rFonts w:ascii="Times New Roman" w:eastAsia="Calibri" w:hAnsi="Times New Roman" w:cs="Times New Roman"/>
          <w:sz w:val="24"/>
          <w:szCs w:val="24"/>
          <w:vertAlign w:val="superscript"/>
        </w:rPr>
        <w:footnoteReference w:id="55"/>
      </w:r>
      <w:r w:rsidRPr="00D41BD8">
        <w:rPr>
          <w:rFonts w:ascii="Times New Roman" w:eastAsia="Calibri" w:hAnsi="Times New Roman" w:cs="Times New Roman"/>
          <w:sz w:val="24"/>
          <w:szCs w:val="24"/>
        </w:rPr>
        <w:t>.</w:t>
      </w:r>
    </w:p>
    <w:p w:rsidR="00D41BD8" w:rsidRPr="00D41BD8" w:rsidRDefault="00D41BD8" w:rsidP="002A3F16">
      <w:pPr>
        <w:numPr>
          <w:ilvl w:val="0"/>
          <w:numId w:val="13"/>
        </w:numPr>
        <w:autoSpaceDE w:val="0"/>
        <w:autoSpaceDN w:val="0"/>
        <w:adjustRightInd w:val="0"/>
        <w:spacing w:before="60" w:beforeAutospacing="0" w:after="60" w:afterAutospacing="0" w:line="276" w:lineRule="auto"/>
        <w:ind w:left="357" w:hanging="357"/>
        <w:contextualSpacing/>
        <w:jc w:val="left"/>
        <w:rPr>
          <w:rFonts w:ascii="Times New Roman" w:eastAsia="Calibri" w:hAnsi="Times New Roman" w:cs="Times New Roman"/>
          <w:b/>
          <w:bCs/>
          <w:sz w:val="24"/>
          <w:szCs w:val="24"/>
        </w:rPr>
      </w:pPr>
      <w:r w:rsidRPr="00D41BD8">
        <w:rPr>
          <w:rFonts w:ascii="Times New Roman" w:eastAsia="Calibri" w:hAnsi="Times New Roman" w:cs="Times New Roman"/>
          <w:b/>
          <w:bCs/>
          <w:sz w:val="24"/>
          <w:szCs w:val="24"/>
        </w:rPr>
        <w:t>Première source d’incertitude : la délimitation du champ d’observation</w:t>
      </w:r>
    </w:p>
    <w:p w:rsidR="00D41BD8" w:rsidRPr="00D41BD8" w:rsidRDefault="00D41BD8" w:rsidP="00D41BD8">
      <w:pPr>
        <w:spacing w:before="60" w:beforeAutospacing="0" w:after="60" w:afterAutospacing="0" w:line="276" w:lineRule="auto"/>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 xml:space="preserve">Pour expliquer cet aspect, l’auteur à citer un exemple de questions qui peuvent venir à l’esprit des acteurs de la comptabilité. Telle que : De qui tient-on la comptabilité ? Où commence l’entreprise, où s’arrête-t-elle ? Doit-on distinguer les comptes de l’entreprise et ceux de son propriétaire ? La modélisation comptable implique que soit préalablement définis les critères qui permettront de sélectionner les événements relevant de la représentation. </w:t>
      </w:r>
    </w:p>
    <w:p w:rsidR="00D41BD8" w:rsidRPr="00D41BD8" w:rsidRDefault="00D41BD8" w:rsidP="00D41BD8">
      <w:pPr>
        <w:spacing w:before="60" w:beforeAutospacing="0" w:after="60" w:afterAutospacing="0" w:line="276" w:lineRule="auto"/>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 xml:space="preserve">Les moyens physiques et financiers mis à la disposition de l’entreprise sont inscrits à l’actif du bilan, pourquoi ne pas enregistrer les moyens humains dont l’importance va en s’accroissant ? Quelles réactions faut-il avoir face aux événements écologiques et </w:t>
      </w:r>
      <w:r w:rsidRPr="00D41BD8">
        <w:rPr>
          <w:rFonts w:ascii="Times New Roman" w:eastAsia="Calibri" w:hAnsi="Times New Roman" w:cs="Times New Roman"/>
          <w:sz w:val="24"/>
          <w:szCs w:val="24"/>
        </w:rPr>
        <w:lastRenderedPageBreak/>
        <w:t xml:space="preserve">sociaux ? Sur quels critères doit-on se fonder pour juger si une dépense est une charge ou une affectation du résultat ? </w:t>
      </w:r>
    </w:p>
    <w:p w:rsidR="00D41BD8" w:rsidRPr="00D41BD8" w:rsidRDefault="00D41BD8" w:rsidP="002A3F16">
      <w:pPr>
        <w:numPr>
          <w:ilvl w:val="0"/>
          <w:numId w:val="13"/>
        </w:numPr>
        <w:autoSpaceDE w:val="0"/>
        <w:autoSpaceDN w:val="0"/>
        <w:adjustRightInd w:val="0"/>
        <w:spacing w:before="60" w:beforeAutospacing="0" w:after="60" w:afterAutospacing="0" w:line="276" w:lineRule="auto"/>
        <w:ind w:left="357" w:hanging="357"/>
        <w:contextualSpacing/>
        <w:jc w:val="left"/>
        <w:rPr>
          <w:rFonts w:ascii="Times New Roman" w:eastAsia="Calibri" w:hAnsi="Times New Roman" w:cs="Times New Roman"/>
          <w:b/>
          <w:bCs/>
          <w:sz w:val="24"/>
          <w:szCs w:val="24"/>
        </w:rPr>
      </w:pPr>
      <w:r w:rsidRPr="00D41BD8">
        <w:rPr>
          <w:rFonts w:ascii="Times New Roman" w:eastAsia="Calibri" w:hAnsi="Times New Roman" w:cs="Times New Roman"/>
          <w:b/>
          <w:bCs/>
          <w:sz w:val="24"/>
          <w:szCs w:val="24"/>
        </w:rPr>
        <w:t>Deuxième source d’incertitude : le langage</w:t>
      </w:r>
    </w:p>
    <w:p w:rsidR="00D41BD8" w:rsidRPr="00D41BD8" w:rsidRDefault="00D41BD8" w:rsidP="00D41BD8">
      <w:pPr>
        <w:spacing w:before="60" w:beforeAutospacing="0" w:after="60" w:afterAutospacing="0" w:line="276" w:lineRule="auto"/>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Une seconde série de questions relatives à la façon de traduire et communiquer les flux repérés dans le champ d’observation, pourrait, de la même façon, plonger le praticien dans l’incertitude.</w:t>
      </w:r>
    </w:p>
    <w:p w:rsidR="00D41BD8" w:rsidRPr="00D41BD8" w:rsidRDefault="00D41BD8" w:rsidP="00D41BD8">
      <w:pPr>
        <w:spacing w:before="60" w:beforeAutospacing="0" w:after="60" w:afterAutospacing="0" w:line="276" w:lineRule="auto"/>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 xml:space="preserve">Comment exprimer les faits observés ? Comment mesurer les flux qui naissent de l’activité de l’entreprise ? Autrement dit, quel critère de mesure utiliser ? Une fois fixé le principe de quantification monétaire, une autre question pourrait tarauder le comptable : la monnaie n’étant pas un </w:t>
      </w:r>
      <w:proofErr w:type="spellStart"/>
      <w:r w:rsidRPr="00D41BD8">
        <w:rPr>
          <w:rFonts w:ascii="Times New Roman" w:eastAsia="Calibri" w:hAnsi="Times New Roman" w:cs="Times New Roman"/>
          <w:sz w:val="24"/>
          <w:szCs w:val="24"/>
        </w:rPr>
        <w:t>valorimètre</w:t>
      </w:r>
      <w:proofErr w:type="spellEnd"/>
      <w:r w:rsidRPr="00D41BD8">
        <w:rPr>
          <w:rFonts w:ascii="Times New Roman" w:eastAsia="Calibri" w:hAnsi="Times New Roman" w:cs="Times New Roman"/>
          <w:sz w:val="24"/>
          <w:szCs w:val="24"/>
        </w:rPr>
        <w:t xml:space="preserve"> universel, comment donner une expression monétaire à certains événements qui relèvent notamment du non marchand ou du qualitatif ? Le comptable doit-il pour autant les ignorer ? L’unité monétaire n’est pas un étalon constant, dès lors, comment agréger des sommes exprimées à des époques différentes ? Doit-on procéder à des réévaluations régulières ou bien négliger ce facteur ? L’unité monétaire n’étant pas non plus commune à tous les pays, comment, en conséquence, résoudre les problèmes de conversion lorsque l’entreprise exerce des activités internationales ?</w:t>
      </w:r>
    </w:p>
    <w:p w:rsidR="00D41BD8" w:rsidRPr="00D41BD8" w:rsidRDefault="00D41BD8" w:rsidP="002A3F16">
      <w:pPr>
        <w:numPr>
          <w:ilvl w:val="0"/>
          <w:numId w:val="13"/>
        </w:numPr>
        <w:autoSpaceDE w:val="0"/>
        <w:autoSpaceDN w:val="0"/>
        <w:adjustRightInd w:val="0"/>
        <w:spacing w:before="60" w:beforeAutospacing="0" w:after="60" w:afterAutospacing="0" w:line="276" w:lineRule="auto"/>
        <w:ind w:left="357" w:hanging="357"/>
        <w:contextualSpacing/>
        <w:jc w:val="left"/>
        <w:rPr>
          <w:rFonts w:ascii="Times New Roman" w:eastAsia="Calibri" w:hAnsi="Times New Roman" w:cs="Times New Roman"/>
          <w:b/>
          <w:bCs/>
          <w:sz w:val="24"/>
          <w:szCs w:val="24"/>
        </w:rPr>
      </w:pPr>
      <w:r w:rsidRPr="00D41BD8">
        <w:rPr>
          <w:rFonts w:ascii="Times New Roman" w:eastAsia="Calibri" w:hAnsi="Times New Roman" w:cs="Times New Roman"/>
          <w:b/>
          <w:bCs/>
          <w:sz w:val="24"/>
          <w:szCs w:val="24"/>
        </w:rPr>
        <w:t>Troisième source d’incertitude : la procédure</w:t>
      </w:r>
    </w:p>
    <w:p w:rsidR="00D41BD8" w:rsidRPr="00D41BD8" w:rsidRDefault="00D41BD8" w:rsidP="00D41BD8">
      <w:pPr>
        <w:spacing w:before="60" w:beforeAutospacing="0" w:after="60" w:afterAutospacing="0" w:line="276" w:lineRule="auto"/>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Après avoir repéré le champ d’observation et le symbolisme utilisé, un certain nombre de questions se posent quant à la procédure à suivre :</w:t>
      </w:r>
    </w:p>
    <w:p w:rsidR="00D41BD8" w:rsidRPr="00D41BD8" w:rsidRDefault="00D41BD8" w:rsidP="00D41BD8">
      <w:pPr>
        <w:spacing w:before="60" w:beforeAutospacing="0" w:after="60" w:afterAutospacing="0" w:line="276" w:lineRule="auto"/>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La tenue d’une comptabilité est-elle obligatoire ? Comment effectuer la saisie des informations sélectionnées ? Quelle organisation comptable est-elle la plus efficace ? Quels sont les documents obligatoires ? Doit-on utiliser un journal unique ou bien plusieurs journaux auxiliaires ? Comment orienter les comptes ? Les débits recensent-ils les entrées de valeur dans le compte ou bien les sorties ? Quelle présentation adopter pour les états financiers ? Il n’est pas moins rationnel, par exemple, d’inscrire l’actif à gauche du bilan et le passif à droite ou bien, à l’instar de nos voisins anglais, de classer les actifs circulants en haut de bilan. Peut-on changer de méthode d’un exercice à l’autre ?...</w:t>
      </w:r>
    </w:p>
    <w:p w:rsidR="00D41BD8" w:rsidRPr="00D41BD8" w:rsidRDefault="00D41BD8" w:rsidP="002A3F16">
      <w:pPr>
        <w:numPr>
          <w:ilvl w:val="0"/>
          <w:numId w:val="13"/>
        </w:numPr>
        <w:autoSpaceDE w:val="0"/>
        <w:autoSpaceDN w:val="0"/>
        <w:adjustRightInd w:val="0"/>
        <w:spacing w:before="60" w:beforeAutospacing="0" w:after="60" w:afterAutospacing="0" w:line="276" w:lineRule="auto"/>
        <w:ind w:left="357" w:hanging="357"/>
        <w:contextualSpacing/>
        <w:jc w:val="left"/>
        <w:rPr>
          <w:rFonts w:ascii="Times New Roman" w:eastAsia="Calibri" w:hAnsi="Times New Roman" w:cs="Times New Roman"/>
          <w:b/>
          <w:bCs/>
          <w:sz w:val="24"/>
          <w:szCs w:val="24"/>
        </w:rPr>
      </w:pPr>
      <w:r w:rsidRPr="00D41BD8">
        <w:rPr>
          <w:rFonts w:ascii="Times New Roman" w:eastAsia="Calibri" w:hAnsi="Times New Roman" w:cs="Times New Roman"/>
          <w:b/>
          <w:bCs/>
          <w:sz w:val="24"/>
          <w:szCs w:val="24"/>
        </w:rPr>
        <w:t>Quatrième source d’incertitude : le fait générateur</w:t>
      </w:r>
    </w:p>
    <w:p w:rsidR="00D41BD8" w:rsidRPr="00D41BD8" w:rsidRDefault="00D41BD8" w:rsidP="00D41BD8">
      <w:pPr>
        <w:spacing w:before="60" w:beforeAutospacing="0" w:after="60" w:afterAutospacing="0" w:line="276" w:lineRule="auto"/>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 xml:space="preserve">Le moment exact qui va déclencher la procédure d’enregistrement est une source d’incertitude supplémentaire : à quel moment enregistre-t-on un flux ? Prenons l’exemple d’une charge, à partir de quand doit-on constater l’appauvrissement dans le compte de résultat ? Lors de la consommation de la dite charge ou lors du décaissement ? Quand un bien doit-il ou peut-il être considéré comme une charge ? Comme un actif ? Dans ce dernier cas à quelle date doit-il figurer à l’actif du bilan : lors du transfert de propriété, ou lorsqu’on en a le contrôle, la maîtrise et qu’on en assume entièrement les risques ? Le traitement des contrats de crédit-bail et des clauses de réserve de propriété sera différent selon la convention choisie. Doit-on enregistrer une charge potentielle, </w:t>
      </w:r>
      <w:r w:rsidRPr="00D41BD8">
        <w:rPr>
          <w:rFonts w:ascii="Times New Roman" w:eastAsia="Calibri" w:hAnsi="Times New Roman" w:cs="Times New Roman"/>
          <w:sz w:val="24"/>
          <w:szCs w:val="24"/>
        </w:rPr>
        <w:lastRenderedPageBreak/>
        <w:t>c’est-à-dire une charge dont on n’a pas la certitude qu’elle sera supportée par l’entreprise ? Peut-on enregistrer un produit de même nature, ou doit-on pécher par pessimisme systématique ?Doit-on amortir un bien immobilisé qui se déprécie ? Doit-on réévaluer une immobilisation dont la valeur augmente ? Quelle méthode utiliser ?</w:t>
      </w:r>
    </w:p>
    <w:p w:rsidR="00D41BD8" w:rsidRPr="00D41BD8" w:rsidRDefault="00D41BD8" w:rsidP="00D41BD8">
      <w:pPr>
        <w:spacing w:before="60" w:beforeAutospacing="0" w:after="60" w:afterAutospacing="0" w:line="276" w:lineRule="auto"/>
        <w:jc w:val="both"/>
        <w:rPr>
          <w:rFonts w:ascii="Times New Roman" w:eastAsia="Calibri" w:hAnsi="Times New Roman" w:cs="Times New Roman"/>
          <w:b/>
          <w:color w:val="943634"/>
          <w:sz w:val="24"/>
          <w:szCs w:val="24"/>
        </w:rPr>
      </w:pPr>
      <w:r w:rsidRPr="00D41BD8">
        <w:rPr>
          <w:rFonts w:ascii="Times New Roman" w:eastAsia="Calibri" w:hAnsi="Times New Roman" w:cs="Times New Roman"/>
          <w:sz w:val="24"/>
          <w:szCs w:val="24"/>
        </w:rPr>
        <w:t xml:space="preserve">Il peut sembler que ces questions sont relatives à des principes fondamentaux de la comptabilité dont les réponses sont évidentes. Ainsi l’auteur les a </w:t>
      </w:r>
      <w:proofErr w:type="gramStart"/>
      <w:r w:rsidRPr="00D41BD8">
        <w:rPr>
          <w:rFonts w:ascii="Times New Roman" w:eastAsia="Calibri" w:hAnsi="Times New Roman" w:cs="Times New Roman"/>
          <w:sz w:val="24"/>
          <w:szCs w:val="24"/>
        </w:rPr>
        <w:t>présenté</w:t>
      </w:r>
      <w:proofErr w:type="gramEnd"/>
      <w:r w:rsidRPr="00D41BD8">
        <w:rPr>
          <w:rFonts w:ascii="Times New Roman" w:eastAsia="Calibri" w:hAnsi="Times New Roman" w:cs="Times New Roman"/>
          <w:sz w:val="24"/>
          <w:szCs w:val="24"/>
        </w:rPr>
        <w:t xml:space="preserve"> dans une optique particulière qui cherche à démontrer l’importance des conventions en comptabilité. Mais pour nous ces différentes sources d’incertitudes peuvent toujours constituer des sources d’arbitrage comptable et susciter des choix comptables différents d’une entité à une autre.   </w:t>
      </w:r>
    </w:p>
    <w:p w:rsidR="00D41BD8" w:rsidRPr="00D41BD8" w:rsidRDefault="00D41BD8" w:rsidP="00D41BD8">
      <w:pPr>
        <w:spacing w:before="120" w:beforeAutospacing="0" w:after="120" w:afterAutospacing="0" w:line="276" w:lineRule="auto"/>
        <w:jc w:val="both"/>
        <w:rPr>
          <w:rFonts w:ascii="Times New Roman" w:eastAsia="Calibri" w:hAnsi="Times New Roman" w:cs="Times New Roman"/>
          <w:b/>
          <w:sz w:val="24"/>
          <w:szCs w:val="24"/>
        </w:rPr>
      </w:pPr>
      <w:r w:rsidRPr="00D41BD8">
        <w:rPr>
          <w:rFonts w:ascii="Times New Roman" w:eastAsia="Calibri" w:hAnsi="Times New Roman" w:cs="Times New Roman"/>
          <w:b/>
          <w:sz w:val="24"/>
          <w:szCs w:val="24"/>
        </w:rPr>
        <w:t>2.2. L’arbitrage comptable dans un point de vue théorique</w:t>
      </w:r>
    </w:p>
    <w:p w:rsidR="00D41BD8" w:rsidRPr="00D41BD8" w:rsidRDefault="00D41BD8" w:rsidP="00D41BD8">
      <w:pPr>
        <w:spacing w:before="60" w:beforeAutospacing="0" w:after="60" w:afterAutospacing="0" w:line="276" w:lineRule="auto"/>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L’établissement et la présentation des états financiers d’une entreprise ou d’un groupe sont régis par un ensemble de règles et de principes comptables. Cette réglementation permet de réduire l’incertitude des utilisateurs des informations comptables ainsi que la comparabilité des comptes dans l’espace et dans le temps. En revanche, plusieurs chercheurs en comptabilité voient que la réglementation ne peut pas tout contrôler et laisse souvent des marges de manipulation aux entreprises. Ce qui nous mène à s’interroger sur la fonction du comptable. Autrement dit : le comptable est-il totalement libre dans le choix de ses actes, ou bien, est-il « mentalement programmé » par la réglementation qui détermine son comportement ? Devant un événement particulier, le comptable se trouve-t-il en situation d’incertitude qui fait interpeler un arbitrage?</w:t>
      </w:r>
    </w:p>
    <w:p w:rsidR="00D41BD8" w:rsidRPr="00D41BD8" w:rsidRDefault="00D41BD8" w:rsidP="00D41BD8">
      <w:pPr>
        <w:spacing w:before="60" w:beforeAutospacing="0" w:after="60" w:afterAutospacing="0" w:line="276" w:lineRule="auto"/>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 xml:space="preserve">Dans la littérature comptable, la question d’arbitrage est traitée selon les principes de chaque courant théorique. En général, on distingue deux principaux courants, qui se sont apparus en réponse l’un de l’autre. A savoir le normativisme et le positivisme.  </w:t>
      </w:r>
    </w:p>
    <w:p w:rsidR="00D41BD8" w:rsidRPr="00D41BD8" w:rsidRDefault="00D41BD8" w:rsidP="002A3F16">
      <w:pPr>
        <w:numPr>
          <w:ilvl w:val="0"/>
          <w:numId w:val="13"/>
        </w:numPr>
        <w:spacing w:before="60" w:beforeAutospacing="0" w:after="60" w:afterAutospacing="0" w:line="276" w:lineRule="auto"/>
        <w:contextualSpacing/>
        <w:jc w:val="both"/>
        <w:rPr>
          <w:rFonts w:ascii="Times New Roman" w:eastAsia="Calibri" w:hAnsi="Times New Roman" w:cs="Times New Roman"/>
          <w:b/>
          <w:sz w:val="24"/>
          <w:szCs w:val="24"/>
        </w:rPr>
      </w:pPr>
      <w:r w:rsidRPr="00D41BD8">
        <w:rPr>
          <w:rFonts w:ascii="Times New Roman" w:eastAsia="Calibri" w:hAnsi="Times New Roman" w:cs="Times New Roman"/>
          <w:b/>
          <w:sz w:val="24"/>
          <w:szCs w:val="24"/>
        </w:rPr>
        <w:t xml:space="preserve">La théorie normative de la comptabilité </w:t>
      </w:r>
    </w:p>
    <w:p w:rsidR="00D41BD8" w:rsidRPr="00D41BD8" w:rsidRDefault="00D41BD8" w:rsidP="00D41BD8">
      <w:pPr>
        <w:spacing w:before="60" w:beforeAutospacing="0" w:after="60" w:afterAutospacing="0" w:line="276" w:lineRule="auto"/>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Selon ce courant, la construction d’un cadre théorique pour la pratique comptable doit être faîte en adoptant une approche déductive. Pour CHAMBERS</w:t>
      </w:r>
      <w:r w:rsidRPr="00D41BD8">
        <w:rPr>
          <w:rFonts w:ascii="Times New Roman" w:eastAsia="Calibri" w:hAnsi="Times New Roman" w:cs="Times New Roman"/>
          <w:sz w:val="24"/>
          <w:szCs w:val="24"/>
          <w:vertAlign w:val="superscript"/>
        </w:rPr>
        <w:footnoteReference w:id="56"/>
      </w:r>
      <w:r w:rsidRPr="00D41BD8">
        <w:rPr>
          <w:rFonts w:ascii="Times New Roman" w:eastAsia="Calibri" w:hAnsi="Times New Roman" w:cs="Times New Roman"/>
          <w:sz w:val="24"/>
          <w:szCs w:val="24"/>
        </w:rPr>
        <w:t>- qui part du constat « que les comptables ne semblent pas avoir de système de réflexion complet sur la comptabilité, et ceci est un manque fondamental» -  il faut abandonner la démarche inductive inscrite dans les pratiques car « il est possible de construire une théorie de la comptabilité sans référence à la pratique comptable, cela ne signifiant pas que la théorie soit déconnectée du monde réel »</w:t>
      </w:r>
      <w:r w:rsidRPr="00D41BD8">
        <w:rPr>
          <w:rFonts w:ascii="Times New Roman" w:eastAsia="Calibri" w:hAnsi="Times New Roman" w:cs="Times New Roman"/>
          <w:sz w:val="24"/>
          <w:szCs w:val="24"/>
          <w:vertAlign w:val="superscript"/>
        </w:rPr>
        <w:footnoteReference w:id="57"/>
      </w:r>
      <w:r w:rsidRPr="00D41BD8">
        <w:rPr>
          <w:rFonts w:ascii="Times New Roman" w:eastAsia="Calibri" w:hAnsi="Times New Roman" w:cs="Times New Roman"/>
          <w:sz w:val="24"/>
          <w:szCs w:val="24"/>
        </w:rPr>
        <w:t xml:space="preserve">. Une telle théorie doit se déduire d’hypothèses relatives à l’entreprise et notamment à ses objectifs en matière d’information financière, </w:t>
      </w:r>
      <w:r w:rsidRPr="00D41BD8">
        <w:rPr>
          <w:rFonts w:ascii="Times New Roman" w:eastAsia="Calibri" w:hAnsi="Times New Roman" w:cs="Times New Roman"/>
          <w:sz w:val="24"/>
          <w:szCs w:val="24"/>
        </w:rPr>
        <w:lastRenderedPageBreak/>
        <w:t>à ses relations avec son environnement, à ses caractéristiques socioéconomiques ainsi qu’à l’état de l’environnement, ces hypothèses étant posées a priori</w:t>
      </w:r>
      <w:r w:rsidRPr="00D41BD8">
        <w:rPr>
          <w:rFonts w:ascii="Times New Roman" w:eastAsia="Calibri" w:hAnsi="Times New Roman" w:cs="Times New Roman"/>
          <w:sz w:val="24"/>
          <w:szCs w:val="24"/>
          <w:vertAlign w:val="superscript"/>
        </w:rPr>
        <w:footnoteReference w:id="58"/>
      </w:r>
      <w:r w:rsidRPr="00D41BD8">
        <w:rPr>
          <w:rFonts w:ascii="Times New Roman" w:eastAsia="Calibri" w:hAnsi="Times New Roman" w:cs="Times New Roman"/>
          <w:sz w:val="24"/>
          <w:szCs w:val="24"/>
        </w:rPr>
        <w:t>.</w:t>
      </w:r>
    </w:p>
    <w:p w:rsidR="00D41BD8" w:rsidRPr="00D41BD8" w:rsidRDefault="00D41BD8" w:rsidP="00D41BD8">
      <w:pPr>
        <w:spacing w:before="60" w:beforeAutospacing="0" w:after="60" w:afterAutospacing="0" w:line="276" w:lineRule="auto"/>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Le normativisme s’affirme avec l’apparition des cadres conceptuels, tel que le cadre de l’IASB ; suivant ce courant, ces documents constituent de véritables théories pour la comptabilité en posant des postulats que les normalisateurs doivent respecter lors de l’élaboration des normes comptables. La théorie normative, surtout lorsqu’elle est officialisée en tant que cadre conceptuel, joue potentiellement un triple rôle :</w:t>
      </w:r>
      <w:r w:rsidRPr="00D41BD8">
        <w:rPr>
          <w:rFonts w:ascii="Times New Roman" w:eastAsia="Calibri" w:hAnsi="Times New Roman" w:cs="Times New Roman"/>
          <w:sz w:val="24"/>
          <w:szCs w:val="24"/>
        </w:rPr>
        <w:tab/>
      </w:r>
    </w:p>
    <w:p w:rsidR="00D41BD8" w:rsidRPr="00D41BD8" w:rsidRDefault="00D41BD8" w:rsidP="002A3F16">
      <w:pPr>
        <w:numPr>
          <w:ilvl w:val="0"/>
          <w:numId w:val="13"/>
        </w:numPr>
        <w:spacing w:before="60" w:beforeAutospacing="0" w:after="60" w:afterAutospacing="0" w:line="276" w:lineRule="auto"/>
        <w:ind w:left="357" w:hanging="357"/>
        <w:contextualSpacing/>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Celui d’instrument d’encadrement et plus généralement de régulation ;</w:t>
      </w:r>
    </w:p>
    <w:p w:rsidR="00D41BD8" w:rsidRPr="00D41BD8" w:rsidRDefault="00D41BD8" w:rsidP="002A3F16">
      <w:pPr>
        <w:numPr>
          <w:ilvl w:val="0"/>
          <w:numId w:val="13"/>
        </w:numPr>
        <w:spacing w:before="60" w:beforeAutospacing="0" w:after="60" w:afterAutospacing="0" w:line="276" w:lineRule="auto"/>
        <w:ind w:left="357" w:hanging="357"/>
        <w:contextualSpacing/>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Celui d’instrument d’analyse pour le traitement des problèmes comptables inédits ;</w:t>
      </w:r>
    </w:p>
    <w:p w:rsidR="00D41BD8" w:rsidRPr="00D41BD8" w:rsidRDefault="00D41BD8" w:rsidP="002A3F16">
      <w:pPr>
        <w:numPr>
          <w:ilvl w:val="0"/>
          <w:numId w:val="13"/>
        </w:numPr>
        <w:spacing w:before="60" w:beforeAutospacing="0" w:after="60" w:afterAutospacing="0" w:line="276" w:lineRule="auto"/>
        <w:ind w:left="357" w:hanging="357"/>
        <w:contextualSpacing/>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Celui d’instrument pédagogique.</w:t>
      </w:r>
      <w:r w:rsidRPr="00D41BD8">
        <w:rPr>
          <w:rFonts w:ascii="Times New Roman" w:eastAsia="Calibri" w:hAnsi="Times New Roman" w:cs="Times New Roman"/>
          <w:sz w:val="24"/>
          <w:szCs w:val="24"/>
        </w:rPr>
        <w:tab/>
      </w:r>
    </w:p>
    <w:p w:rsidR="00D41BD8" w:rsidRPr="00D41BD8" w:rsidRDefault="00D41BD8" w:rsidP="00D41BD8">
      <w:pPr>
        <w:spacing w:before="60" w:beforeAutospacing="0" w:after="60" w:afterAutospacing="0" w:line="276" w:lineRule="auto"/>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La théorie normative est donc pour et au service de la mise en œuvre de la comptabilité.</w:t>
      </w:r>
    </w:p>
    <w:p w:rsidR="00D41BD8" w:rsidRPr="00D41BD8" w:rsidRDefault="00D41BD8" w:rsidP="002A3F16">
      <w:pPr>
        <w:numPr>
          <w:ilvl w:val="0"/>
          <w:numId w:val="13"/>
        </w:numPr>
        <w:spacing w:before="60" w:beforeAutospacing="0" w:after="60" w:afterAutospacing="0" w:line="276" w:lineRule="auto"/>
        <w:contextualSpacing/>
        <w:jc w:val="both"/>
        <w:rPr>
          <w:rFonts w:ascii="Times New Roman" w:eastAsia="Calibri" w:hAnsi="Times New Roman" w:cs="Times New Roman"/>
          <w:b/>
          <w:sz w:val="24"/>
          <w:szCs w:val="24"/>
        </w:rPr>
      </w:pPr>
      <w:r w:rsidRPr="00D41BD8">
        <w:rPr>
          <w:rFonts w:ascii="Times New Roman" w:eastAsia="Calibri" w:hAnsi="Times New Roman" w:cs="Times New Roman"/>
          <w:b/>
          <w:sz w:val="24"/>
          <w:szCs w:val="24"/>
        </w:rPr>
        <w:t>La théorie positive de la comptabilité</w:t>
      </w:r>
    </w:p>
    <w:p w:rsidR="00D41BD8" w:rsidRPr="00D41BD8" w:rsidRDefault="00D41BD8" w:rsidP="00D41BD8">
      <w:pPr>
        <w:spacing w:before="60" w:beforeAutospacing="0" w:after="60" w:afterAutospacing="0" w:line="276" w:lineRule="auto"/>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La déconnexion de l’approche normative avec la pratique comptable et la volonté de construire une théorie générale ad hoc ont suscité de virulentes réactions dont la manifestation majeure est le développement d’un courant alternatif dit positif.</w:t>
      </w:r>
    </w:p>
    <w:p w:rsidR="00D41BD8" w:rsidRPr="00D41BD8" w:rsidRDefault="00D41BD8" w:rsidP="00D41BD8">
      <w:pPr>
        <w:spacing w:before="60" w:beforeAutospacing="0" w:after="60" w:afterAutospacing="0" w:line="276" w:lineRule="auto"/>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La recherche en comptabilité financière a été marquée par le développement de l'approche positive, dont le but est de décrire et expliquer les comportements des producteurs et des utilisateurs de l'information comptable</w:t>
      </w:r>
      <w:r w:rsidRPr="00D41BD8">
        <w:rPr>
          <w:rFonts w:ascii="Times New Roman" w:eastAsia="Calibri" w:hAnsi="Times New Roman" w:cs="Times New Roman"/>
          <w:sz w:val="24"/>
          <w:szCs w:val="24"/>
          <w:vertAlign w:val="superscript"/>
        </w:rPr>
        <w:footnoteReference w:id="59"/>
      </w:r>
      <w:r w:rsidRPr="00D41BD8">
        <w:rPr>
          <w:rFonts w:ascii="Times New Roman" w:eastAsia="Calibri" w:hAnsi="Times New Roman" w:cs="Times New Roman"/>
          <w:sz w:val="24"/>
          <w:szCs w:val="24"/>
        </w:rPr>
        <w:t>.Dès lors, la théorie positive de la comptabilité se divise en deux branches :</w:t>
      </w:r>
    </w:p>
    <w:p w:rsidR="00D41BD8" w:rsidRPr="00D41BD8" w:rsidRDefault="00D41BD8" w:rsidP="002A3F16">
      <w:pPr>
        <w:numPr>
          <w:ilvl w:val="0"/>
          <w:numId w:val="13"/>
        </w:numPr>
        <w:spacing w:before="60" w:beforeAutospacing="0" w:after="60" w:afterAutospacing="0" w:line="276" w:lineRule="auto"/>
        <w:contextualSpacing/>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 xml:space="preserve">Les recherches sur le contenu informationnel des données comptables relèvent de la théorie du signal. Dans un contexte d’asymétrie d’informations entre les dirigeants d’entreprises « </w:t>
      </w:r>
      <w:proofErr w:type="spellStart"/>
      <w:r w:rsidRPr="00D41BD8">
        <w:rPr>
          <w:rFonts w:ascii="Times New Roman" w:eastAsia="Calibri" w:hAnsi="Times New Roman" w:cs="Times New Roman"/>
          <w:sz w:val="24"/>
          <w:szCs w:val="24"/>
        </w:rPr>
        <w:t>insiders</w:t>
      </w:r>
      <w:proofErr w:type="spellEnd"/>
      <w:r w:rsidRPr="00D41BD8">
        <w:rPr>
          <w:rFonts w:ascii="Times New Roman" w:eastAsia="Calibri" w:hAnsi="Times New Roman" w:cs="Times New Roman"/>
          <w:sz w:val="24"/>
          <w:szCs w:val="24"/>
        </w:rPr>
        <w:t xml:space="preserve"> » et les investisseurs externes « outsiders », la politique de communication financière revêt une importance capitale. La comptabilité en tant que processus de traitement et de diffusion de l’information constitue alors un signal envoyé au marché.</w:t>
      </w:r>
    </w:p>
    <w:p w:rsidR="00D41BD8" w:rsidRPr="00D41BD8" w:rsidRDefault="00D41BD8" w:rsidP="002A3F16">
      <w:pPr>
        <w:numPr>
          <w:ilvl w:val="0"/>
          <w:numId w:val="13"/>
        </w:numPr>
        <w:spacing w:before="60" w:beforeAutospacing="0" w:after="60" w:afterAutospacing="0" w:line="276" w:lineRule="auto"/>
        <w:contextualSpacing/>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Les recherches sur les déterminants contractuels, économiques et politiques des choix comptables. Cette seconde perspective constitue la théorie politico-contractuelle.</w:t>
      </w:r>
    </w:p>
    <w:p w:rsidR="00D41BD8" w:rsidRPr="00D41BD8" w:rsidRDefault="00D41BD8" w:rsidP="00D41BD8">
      <w:pPr>
        <w:spacing w:before="60" w:beforeAutospacing="0" w:after="60" w:afterAutospacing="0" w:line="276" w:lineRule="auto"/>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En outre, une théorie positive de la comptabilité est définie par JENSEN</w:t>
      </w:r>
      <w:r w:rsidRPr="00D41BD8">
        <w:rPr>
          <w:rFonts w:ascii="Times New Roman" w:eastAsia="Calibri" w:hAnsi="Times New Roman" w:cs="Times New Roman"/>
          <w:sz w:val="24"/>
          <w:szCs w:val="24"/>
          <w:vertAlign w:val="superscript"/>
        </w:rPr>
        <w:footnoteReference w:id="60"/>
      </w:r>
      <w:r w:rsidRPr="00D41BD8">
        <w:rPr>
          <w:rFonts w:ascii="Times New Roman" w:eastAsia="Calibri" w:hAnsi="Times New Roman" w:cs="Times New Roman"/>
          <w:sz w:val="24"/>
          <w:szCs w:val="24"/>
        </w:rPr>
        <w:t xml:space="preserve"> comme une approche capable d’expliquer « pourquoi la comptabilité est ce qu’elle est, pourquoi les comptables font ce qu’ils font, et quels effets ces phénomènes ont sur les gens et sur l’allocation des ressources ». </w:t>
      </w:r>
    </w:p>
    <w:p w:rsidR="00D41BD8" w:rsidRPr="00D41BD8" w:rsidRDefault="00D41BD8" w:rsidP="00D41BD8">
      <w:pPr>
        <w:spacing w:before="60" w:beforeAutospacing="0" w:after="60" w:afterAutospacing="0" w:line="276" w:lineRule="auto"/>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lastRenderedPageBreak/>
        <w:t>La théorie positive fait référence à la recherche empirique en comptabilité financière et s’inscrit à contre-courant de la théorie normative</w:t>
      </w:r>
      <w:r w:rsidRPr="00D41BD8">
        <w:rPr>
          <w:rFonts w:ascii="Times New Roman" w:eastAsia="Calibri" w:hAnsi="Times New Roman" w:cs="Times New Roman"/>
          <w:sz w:val="24"/>
          <w:szCs w:val="24"/>
          <w:vertAlign w:val="superscript"/>
        </w:rPr>
        <w:footnoteReference w:id="61"/>
      </w:r>
      <w:r w:rsidRPr="00D41BD8">
        <w:rPr>
          <w:rFonts w:ascii="Times New Roman" w:eastAsia="Calibri" w:hAnsi="Times New Roman" w:cs="Times New Roman"/>
          <w:sz w:val="24"/>
          <w:szCs w:val="24"/>
        </w:rPr>
        <w:t>. À la fin des années 1970, la littérature comptable était principalement normative, or, selon certains chercheurs, cette démarche portait des limites. Par exemple, WATTS et ZIMMERMAN</w:t>
      </w:r>
      <w:r w:rsidRPr="00D41BD8">
        <w:rPr>
          <w:rFonts w:ascii="Times New Roman" w:eastAsia="Calibri" w:hAnsi="Times New Roman" w:cs="Times New Roman"/>
          <w:sz w:val="24"/>
          <w:szCs w:val="24"/>
          <w:vertAlign w:val="superscript"/>
        </w:rPr>
        <w:footnoteReference w:id="62"/>
      </w:r>
      <w:r w:rsidRPr="00D41BD8">
        <w:rPr>
          <w:rFonts w:ascii="Times New Roman" w:eastAsia="Calibri" w:hAnsi="Times New Roman" w:cs="Times New Roman"/>
          <w:sz w:val="24"/>
          <w:szCs w:val="24"/>
        </w:rPr>
        <w:t xml:space="preserve"> partent du constat d’échec du normativisme qui n’arrive pas à satisfaire les comptables et n’est pas accepté comme une théorie générale de la comptabilité par les organismes normalisateurs. Pour contrebalancer la théorie normative, les auteurs plaident pour une «théorie positive capable d’expliquer les facteurs déterminants de la littérature comptable existante, prédisant comment la recherche va évoluer et permettant d’expliquer le rôle des théories dans la détermination des normes comptables »</w:t>
      </w:r>
      <w:r w:rsidRPr="00D41BD8">
        <w:rPr>
          <w:rFonts w:ascii="Times New Roman" w:eastAsia="Calibri" w:hAnsi="Times New Roman" w:cs="Times New Roman"/>
          <w:sz w:val="24"/>
          <w:szCs w:val="24"/>
          <w:vertAlign w:val="superscript"/>
        </w:rPr>
        <w:footnoteReference w:id="63"/>
      </w:r>
      <w:r w:rsidRPr="00D41BD8">
        <w:rPr>
          <w:rFonts w:ascii="Times New Roman" w:eastAsia="Calibri" w:hAnsi="Times New Roman" w:cs="Times New Roman"/>
          <w:sz w:val="24"/>
          <w:szCs w:val="24"/>
        </w:rPr>
        <w:t>.La théorie positive de la comptabilité, au sens où l’entendent WATTS et ZIMMERMAN, prend ses racines dans les théories de l’agence et de la réglementation.</w:t>
      </w:r>
    </w:p>
    <w:p w:rsidR="00D41BD8" w:rsidRPr="00D41BD8" w:rsidRDefault="00D41BD8" w:rsidP="00D41BD8">
      <w:pPr>
        <w:spacing w:before="60" w:beforeAutospacing="0" w:after="60" w:afterAutospacing="0" w:line="276" w:lineRule="auto"/>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Plusieurs études montrent que, dans un contexte d’asymétrie d’informations entre les dirigeants d’entreprises (</w:t>
      </w:r>
      <w:proofErr w:type="spellStart"/>
      <w:r w:rsidRPr="00D41BD8">
        <w:rPr>
          <w:rFonts w:ascii="Times New Roman" w:eastAsia="Calibri" w:hAnsi="Times New Roman" w:cs="Times New Roman"/>
          <w:sz w:val="24"/>
          <w:szCs w:val="24"/>
        </w:rPr>
        <w:t>insiders</w:t>
      </w:r>
      <w:proofErr w:type="spellEnd"/>
      <w:r w:rsidRPr="00D41BD8">
        <w:rPr>
          <w:rFonts w:ascii="Times New Roman" w:eastAsia="Calibri" w:hAnsi="Times New Roman" w:cs="Times New Roman"/>
          <w:sz w:val="24"/>
          <w:szCs w:val="24"/>
        </w:rPr>
        <w:t>), et les investisseurs externes (outsiders), une politique de communication financière revêt une importance capitale. En effet, les entreprises, en tant que demandeurs de capitaux sur le marché financier, doivent gérer les informations à communiquer (quantité, qualité et calendrier de publication).</w:t>
      </w:r>
    </w:p>
    <w:p w:rsidR="00D41BD8" w:rsidRPr="00D41BD8" w:rsidRDefault="00D41BD8" w:rsidP="00D41BD8">
      <w:pPr>
        <w:spacing w:before="60" w:beforeAutospacing="0" w:after="60" w:afterAutospacing="0" w:line="276" w:lineRule="auto"/>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En outre, la comptabilité est considérée comme un processus de traitement de l’information et moyen de communication, elle est donc analysée selon la théorie de l’information</w:t>
      </w:r>
      <w:r w:rsidRPr="00D41BD8">
        <w:rPr>
          <w:rFonts w:ascii="Times New Roman" w:eastAsia="Calibri" w:hAnsi="Times New Roman" w:cs="Times New Roman"/>
          <w:sz w:val="24"/>
          <w:szCs w:val="24"/>
          <w:vertAlign w:val="superscript"/>
        </w:rPr>
        <w:footnoteReference w:id="64"/>
      </w:r>
      <w:r w:rsidRPr="00D41BD8">
        <w:rPr>
          <w:rFonts w:ascii="Times New Roman" w:eastAsia="Calibri" w:hAnsi="Times New Roman" w:cs="Times New Roman"/>
          <w:sz w:val="24"/>
          <w:szCs w:val="24"/>
        </w:rPr>
        <w:t>. Plus récemment, de nombreuses études ont analysé la gestion de l’information comptable, par les dirigeants des entreprises, comme une variable signalétique efficace susceptible de révéler au marché les informations privées qu’ils possèdent sur les perspectives de rentabilité de leur entreprise. Ceci dans l’objectif de se distinguer par rapport aux entreprises peu performantes</w:t>
      </w:r>
      <w:r w:rsidRPr="00D41BD8">
        <w:rPr>
          <w:rFonts w:ascii="Times New Roman" w:eastAsia="Calibri" w:hAnsi="Times New Roman" w:cs="Times New Roman"/>
          <w:sz w:val="24"/>
          <w:szCs w:val="24"/>
          <w:vertAlign w:val="superscript"/>
        </w:rPr>
        <w:footnoteReference w:id="65"/>
      </w:r>
      <w:r w:rsidRPr="00D41BD8">
        <w:rPr>
          <w:rFonts w:ascii="Times New Roman" w:eastAsia="Calibri" w:hAnsi="Times New Roman" w:cs="Times New Roman"/>
          <w:sz w:val="24"/>
          <w:szCs w:val="24"/>
        </w:rPr>
        <w:t>.</w:t>
      </w:r>
    </w:p>
    <w:p w:rsidR="00D41BD8" w:rsidRPr="00D41BD8" w:rsidRDefault="00D41BD8" w:rsidP="00D41BD8">
      <w:pPr>
        <w:spacing w:before="60" w:beforeAutospacing="0" w:after="60" w:afterAutospacing="0" w:line="276" w:lineRule="auto"/>
        <w:jc w:val="both"/>
        <w:rPr>
          <w:rFonts w:ascii="Times New Roman" w:eastAsia="Calibri" w:hAnsi="Times New Roman" w:cs="Times New Roman"/>
          <w:b/>
          <w:sz w:val="24"/>
          <w:szCs w:val="24"/>
        </w:rPr>
      </w:pPr>
      <w:r w:rsidRPr="00D41BD8">
        <w:rPr>
          <w:rFonts w:ascii="Times New Roman" w:eastAsia="Calibri" w:hAnsi="Times New Roman" w:cs="Times New Roman"/>
          <w:sz w:val="24"/>
          <w:szCs w:val="24"/>
        </w:rPr>
        <w:t>A partir de cela, on peut conclure que l’approche positive questionne sur «ce qui est» alors que l’approche normative s’interroge sur «ce qui devrait être».</w:t>
      </w:r>
    </w:p>
    <w:p w:rsidR="00D41BD8" w:rsidRPr="00D41BD8" w:rsidRDefault="00D41BD8" w:rsidP="00D41BD8">
      <w:pPr>
        <w:spacing w:before="120" w:beforeAutospacing="0" w:after="120" w:afterAutospacing="0" w:line="276" w:lineRule="auto"/>
        <w:jc w:val="both"/>
        <w:rPr>
          <w:rFonts w:ascii="Times New Roman" w:eastAsia="Calibri" w:hAnsi="Times New Roman" w:cs="Times New Roman"/>
          <w:b/>
          <w:sz w:val="26"/>
          <w:szCs w:val="26"/>
        </w:rPr>
      </w:pPr>
      <w:r w:rsidRPr="00D41BD8">
        <w:rPr>
          <w:rFonts w:ascii="Times New Roman" w:eastAsia="Calibri" w:hAnsi="Times New Roman" w:cs="Times New Roman"/>
          <w:b/>
          <w:sz w:val="26"/>
          <w:szCs w:val="26"/>
        </w:rPr>
        <w:t>2.3. La transparence et la comptabilité financière</w:t>
      </w:r>
    </w:p>
    <w:p w:rsidR="00D41BD8" w:rsidRPr="00D41BD8" w:rsidRDefault="00D41BD8" w:rsidP="00D41BD8">
      <w:pPr>
        <w:spacing w:before="60" w:beforeAutospacing="0" w:after="60" w:afterAutospacing="0" w:line="276" w:lineRule="auto"/>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 xml:space="preserve">Selon la nouvelle conception de la comptabilité financière, on a accordé une importance notable à la transparence financière. Cette qualité (la transparence) cherche à limiter au maximum les possibilités d’interprétation des règles comptables qui nuisent en effet à la </w:t>
      </w:r>
      <w:r w:rsidRPr="00D41BD8">
        <w:rPr>
          <w:rFonts w:ascii="Times New Roman" w:eastAsia="Calibri" w:hAnsi="Times New Roman" w:cs="Times New Roman"/>
          <w:sz w:val="24"/>
          <w:szCs w:val="24"/>
        </w:rPr>
        <w:lastRenderedPageBreak/>
        <w:t>comparabilité des comptes en laissant une large place d’arbitraire à la direction des entreprises dans leur communication financière.</w:t>
      </w:r>
    </w:p>
    <w:p w:rsidR="00D41BD8" w:rsidRPr="00D41BD8" w:rsidRDefault="00D41BD8" w:rsidP="00D41BD8">
      <w:pPr>
        <w:spacing w:before="60" w:beforeAutospacing="0" w:after="60" w:afterAutospacing="0" w:line="276" w:lineRule="auto"/>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Mais cette transparence ne peut être obtenue véritablement et a ses limites, car chaque entreprise – prise individuellement – ne peut tout divulguer à ses concurrents, ses fournisseurs et ses clients, ses salariés et même ses actionnaires. L’asymétrie d’information entre les acteurs a été toujours considérée comme étant l’un des ressorts fondamentaux du système capitaliste. Ce qui conduit ou pousse les entreprises à faire recours à des stratégies liées à la divulgation financière qui consistent à masquer les rapports sociaux, la formation du profit et ces mécanismes d’accumulation</w:t>
      </w:r>
      <w:r w:rsidRPr="00D41BD8">
        <w:rPr>
          <w:rFonts w:ascii="Times New Roman" w:eastAsia="Calibri" w:hAnsi="Times New Roman" w:cs="Times New Roman"/>
          <w:sz w:val="24"/>
          <w:szCs w:val="24"/>
          <w:vertAlign w:val="superscript"/>
        </w:rPr>
        <w:footnoteReference w:id="66"/>
      </w:r>
      <w:r w:rsidRPr="00D41BD8">
        <w:rPr>
          <w:rFonts w:ascii="Times New Roman" w:eastAsia="Calibri" w:hAnsi="Times New Roman" w:cs="Times New Roman"/>
          <w:sz w:val="24"/>
          <w:szCs w:val="24"/>
        </w:rPr>
        <w:t xml:space="preserve">. Ce qu’on a souvent qualifié de «comptabilité créative». La comptabilité créative constitue une version récente de la politique comptable. </w:t>
      </w:r>
    </w:p>
    <w:p w:rsidR="00D41BD8" w:rsidRPr="00D41BD8" w:rsidRDefault="00D41BD8" w:rsidP="00D41BD8">
      <w:pPr>
        <w:spacing w:before="60" w:beforeAutospacing="0" w:after="60" w:afterAutospacing="0" w:line="276" w:lineRule="auto"/>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La création comptable est définie comme « la mise en œuvre de pratiques plus ou moins ingénieuses visant à manipuler les comptes ou à tout le moins contourner les règles comptables jugées pénalisantes pour le résultat et la situation financière apparente d’une entreprise ou encore tirer parti des incohérences ou de la flexibilité offerte par les normes comptables»</w:t>
      </w:r>
      <w:r w:rsidRPr="00D41BD8">
        <w:rPr>
          <w:rFonts w:ascii="Times New Roman" w:eastAsia="Calibri" w:hAnsi="Times New Roman" w:cs="Times New Roman"/>
          <w:sz w:val="24"/>
          <w:szCs w:val="24"/>
          <w:vertAlign w:val="superscript"/>
        </w:rPr>
        <w:footnoteReference w:id="67"/>
      </w:r>
      <w:r w:rsidRPr="00D41BD8">
        <w:rPr>
          <w:rFonts w:ascii="Times New Roman" w:eastAsia="Calibri" w:hAnsi="Times New Roman" w:cs="Times New Roman"/>
          <w:sz w:val="24"/>
          <w:szCs w:val="24"/>
        </w:rPr>
        <w:t>. Dès lors, la création comptable se manifeste, pour l’essentiel, par le lissage des résultats et l’habillage du bilan</w:t>
      </w:r>
      <w:r w:rsidRPr="00D41BD8">
        <w:rPr>
          <w:rFonts w:ascii="Times New Roman" w:eastAsia="Calibri" w:hAnsi="Times New Roman" w:cs="Times New Roman"/>
          <w:sz w:val="24"/>
          <w:szCs w:val="24"/>
          <w:vertAlign w:val="superscript"/>
        </w:rPr>
        <w:footnoteReference w:id="68"/>
      </w:r>
      <w:r w:rsidRPr="00D41BD8">
        <w:rPr>
          <w:rFonts w:ascii="Times New Roman" w:eastAsia="Calibri" w:hAnsi="Times New Roman" w:cs="Times New Roman"/>
          <w:sz w:val="24"/>
          <w:szCs w:val="24"/>
        </w:rPr>
        <w:t>.</w:t>
      </w:r>
    </w:p>
    <w:p w:rsidR="00D41BD8" w:rsidRPr="00D41BD8" w:rsidRDefault="00D41BD8" w:rsidP="00D41BD8">
      <w:pPr>
        <w:spacing w:before="60" w:beforeAutospacing="0" w:after="60" w:afterAutospacing="0" w:line="276" w:lineRule="auto"/>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 xml:space="preserve"> « La comptabilité créative fait référence aux différents mécanismes sollicités dans le domaine de la comptabilité par une entreprise pour modifier ses comptes de bilan et de résultats dans le sens qui lui est le plus favorable.</w:t>
      </w:r>
    </w:p>
    <w:p w:rsidR="00D41BD8" w:rsidRPr="00D41BD8" w:rsidRDefault="00D41BD8" w:rsidP="00D41BD8">
      <w:pPr>
        <w:spacing w:before="60" w:beforeAutospacing="0" w:after="60" w:afterAutospacing="0" w:line="276" w:lineRule="auto"/>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Bien que régit par de nombreux principes et de nombreuses règles, la comptabilité peut en effet parfois se prêter, au risque de l’entreprise, à des interprétations et des présentations différentes»</w:t>
      </w:r>
      <w:r w:rsidRPr="00D41BD8">
        <w:rPr>
          <w:rFonts w:ascii="Times New Roman" w:eastAsia="Calibri" w:hAnsi="Times New Roman" w:cs="Times New Roman"/>
          <w:sz w:val="24"/>
          <w:szCs w:val="24"/>
          <w:vertAlign w:val="superscript"/>
        </w:rPr>
        <w:footnoteReference w:id="69"/>
      </w:r>
      <w:r w:rsidRPr="00D41BD8">
        <w:rPr>
          <w:rFonts w:ascii="Times New Roman" w:eastAsia="Calibri" w:hAnsi="Times New Roman" w:cs="Times New Roman"/>
          <w:sz w:val="24"/>
          <w:szCs w:val="24"/>
        </w:rPr>
        <w:t>.</w:t>
      </w:r>
    </w:p>
    <w:p w:rsidR="00D41BD8" w:rsidRPr="00D41BD8" w:rsidRDefault="00D41BD8" w:rsidP="00D41BD8">
      <w:pPr>
        <w:spacing w:before="60" w:beforeAutospacing="0" w:after="60" w:afterAutospacing="0" w:line="276" w:lineRule="auto"/>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 xml:space="preserve">Watts et Zimmerman développèrent, dans deux articles respectivement publiés en 1978 et 1979, l’idée que la comptabilité n’est pas neutre et ne permet donc pas de mesurer objectivement les résultats économiques des entreprises. La comptabilité des firmes, au travers des choix que celles-ci font, n’est que le reflet de comportements opportunistes et </w:t>
      </w:r>
      <w:proofErr w:type="spellStart"/>
      <w:r w:rsidRPr="00D41BD8">
        <w:rPr>
          <w:rFonts w:ascii="Times New Roman" w:eastAsia="Calibri" w:hAnsi="Times New Roman" w:cs="Times New Roman"/>
          <w:sz w:val="24"/>
          <w:szCs w:val="24"/>
        </w:rPr>
        <w:t>maximisateurs</w:t>
      </w:r>
      <w:proofErr w:type="spellEnd"/>
      <w:r w:rsidRPr="00D41BD8">
        <w:rPr>
          <w:rFonts w:ascii="Times New Roman" w:eastAsia="Calibri" w:hAnsi="Times New Roman" w:cs="Times New Roman"/>
          <w:sz w:val="24"/>
          <w:szCs w:val="24"/>
        </w:rPr>
        <w:t>. Les comptes ne révèlent pas une vérité objective mais sont tout simplement le reflet des intérêts particuliers des entités concernées</w:t>
      </w:r>
      <w:r w:rsidRPr="00D41BD8">
        <w:rPr>
          <w:rFonts w:ascii="Times New Roman" w:eastAsia="Calibri" w:hAnsi="Times New Roman" w:cs="Times New Roman"/>
          <w:sz w:val="24"/>
          <w:szCs w:val="24"/>
          <w:vertAlign w:val="superscript"/>
        </w:rPr>
        <w:footnoteReference w:id="70"/>
      </w:r>
      <w:r w:rsidRPr="00D41BD8">
        <w:rPr>
          <w:rFonts w:ascii="Times New Roman" w:eastAsia="Calibri" w:hAnsi="Times New Roman" w:cs="Times New Roman"/>
          <w:sz w:val="24"/>
          <w:szCs w:val="24"/>
        </w:rPr>
        <w:t>.</w:t>
      </w:r>
    </w:p>
    <w:p w:rsidR="00D41BD8" w:rsidRPr="00D41BD8" w:rsidRDefault="00D41BD8" w:rsidP="00D41BD8">
      <w:pPr>
        <w:spacing w:before="60" w:beforeAutospacing="0" w:after="60" w:afterAutospacing="0" w:line="276" w:lineRule="auto"/>
        <w:jc w:val="both"/>
        <w:rPr>
          <w:rFonts w:ascii="Garamond" w:eastAsia="Calibri" w:hAnsi="Garamond" w:cs="Garamond"/>
          <w:sz w:val="24"/>
          <w:szCs w:val="24"/>
        </w:rPr>
      </w:pPr>
      <w:r w:rsidRPr="00D41BD8">
        <w:rPr>
          <w:rFonts w:ascii="Times New Roman" w:eastAsia="Calibri" w:hAnsi="Times New Roman" w:cs="Times New Roman"/>
          <w:sz w:val="24"/>
          <w:szCs w:val="24"/>
        </w:rPr>
        <w:t xml:space="preserve">En conséquence, la comptabilité n’est pas un instrument neutre, mais est à la fois un vecteur et un reflet de la société à travers ses principes et ses conventions. Ce qui nécessite l’examen de la question de la transparence et de la nécessité d’une </w:t>
      </w:r>
      <w:r w:rsidRPr="00D41BD8">
        <w:rPr>
          <w:rFonts w:ascii="Times New Roman" w:eastAsia="Calibri" w:hAnsi="Times New Roman" w:cs="Times New Roman"/>
          <w:sz w:val="24"/>
          <w:szCs w:val="24"/>
        </w:rPr>
        <w:lastRenderedPageBreak/>
        <w:t>légitimation. Selon  Michel CAPRON, « L’idée d’une neutralité des instruments comptables n’est plus de mise et ne sert, quand on y a recours, qu’à dissimuler une idéologie derrière des faux-semblants »</w:t>
      </w:r>
      <w:r w:rsidRPr="00D41BD8">
        <w:rPr>
          <w:rFonts w:ascii="Times New Roman" w:eastAsia="Calibri" w:hAnsi="Times New Roman" w:cs="Times New Roman"/>
          <w:sz w:val="24"/>
          <w:szCs w:val="24"/>
          <w:vertAlign w:val="superscript"/>
        </w:rPr>
        <w:footnoteReference w:id="71"/>
      </w:r>
      <w:r w:rsidRPr="00D41BD8">
        <w:rPr>
          <w:rFonts w:ascii="Times New Roman" w:eastAsia="Calibri" w:hAnsi="Times New Roman" w:cs="Times New Roman"/>
          <w:sz w:val="24"/>
          <w:szCs w:val="24"/>
        </w:rPr>
        <w:t>.</w:t>
      </w:r>
    </w:p>
    <w:p w:rsidR="00D41BD8" w:rsidRPr="00D41BD8" w:rsidRDefault="00D41BD8" w:rsidP="00D41BD8">
      <w:pPr>
        <w:spacing w:before="60" w:beforeAutospacing="0" w:after="60" w:afterAutospacing="0" w:line="276" w:lineRule="auto"/>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En effet, l’histoire de la comptabilité montre que celle-ci est intimement liée aux grandes évolutions économiques et sociales et que tout système comptable est amené à changer en fonction des attentes et des besoins des acteurs, de leurs rapports de force, de leurs conflits ou de leurs ententes</w:t>
      </w:r>
      <w:r w:rsidRPr="00D41BD8">
        <w:rPr>
          <w:rFonts w:ascii="Times New Roman" w:eastAsia="Calibri" w:hAnsi="Times New Roman" w:cs="Times New Roman"/>
          <w:sz w:val="24"/>
          <w:szCs w:val="24"/>
          <w:vertAlign w:val="superscript"/>
        </w:rPr>
        <w:footnoteReference w:id="72"/>
      </w:r>
      <w:r w:rsidRPr="00D41BD8">
        <w:rPr>
          <w:rFonts w:ascii="Times New Roman" w:eastAsia="Calibri" w:hAnsi="Times New Roman" w:cs="Times New Roman"/>
          <w:sz w:val="24"/>
          <w:szCs w:val="24"/>
        </w:rPr>
        <w:t>.</w:t>
      </w:r>
    </w:p>
    <w:p w:rsidR="00D41BD8" w:rsidRPr="00D41BD8" w:rsidRDefault="00D41BD8" w:rsidP="00D41BD8">
      <w:pPr>
        <w:spacing w:before="120" w:beforeAutospacing="0" w:after="120" w:afterAutospacing="0" w:line="276" w:lineRule="auto"/>
        <w:jc w:val="both"/>
        <w:rPr>
          <w:rFonts w:ascii="Times New Roman" w:eastAsia="Calibri" w:hAnsi="Times New Roman" w:cs="Times New Roman"/>
          <w:b/>
          <w:sz w:val="26"/>
          <w:szCs w:val="26"/>
        </w:rPr>
      </w:pPr>
      <w:r w:rsidRPr="00D41BD8">
        <w:rPr>
          <w:rFonts w:ascii="Times New Roman" w:eastAsia="Calibri" w:hAnsi="Times New Roman" w:cs="Times New Roman"/>
          <w:b/>
          <w:sz w:val="26"/>
          <w:szCs w:val="26"/>
        </w:rPr>
        <w:t>2.4. Marge de manipulation présente dans le cadre des nouvelles normes</w:t>
      </w:r>
    </w:p>
    <w:p w:rsidR="00D41BD8" w:rsidRPr="00D41BD8" w:rsidRDefault="00D41BD8" w:rsidP="00D41BD8">
      <w:pPr>
        <w:spacing w:before="60" w:beforeAutospacing="0" w:after="60" w:afterAutospacing="0" w:line="276" w:lineRule="auto"/>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En tenant compte de cet aspect, la nouvelle dimension apportée par le référentiel de l’IASB, a fait provoquer une situation tout à fait paradoxale : «les documents comptables doivent montrer tout en cachant»</w:t>
      </w:r>
      <w:r w:rsidRPr="00D41BD8">
        <w:rPr>
          <w:rFonts w:ascii="Times New Roman" w:eastAsia="Calibri" w:hAnsi="Times New Roman" w:cs="Times New Roman"/>
          <w:sz w:val="24"/>
          <w:szCs w:val="24"/>
          <w:vertAlign w:val="superscript"/>
        </w:rPr>
        <w:footnoteReference w:id="73"/>
      </w:r>
      <w:r w:rsidRPr="00D41BD8">
        <w:rPr>
          <w:rFonts w:ascii="Times New Roman" w:eastAsia="Calibri" w:hAnsi="Times New Roman" w:cs="Times New Roman"/>
          <w:sz w:val="24"/>
          <w:szCs w:val="24"/>
        </w:rPr>
        <w:t xml:space="preserve">. Ils doivent montrer comment l’entreprise se porte financièrement, puisque cette fonction est légitimement exigée par les apporteurs de capitaux, mais simultanément, l’entreprise capitaliste concurrentielle </w:t>
      </w:r>
      <w:proofErr w:type="gramStart"/>
      <w:r w:rsidRPr="00D41BD8">
        <w:rPr>
          <w:rFonts w:ascii="Times New Roman" w:eastAsia="Calibri" w:hAnsi="Times New Roman" w:cs="Times New Roman"/>
          <w:sz w:val="24"/>
          <w:szCs w:val="24"/>
        </w:rPr>
        <w:t>a</w:t>
      </w:r>
      <w:proofErr w:type="gramEnd"/>
      <w:r w:rsidRPr="00D41BD8">
        <w:rPr>
          <w:rFonts w:ascii="Times New Roman" w:eastAsia="Calibri" w:hAnsi="Times New Roman" w:cs="Times New Roman"/>
          <w:sz w:val="24"/>
          <w:szCs w:val="24"/>
        </w:rPr>
        <w:t xml:space="preserve"> besoin de préserver certains secrets pour maintenir sa compétitivité, ce qu’on appelle couramment le « secret des affaires ».</w:t>
      </w:r>
    </w:p>
    <w:p w:rsidR="00D41BD8" w:rsidRPr="00D41BD8" w:rsidRDefault="00D41BD8" w:rsidP="00D41BD8">
      <w:pPr>
        <w:spacing w:before="60" w:beforeAutospacing="0" w:after="60" w:afterAutospacing="0" w:line="276" w:lineRule="auto"/>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Ce qui fait que les objectifs de la divulgation financière diffèrent selon le cadre d’utilisation et les attentes voulues de cette dernière.</w:t>
      </w:r>
    </w:p>
    <w:p w:rsidR="00D41BD8" w:rsidRPr="00D41BD8" w:rsidRDefault="00D41BD8" w:rsidP="00D41BD8">
      <w:pPr>
        <w:spacing w:before="60" w:beforeAutospacing="0" w:after="60" w:afterAutospacing="0" w:line="276" w:lineRule="auto"/>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L’impact financier de la transition aux IFRS en Europe, selon des études conduites sur la conversion aux IFRS en 2005 des sociétés européennes cotées,  s’est traduit, de manière générale, par :</w:t>
      </w:r>
    </w:p>
    <w:p w:rsidR="00D41BD8" w:rsidRPr="00D41BD8" w:rsidRDefault="00D41BD8" w:rsidP="002A3F16">
      <w:pPr>
        <w:numPr>
          <w:ilvl w:val="0"/>
          <w:numId w:val="14"/>
        </w:numPr>
        <w:spacing w:before="60" w:beforeAutospacing="0" w:after="60" w:afterAutospacing="0" w:line="276" w:lineRule="auto"/>
        <w:contextualSpacing/>
        <w:jc w:val="both"/>
        <w:rPr>
          <w:rFonts w:ascii="Times New Roman" w:eastAsia="Calibri" w:hAnsi="Times New Roman" w:cs="Times New Roman"/>
          <w:bCs/>
          <w:iCs/>
          <w:sz w:val="24"/>
          <w:szCs w:val="21"/>
        </w:rPr>
      </w:pPr>
      <w:r w:rsidRPr="00D41BD8">
        <w:rPr>
          <w:rFonts w:ascii="Times New Roman" w:eastAsia="Calibri" w:hAnsi="Times New Roman" w:cs="Times New Roman"/>
          <w:bCs/>
          <w:iCs/>
          <w:sz w:val="24"/>
          <w:szCs w:val="21"/>
        </w:rPr>
        <w:t>Un impact relativement limité au niveau des capitaux propres</w:t>
      </w:r>
      <w:r w:rsidRPr="00D41BD8">
        <w:rPr>
          <w:rFonts w:ascii="Times New Roman" w:eastAsia="Calibri" w:hAnsi="Times New Roman" w:cs="Times New Roman"/>
          <w:bCs/>
          <w:iCs/>
          <w:sz w:val="24"/>
          <w:szCs w:val="21"/>
          <w:vertAlign w:val="superscript"/>
        </w:rPr>
        <w:footnoteReference w:id="74"/>
      </w:r>
      <w:r w:rsidRPr="00D41BD8">
        <w:rPr>
          <w:rFonts w:ascii="Times New Roman" w:eastAsia="Calibri" w:hAnsi="Times New Roman" w:cs="Times New Roman"/>
          <w:bCs/>
          <w:iCs/>
          <w:sz w:val="24"/>
          <w:szCs w:val="21"/>
        </w:rPr>
        <w:t xml:space="preserve">  ;</w:t>
      </w:r>
    </w:p>
    <w:p w:rsidR="00D41BD8" w:rsidRPr="00D41BD8" w:rsidRDefault="00D41BD8" w:rsidP="002A3F16">
      <w:pPr>
        <w:numPr>
          <w:ilvl w:val="0"/>
          <w:numId w:val="14"/>
        </w:numPr>
        <w:spacing w:before="60" w:beforeAutospacing="0" w:after="60" w:afterAutospacing="0" w:line="276" w:lineRule="auto"/>
        <w:contextualSpacing/>
        <w:jc w:val="both"/>
        <w:rPr>
          <w:rFonts w:ascii="Times New Roman" w:eastAsia="Calibri" w:hAnsi="Times New Roman" w:cs="Times New Roman"/>
          <w:bCs/>
          <w:iCs/>
          <w:sz w:val="24"/>
          <w:szCs w:val="21"/>
        </w:rPr>
      </w:pPr>
      <w:r w:rsidRPr="00D41BD8">
        <w:rPr>
          <w:rFonts w:ascii="Times New Roman" w:eastAsia="Calibri" w:hAnsi="Times New Roman" w:cs="Times New Roman"/>
          <w:bCs/>
          <w:iCs/>
          <w:sz w:val="24"/>
          <w:szCs w:val="21"/>
        </w:rPr>
        <w:t xml:space="preserve">Des variations significatives de résultat, résultant essentiellement de l’arrêt de l’amortissement des </w:t>
      </w:r>
      <w:r w:rsidRPr="00D41BD8">
        <w:rPr>
          <w:rFonts w:ascii="Times New Roman" w:eastAsia="Calibri" w:hAnsi="Times New Roman" w:cs="Times New Roman"/>
          <w:bCs/>
          <w:sz w:val="24"/>
          <w:szCs w:val="21"/>
        </w:rPr>
        <w:t>goodwill</w:t>
      </w:r>
      <w:r w:rsidRPr="00D41BD8">
        <w:rPr>
          <w:rFonts w:ascii="Times New Roman" w:eastAsia="Calibri" w:hAnsi="Times New Roman" w:cs="Times New Roman"/>
          <w:bCs/>
          <w:iCs/>
          <w:sz w:val="24"/>
          <w:szCs w:val="21"/>
        </w:rPr>
        <w:t>.</w:t>
      </w:r>
    </w:p>
    <w:p w:rsidR="00D41BD8" w:rsidRPr="00D41BD8" w:rsidRDefault="00D41BD8" w:rsidP="00D41BD8">
      <w:pPr>
        <w:spacing w:before="60" w:beforeAutospacing="0" w:after="60" w:afterAutospacing="0" w:line="276" w:lineRule="auto"/>
        <w:jc w:val="both"/>
        <w:rPr>
          <w:rFonts w:ascii="Times New Roman" w:eastAsia="Calibri" w:hAnsi="Times New Roman" w:cs="Times New Roman"/>
          <w:bCs/>
          <w:iCs/>
          <w:sz w:val="24"/>
          <w:szCs w:val="21"/>
        </w:rPr>
      </w:pPr>
      <w:r w:rsidRPr="00D41BD8">
        <w:rPr>
          <w:rFonts w:ascii="Times New Roman" w:eastAsia="Calibri" w:hAnsi="Times New Roman" w:cs="Times New Roman"/>
          <w:sz w:val="24"/>
          <w:szCs w:val="24"/>
        </w:rPr>
        <w:t xml:space="preserve">Sur la base de ces constatations, E. Tort a traité, dans son article "la comptabilité créative en environnement IFRS", les possibilités qu’offrent les normes internationales aux entreprises en termes d’options, et qui peuvent être considérées comme une source de créativité pour ces dernières. Selon cette auteur, l’application de ces normes dans les entreprises « a généré une relative complexification des pratiques comptables (méthode DCF, modèle d’évaluation à la juste valeur, etc.) et entraîné dans une certaine mesure </w:t>
      </w:r>
      <w:r w:rsidRPr="00D41BD8">
        <w:rPr>
          <w:rFonts w:ascii="Times New Roman" w:eastAsia="Calibri" w:hAnsi="Times New Roman" w:cs="Times New Roman"/>
          <w:sz w:val="24"/>
          <w:szCs w:val="24"/>
        </w:rPr>
        <w:lastRenderedPageBreak/>
        <w:t>un risque de volatilité des résultats sous l’effet de l’enregistrement en résultat de variations futures de juste valeur de certains actifs financiers ou immobiliers»</w:t>
      </w:r>
      <w:r w:rsidRPr="00D41BD8">
        <w:rPr>
          <w:rFonts w:ascii="Times New Roman" w:eastAsia="Calibri" w:hAnsi="Times New Roman" w:cs="Times New Roman"/>
          <w:sz w:val="24"/>
          <w:szCs w:val="24"/>
          <w:vertAlign w:val="superscript"/>
        </w:rPr>
        <w:footnoteReference w:id="75"/>
      </w:r>
      <w:r w:rsidRPr="00D41BD8">
        <w:rPr>
          <w:rFonts w:ascii="Times New Roman" w:eastAsia="Calibri" w:hAnsi="Times New Roman" w:cs="Times New Roman"/>
          <w:sz w:val="24"/>
          <w:szCs w:val="24"/>
        </w:rPr>
        <w:t>.</w:t>
      </w:r>
    </w:p>
    <w:p w:rsidR="00D41BD8" w:rsidRPr="00D41BD8" w:rsidRDefault="00D41BD8" w:rsidP="00D41BD8">
      <w:pPr>
        <w:spacing w:before="60" w:beforeAutospacing="0" w:after="60" w:afterAutospacing="0" w:line="276" w:lineRule="auto"/>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 xml:space="preserve">Dès lors, il s’est interrogé sur la capacité des normes IFRS actuelles d’empêcher certaines pratiques antérieures relevant de “la comptabilité créative” mises en œuvre par les préparateurs de comptes au détriment de la transparence financière et de la comparabilité des données comptables. Selon lui, l’absence de règles strictes en référentiel IFRS laisse la place au jugement professionnel dans le cadre de l’application de normes selon une analyse en substance et avec l’utilisation du principe de matérialité et du rapport coût/avantage pour l’obtention des données financières. </w:t>
      </w:r>
    </w:p>
    <w:p w:rsidR="00D41BD8" w:rsidRPr="00D41BD8" w:rsidRDefault="00D41BD8" w:rsidP="00D41BD8">
      <w:pPr>
        <w:spacing w:before="60" w:beforeAutospacing="0" w:after="60" w:afterAutospacing="0" w:line="276" w:lineRule="auto"/>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Sur le plan conceptuel, « le principe essentiel de neutralité doit normalement interdire ou limiter les pratiques de manipulation comptable à des fins de gestion des résultats financiers visant notamment le lissage, l’optimisation ou encore le « </w:t>
      </w:r>
      <w:proofErr w:type="spellStart"/>
      <w:r w:rsidRPr="00D41BD8">
        <w:rPr>
          <w:rFonts w:ascii="Times New Roman" w:eastAsia="Calibri" w:hAnsi="Times New Roman" w:cs="Times New Roman"/>
          <w:sz w:val="24"/>
          <w:szCs w:val="24"/>
        </w:rPr>
        <w:t>window</w:t>
      </w:r>
      <w:proofErr w:type="spellEnd"/>
      <w:r w:rsidRPr="00D41BD8">
        <w:rPr>
          <w:rFonts w:ascii="Times New Roman" w:eastAsia="Calibri" w:hAnsi="Times New Roman" w:cs="Times New Roman"/>
          <w:sz w:val="24"/>
          <w:szCs w:val="24"/>
        </w:rPr>
        <w:t xml:space="preserve"> dressing »</w:t>
      </w:r>
      <w:r w:rsidRPr="00D41BD8">
        <w:rPr>
          <w:rFonts w:ascii="Times New Roman" w:eastAsia="Calibri" w:hAnsi="Times New Roman" w:cs="Times New Roman"/>
          <w:sz w:val="24"/>
          <w:szCs w:val="24"/>
          <w:vertAlign w:val="superscript"/>
        </w:rPr>
        <w:footnoteReference w:id="76"/>
      </w:r>
      <w:r w:rsidRPr="00D41BD8">
        <w:rPr>
          <w:rFonts w:ascii="Times New Roman" w:eastAsia="Calibri" w:hAnsi="Times New Roman" w:cs="Times New Roman"/>
          <w:sz w:val="24"/>
          <w:szCs w:val="24"/>
        </w:rPr>
        <w:t>.</w:t>
      </w:r>
    </w:p>
    <w:p w:rsidR="00D41BD8" w:rsidRPr="00D41BD8" w:rsidRDefault="00D41BD8" w:rsidP="00D41BD8">
      <w:pPr>
        <w:spacing w:before="60" w:beforeAutospacing="0" w:after="60" w:afterAutospacing="0" w:line="276" w:lineRule="auto"/>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 xml:space="preserve">Cependant, des distorsions peuvent être constatées concernant les traitements comptables préconisés par les normes internationales. En effet, il peut être distingué entre quatre sources importantes de ces distorsions, et qui peuvent amener à des pratiques arbitraires, à savoir </w:t>
      </w:r>
      <w:r w:rsidRPr="00D41BD8">
        <w:rPr>
          <w:rFonts w:ascii="Times New Roman" w:eastAsia="Calibri" w:hAnsi="Times New Roman" w:cs="Times New Roman"/>
          <w:sz w:val="24"/>
          <w:szCs w:val="24"/>
          <w:vertAlign w:val="superscript"/>
        </w:rPr>
        <w:footnoteReference w:id="77"/>
      </w:r>
      <w:r w:rsidRPr="00D41BD8">
        <w:rPr>
          <w:rFonts w:ascii="Times New Roman" w:eastAsia="Calibri" w:hAnsi="Times New Roman" w:cs="Times New Roman"/>
          <w:sz w:val="24"/>
          <w:szCs w:val="24"/>
        </w:rPr>
        <w:t>:</w:t>
      </w:r>
    </w:p>
    <w:p w:rsidR="00D41BD8" w:rsidRPr="00D41BD8" w:rsidRDefault="00D41BD8" w:rsidP="002A3F16">
      <w:pPr>
        <w:numPr>
          <w:ilvl w:val="0"/>
          <w:numId w:val="15"/>
        </w:numPr>
        <w:spacing w:before="60" w:beforeAutospacing="0" w:after="60" w:afterAutospacing="0" w:line="276" w:lineRule="auto"/>
        <w:contextualSpacing/>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L’existence d’exceptions facultatives prévues par IFRS 1 lors de la première application du référentiel international ;</w:t>
      </w:r>
    </w:p>
    <w:p w:rsidR="00D41BD8" w:rsidRPr="00D41BD8" w:rsidRDefault="00D41BD8" w:rsidP="002A3F16">
      <w:pPr>
        <w:numPr>
          <w:ilvl w:val="0"/>
          <w:numId w:val="15"/>
        </w:numPr>
        <w:spacing w:before="60" w:beforeAutospacing="0" w:after="60" w:afterAutospacing="0" w:line="276" w:lineRule="auto"/>
        <w:contextualSpacing/>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La possibilité d’appliquer des traitements comptables alternatifs à certaines transactions du fait de l’existence d’options dans certaines normes IFRS en régime de croisière ;</w:t>
      </w:r>
    </w:p>
    <w:p w:rsidR="00D41BD8" w:rsidRPr="00D41BD8" w:rsidRDefault="00D41BD8" w:rsidP="002A3F16">
      <w:pPr>
        <w:numPr>
          <w:ilvl w:val="0"/>
          <w:numId w:val="15"/>
        </w:numPr>
        <w:spacing w:before="60" w:beforeAutospacing="0" w:after="60" w:afterAutospacing="0" w:line="276" w:lineRule="auto"/>
        <w:contextualSpacing/>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Le recours à des estimations et à des jugements de la part du management dans le cadre de l’application des méthodes comptables et de la valorisation des actifs et passifs ;</w:t>
      </w:r>
    </w:p>
    <w:p w:rsidR="00D41BD8" w:rsidRPr="00D41BD8" w:rsidRDefault="00D41BD8" w:rsidP="002A3F16">
      <w:pPr>
        <w:numPr>
          <w:ilvl w:val="0"/>
          <w:numId w:val="15"/>
        </w:numPr>
        <w:spacing w:before="60" w:beforeAutospacing="0" w:after="60" w:afterAutospacing="0" w:line="276" w:lineRule="auto"/>
        <w:contextualSpacing/>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Une normalisation “assez souple” en matière de présentation de l’information financière pouvant conduire à une certaine individualisation des états financiers des groupes.</w:t>
      </w:r>
    </w:p>
    <w:p w:rsidR="00D41BD8" w:rsidRPr="00D41BD8" w:rsidRDefault="00D41BD8" w:rsidP="00D41BD8">
      <w:pPr>
        <w:spacing w:before="60" w:beforeAutospacing="0" w:after="60" w:afterAutospacing="0" w:line="276" w:lineRule="auto"/>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A cela s’ajoutent, de manière secondaire, les possibilités d’anticipation facultative de certaines normes et le décalage entre la publication des IFRS par l’IASB et leur homologation dans l’UE</w:t>
      </w:r>
      <w:r w:rsidRPr="00D41BD8">
        <w:rPr>
          <w:rFonts w:ascii="Times New Roman" w:eastAsia="Calibri" w:hAnsi="Times New Roman" w:cs="Times New Roman"/>
          <w:sz w:val="24"/>
          <w:szCs w:val="24"/>
          <w:vertAlign w:val="superscript"/>
        </w:rPr>
        <w:footnoteReference w:id="78"/>
      </w:r>
      <w:r w:rsidRPr="00D41BD8">
        <w:rPr>
          <w:rFonts w:ascii="Times New Roman" w:eastAsia="Calibri" w:hAnsi="Times New Roman" w:cs="Times New Roman"/>
          <w:sz w:val="24"/>
          <w:szCs w:val="24"/>
        </w:rPr>
        <w:t>.</w:t>
      </w:r>
    </w:p>
    <w:p w:rsidR="00D41BD8" w:rsidRPr="00D41BD8" w:rsidRDefault="00D41BD8" w:rsidP="00D41BD8">
      <w:pPr>
        <w:spacing w:before="60" w:beforeAutospacing="0" w:after="60" w:afterAutospacing="0" w:line="276" w:lineRule="auto"/>
        <w:jc w:val="both"/>
        <w:rPr>
          <w:rFonts w:ascii="Times New Roman" w:eastAsia="Calibri" w:hAnsi="Times New Roman" w:cs="Times New Roman"/>
          <w:b/>
          <w:sz w:val="24"/>
          <w:szCs w:val="24"/>
        </w:rPr>
      </w:pPr>
    </w:p>
    <w:p w:rsidR="00D41BD8" w:rsidRPr="00D41BD8" w:rsidRDefault="00D41BD8" w:rsidP="00D41BD8">
      <w:pPr>
        <w:spacing w:before="0" w:beforeAutospacing="0" w:after="200" w:afterAutospacing="0" w:line="276" w:lineRule="auto"/>
        <w:jc w:val="both"/>
        <w:rPr>
          <w:rFonts w:ascii="Times New Roman" w:eastAsia="Calibri" w:hAnsi="Times New Roman" w:cs="Times New Roman"/>
          <w:b/>
          <w:sz w:val="24"/>
          <w:szCs w:val="24"/>
        </w:rPr>
      </w:pPr>
    </w:p>
    <w:p w:rsidR="00D41BD8" w:rsidRPr="00D41BD8" w:rsidRDefault="00D41BD8" w:rsidP="00D41BD8">
      <w:pPr>
        <w:spacing w:before="0" w:beforeAutospacing="0" w:after="200" w:afterAutospacing="0" w:line="276" w:lineRule="auto"/>
        <w:jc w:val="both"/>
        <w:rPr>
          <w:rFonts w:ascii="Times New Roman" w:eastAsia="Calibri" w:hAnsi="Times New Roman" w:cs="Times New Roman"/>
          <w:b/>
          <w:sz w:val="24"/>
          <w:szCs w:val="24"/>
        </w:rPr>
      </w:pPr>
    </w:p>
    <w:p w:rsidR="00D41BD8" w:rsidRPr="00D41BD8" w:rsidRDefault="00D41BD8" w:rsidP="00D41BD8">
      <w:pPr>
        <w:spacing w:before="0" w:beforeAutospacing="0" w:after="200" w:afterAutospacing="0" w:line="276" w:lineRule="auto"/>
        <w:jc w:val="both"/>
        <w:rPr>
          <w:rFonts w:ascii="Times New Roman" w:eastAsia="Calibri" w:hAnsi="Times New Roman" w:cs="Times New Roman"/>
          <w:b/>
          <w:sz w:val="24"/>
          <w:szCs w:val="24"/>
        </w:rPr>
      </w:pPr>
    </w:p>
    <w:p w:rsidR="00D41BD8" w:rsidRPr="00D41BD8" w:rsidRDefault="00D41BD8" w:rsidP="00D41BD8">
      <w:pPr>
        <w:spacing w:before="0" w:beforeAutospacing="0" w:after="200" w:afterAutospacing="0" w:line="276" w:lineRule="auto"/>
        <w:jc w:val="both"/>
        <w:rPr>
          <w:rFonts w:ascii="Times New Roman" w:eastAsia="Calibri" w:hAnsi="Times New Roman" w:cs="Times New Roman"/>
          <w:b/>
          <w:sz w:val="24"/>
          <w:szCs w:val="24"/>
        </w:rPr>
      </w:pPr>
    </w:p>
    <w:p w:rsidR="00D41BD8" w:rsidRPr="00D41BD8" w:rsidRDefault="00D41BD8" w:rsidP="00D41BD8">
      <w:pPr>
        <w:spacing w:before="0" w:beforeAutospacing="0" w:after="200" w:afterAutospacing="0" w:line="276" w:lineRule="auto"/>
        <w:jc w:val="both"/>
        <w:rPr>
          <w:rFonts w:ascii="Times New Roman" w:eastAsia="Calibri" w:hAnsi="Times New Roman" w:cs="Times New Roman"/>
          <w:b/>
          <w:sz w:val="24"/>
          <w:szCs w:val="24"/>
        </w:rPr>
      </w:pPr>
    </w:p>
    <w:p w:rsidR="00D41BD8" w:rsidRPr="00D41BD8" w:rsidRDefault="00D41BD8" w:rsidP="00D41BD8">
      <w:pPr>
        <w:spacing w:before="0" w:beforeAutospacing="0" w:after="200" w:afterAutospacing="0" w:line="276" w:lineRule="auto"/>
        <w:jc w:val="both"/>
        <w:rPr>
          <w:rFonts w:ascii="Times New Roman" w:eastAsia="Calibri" w:hAnsi="Times New Roman" w:cs="Times New Roman"/>
          <w:b/>
          <w:sz w:val="24"/>
          <w:szCs w:val="24"/>
        </w:rPr>
      </w:pPr>
    </w:p>
    <w:p w:rsidR="00D41BD8" w:rsidRPr="00D41BD8" w:rsidRDefault="00D41BD8" w:rsidP="00D41BD8">
      <w:pPr>
        <w:spacing w:before="0" w:beforeAutospacing="0" w:after="200" w:afterAutospacing="0" w:line="276" w:lineRule="auto"/>
        <w:jc w:val="both"/>
        <w:rPr>
          <w:rFonts w:ascii="Times New Roman" w:eastAsia="Calibri" w:hAnsi="Times New Roman" w:cs="Times New Roman"/>
          <w:b/>
          <w:sz w:val="24"/>
          <w:szCs w:val="24"/>
        </w:rPr>
      </w:pPr>
    </w:p>
    <w:p w:rsidR="00D41BD8" w:rsidRPr="00D41BD8" w:rsidRDefault="00D41BD8" w:rsidP="00D41BD8">
      <w:pPr>
        <w:spacing w:before="0" w:beforeAutospacing="0" w:after="200" w:afterAutospacing="0" w:line="276" w:lineRule="auto"/>
        <w:jc w:val="both"/>
        <w:rPr>
          <w:rFonts w:ascii="Times New Roman" w:eastAsia="Calibri" w:hAnsi="Times New Roman" w:cs="Times New Roman"/>
          <w:b/>
          <w:sz w:val="24"/>
          <w:szCs w:val="24"/>
        </w:rPr>
      </w:pPr>
    </w:p>
    <w:p w:rsidR="00D41BD8" w:rsidRPr="00D41BD8" w:rsidRDefault="00D41BD8" w:rsidP="00D41BD8">
      <w:pPr>
        <w:spacing w:before="0" w:beforeAutospacing="0" w:after="200" w:afterAutospacing="0" w:line="276" w:lineRule="auto"/>
        <w:jc w:val="both"/>
        <w:rPr>
          <w:rFonts w:ascii="Times New Roman" w:eastAsia="Calibri" w:hAnsi="Times New Roman" w:cs="Times New Roman"/>
          <w:b/>
          <w:sz w:val="24"/>
          <w:szCs w:val="24"/>
        </w:rPr>
      </w:pPr>
    </w:p>
    <w:p w:rsidR="00D41BD8" w:rsidRPr="00D41BD8" w:rsidRDefault="00D41BD8" w:rsidP="00D41BD8">
      <w:pPr>
        <w:spacing w:before="0" w:beforeAutospacing="0" w:after="200" w:afterAutospacing="0" w:line="276" w:lineRule="auto"/>
        <w:jc w:val="both"/>
        <w:rPr>
          <w:rFonts w:ascii="Times New Roman" w:eastAsia="Calibri" w:hAnsi="Times New Roman" w:cs="Times New Roman"/>
          <w:b/>
          <w:sz w:val="24"/>
          <w:szCs w:val="24"/>
        </w:rPr>
      </w:pPr>
    </w:p>
    <w:p w:rsidR="00D41BD8" w:rsidRPr="00D41BD8" w:rsidRDefault="00D41BD8" w:rsidP="00D41BD8">
      <w:pPr>
        <w:spacing w:before="0" w:beforeAutospacing="0" w:after="200" w:afterAutospacing="0" w:line="276" w:lineRule="auto"/>
        <w:jc w:val="both"/>
        <w:rPr>
          <w:rFonts w:ascii="Times New Roman" w:eastAsia="Calibri" w:hAnsi="Times New Roman" w:cs="Times New Roman"/>
          <w:b/>
          <w:sz w:val="24"/>
          <w:szCs w:val="24"/>
        </w:rPr>
      </w:pPr>
    </w:p>
    <w:p w:rsidR="00D41BD8" w:rsidRPr="00D41BD8" w:rsidRDefault="00D41BD8" w:rsidP="00D41BD8">
      <w:pPr>
        <w:spacing w:before="0" w:beforeAutospacing="0" w:after="200" w:afterAutospacing="0" w:line="276" w:lineRule="auto"/>
        <w:jc w:val="both"/>
        <w:rPr>
          <w:rFonts w:ascii="Times New Roman" w:eastAsia="Calibri" w:hAnsi="Times New Roman" w:cs="Times New Roman"/>
          <w:b/>
          <w:sz w:val="24"/>
          <w:szCs w:val="24"/>
        </w:rPr>
      </w:pPr>
    </w:p>
    <w:p w:rsidR="00D41BD8" w:rsidRPr="00D41BD8" w:rsidRDefault="00D41BD8" w:rsidP="00D41BD8">
      <w:pPr>
        <w:spacing w:before="0" w:beforeAutospacing="0" w:after="200" w:afterAutospacing="0" w:line="276" w:lineRule="auto"/>
        <w:jc w:val="both"/>
        <w:rPr>
          <w:rFonts w:ascii="Times New Roman" w:eastAsia="Calibri" w:hAnsi="Times New Roman" w:cs="Times New Roman"/>
          <w:b/>
          <w:sz w:val="24"/>
          <w:szCs w:val="24"/>
        </w:rPr>
      </w:pPr>
    </w:p>
    <w:p w:rsidR="00D41BD8" w:rsidRPr="00D41BD8" w:rsidRDefault="00D41BD8" w:rsidP="00D41BD8">
      <w:pPr>
        <w:spacing w:before="0" w:beforeAutospacing="0" w:after="200" w:afterAutospacing="0" w:line="276" w:lineRule="auto"/>
        <w:jc w:val="both"/>
        <w:rPr>
          <w:rFonts w:ascii="Times New Roman" w:eastAsia="Calibri" w:hAnsi="Times New Roman" w:cs="Times New Roman"/>
          <w:b/>
          <w:sz w:val="24"/>
          <w:szCs w:val="24"/>
        </w:rPr>
      </w:pPr>
    </w:p>
    <w:p w:rsidR="00D41BD8" w:rsidRPr="00D41BD8" w:rsidRDefault="00D41BD8" w:rsidP="00D41BD8">
      <w:pPr>
        <w:spacing w:before="0" w:beforeAutospacing="0" w:after="200" w:afterAutospacing="0" w:line="276" w:lineRule="auto"/>
        <w:jc w:val="both"/>
        <w:rPr>
          <w:rFonts w:ascii="Times New Roman" w:eastAsia="Calibri" w:hAnsi="Times New Roman" w:cs="Times New Roman"/>
          <w:b/>
          <w:sz w:val="24"/>
          <w:szCs w:val="24"/>
        </w:rPr>
      </w:pPr>
    </w:p>
    <w:p w:rsidR="00D41BD8" w:rsidRPr="00D41BD8" w:rsidRDefault="00D41BD8" w:rsidP="00D41BD8">
      <w:pPr>
        <w:spacing w:before="0" w:beforeAutospacing="0" w:after="200" w:afterAutospacing="0" w:line="276" w:lineRule="auto"/>
        <w:rPr>
          <w:rFonts w:ascii="Times New Roman" w:eastAsia="Calibri" w:hAnsi="Times New Roman" w:cs="Times New Roman"/>
          <w:b/>
          <w:i/>
          <w:sz w:val="26"/>
          <w:szCs w:val="26"/>
        </w:rPr>
      </w:pPr>
      <w:r w:rsidRPr="00D41BD8">
        <w:rPr>
          <w:rFonts w:ascii="Times New Roman" w:eastAsia="Calibri" w:hAnsi="Times New Roman" w:cs="Times New Roman"/>
          <w:b/>
          <w:i/>
          <w:sz w:val="26"/>
          <w:szCs w:val="26"/>
        </w:rPr>
        <w:t>Section 3 : Les recherches scientifiques en comptabilité</w:t>
      </w:r>
    </w:p>
    <w:p w:rsidR="00D41BD8" w:rsidRPr="00D41BD8" w:rsidRDefault="00D41BD8" w:rsidP="00D41BD8">
      <w:pPr>
        <w:spacing w:before="60" w:beforeAutospacing="0" w:after="60" w:afterAutospacing="0" w:line="276" w:lineRule="auto"/>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 xml:space="preserve">L’apparition des normes internationales et leur adoption par un nombre important de pays en particulier l’union Européenne a constitué une matière de recherche durant cette dernière décennie pour un bon nombre de chercheurs en économie et en finance. L’objet de ces recherches diffère d’une étude à une autre, dans notre cas nous nous sommes intéressés par les études sur la première adoption des IAS/IFRS dans les différents pays (ou éventuellement l’adoption d’un système convergent à ces normes), ainsi que les études sur l’impact de l’application de ces normes sur les entreprises, les marchés financiers et même sur les économies des pays adoptant ces normes. D’un autre côté, et vu que la première adoption impose aux entreprises d’effectuer des choix en matière de méthodes comptables, nous nous sommes intéressés par les recherches qui tentaient d’expliquer l’attitude des entreprises concernant cet aspect. </w:t>
      </w:r>
    </w:p>
    <w:p w:rsidR="00D41BD8" w:rsidRPr="00D41BD8" w:rsidRDefault="00D41BD8" w:rsidP="00D41BD8">
      <w:pPr>
        <w:spacing w:before="120" w:beforeAutospacing="0" w:after="120" w:afterAutospacing="0" w:line="276" w:lineRule="auto"/>
        <w:jc w:val="both"/>
        <w:rPr>
          <w:rFonts w:ascii="Times New Roman" w:eastAsia="Calibri" w:hAnsi="Times New Roman" w:cs="Times New Roman"/>
          <w:b/>
          <w:sz w:val="24"/>
          <w:szCs w:val="24"/>
        </w:rPr>
      </w:pPr>
      <w:r w:rsidRPr="00D41BD8">
        <w:rPr>
          <w:rFonts w:ascii="Times New Roman" w:eastAsia="Calibri" w:hAnsi="Times New Roman" w:cs="Times New Roman"/>
          <w:b/>
          <w:sz w:val="24"/>
          <w:szCs w:val="24"/>
        </w:rPr>
        <w:t>3.1. Les théories explicatives des choix comptables</w:t>
      </w:r>
    </w:p>
    <w:p w:rsidR="00D41BD8" w:rsidRPr="00D41BD8" w:rsidRDefault="00D41BD8" w:rsidP="00D41BD8">
      <w:pPr>
        <w:spacing w:before="60" w:beforeAutospacing="0" w:after="60" w:afterAutospacing="0" w:line="276" w:lineRule="auto"/>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 xml:space="preserve">Certaines recherches ont lié l’impact de l’application des normes internationales à la politique comptable des entreprises. En effet, ces dernières présentent une importante marge de manipulation qui peut donner lieu à des interprétations et des choix </w:t>
      </w:r>
      <w:r w:rsidRPr="00D41BD8">
        <w:rPr>
          <w:rFonts w:ascii="Times New Roman" w:eastAsia="Calibri" w:hAnsi="Times New Roman" w:cs="Times New Roman"/>
          <w:sz w:val="24"/>
          <w:szCs w:val="24"/>
        </w:rPr>
        <w:lastRenderedPageBreak/>
        <w:t>comptables différents. Donc l’impact sur les comptes des entreprises ne va pas être le même pour toutes les entreprises. A ce propos, la question qui nous intéresse consiste à déterminer les critères qui peuvent justifier les choix effectués par les dirigeants d’entreprises lors de la transition au référentiel international, cela dans le cadre de la mise en place de leurs politiques comptables.</w:t>
      </w:r>
    </w:p>
    <w:p w:rsidR="00D41BD8" w:rsidRPr="00D41BD8" w:rsidRDefault="00D41BD8" w:rsidP="00D41BD8">
      <w:pPr>
        <w:spacing w:before="60" w:beforeAutospacing="0" w:after="60" w:afterAutospacing="0" w:line="276" w:lineRule="auto"/>
        <w:jc w:val="both"/>
        <w:rPr>
          <w:rFonts w:ascii="Times New Roman" w:eastAsia="Calibri" w:hAnsi="Times New Roman" w:cs="Times New Roman"/>
          <w:color w:val="FF0000"/>
          <w:sz w:val="24"/>
          <w:szCs w:val="24"/>
        </w:rPr>
      </w:pPr>
      <w:r w:rsidRPr="00D41BD8">
        <w:rPr>
          <w:rFonts w:ascii="Times New Roman" w:eastAsia="Calibri" w:hAnsi="Times New Roman" w:cs="Times New Roman"/>
          <w:sz w:val="24"/>
          <w:szCs w:val="24"/>
        </w:rPr>
        <w:t>Pour le faire nous avons fait recours aux théories qui ont traité la problématique des choix comptables. Cependant la littérature comptable compte une multitude de théories qui se sont intéressées à ce sujet, dès lors nous avons choisi de présenter trois théories principales à savoir : la théorie politico-contractuelle et la théorie des conventions et la théorie néo-institutionnelle.</w:t>
      </w:r>
    </w:p>
    <w:p w:rsidR="00D41BD8" w:rsidRPr="00D41BD8" w:rsidRDefault="00D41BD8" w:rsidP="00D41BD8">
      <w:pPr>
        <w:spacing w:before="120" w:beforeAutospacing="0" w:after="120" w:afterAutospacing="0" w:line="276" w:lineRule="auto"/>
        <w:jc w:val="both"/>
        <w:rPr>
          <w:rFonts w:ascii="Times New Roman" w:eastAsia="Calibri" w:hAnsi="Times New Roman" w:cs="Times New Roman"/>
          <w:b/>
          <w:sz w:val="24"/>
          <w:szCs w:val="24"/>
        </w:rPr>
      </w:pPr>
      <w:r w:rsidRPr="00D41BD8">
        <w:rPr>
          <w:rFonts w:ascii="Times New Roman" w:eastAsia="Calibri" w:hAnsi="Times New Roman" w:cs="Times New Roman"/>
          <w:b/>
          <w:sz w:val="24"/>
          <w:szCs w:val="24"/>
        </w:rPr>
        <w:t>3.1.1. La théorie politico-contractuelle</w:t>
      </w:r>
    </w:p>
    <w:p w:rsidR="00D41BD8" w:rsidRPr="00D41BD8" w:rsidRDefault="00D41BD8" w:rsidP="00D41BD8">
      <w:pPr>
        <w:spacing w:before="60" w:beforeAutospacing="0" w:after="60" w:afterAutospacing="0" w:line="276" w:lineRule="auto"/>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 xml:space="preserve">Il ressort de la revue de la littérature que la théorie politico-contractuelle constitue l’approche dominante en termes d’étude et de compréhension des choix comptables. Cette théorie permet d’expliquer les choix comptables en fonction des coûts politiques subis par la firme et des coûts contractuels (clauses liées à la rémunération des dirigeants et clauses d’endettement). </w:t>
      </w:r>
    </w:p>
    <w:p w:rsidR="00D41BD8" w:rsidRPr="00D41BD8" w:rsidRDefault="00D41BD8" w:rsidP="002A3F16">
      <w:pPr>
        <w:numPr>
          <w:ilvl w:val="0"/>
          <w:numId w:val="13"/>
        </w:numPr>
        <w:spacing w:before="60" w:beforeAutospacing="0" w:after="60" w:afterAutospacing="0" w:line="276" w:lineRule="auto"/>
        <w:contextualSpacing/>
        <w:jc w:val="both"/>
        <w:rPr>
          <w:rFonts w:ascii="Times New Roman" w:eastAsia="Calibri" w:hAnsi="Times New Roman" w:cs="Times New Roman"/>
          <w:b/>
          <w:sz w:val="24"/>
          <w:szCs w:val="24"/>
        </w:rPr>
      </w:pPr>
      <w:r w:rsidRPr="00D41BD8">
        <w:rPr>
          <w:rFonts w:ascii="Times New Roman" w:eastAsia="Calibri" w:hAnsi="Times New Roman" w:cs="Times New Roman"/>
          <w:b/>
          <w:sz w:val="24"/>
          <w:szCs w:val="24"/>
        </w:rPr>
        <w:t>Fondements de la théorie politico-contractuelle</w:t>
      </w:r>
    </w:p>
    <w:p w:rsidR="00D41BD8" w:rsidRPr="00D41BD8" w:rsidRDefault="00D41BD8" w:rsidP="00D41BD8">
      <w:pPr>
        <w:spacing w:before="60" w:beforeAutospacing="0" w:after="60" w:afterAutospacing="0" w:line="276" w:lineRule="auto"/>
        <w:jc w:val="both"/>
        <w:rPr>
          <w:rFonts w:ascii="Times New Roman" w:eastAsia="Calibri" w:hAnsi="Times New Roman" w:cs="Times New Roman"/>
          <w:b/>
          <w:color w:val="FF0000"/>
          <w:sz w:val="24"/>
          <w:szCs w:val="24"/>
        </w:rPr>
      </w:pPr>
      <w:r w:rsidRPr="00D41BD8">
        <w:rPr>
          <w:rFonts w:ascii="Times New Roman" w:eastAsia="Calibri" w:hAnsi="Times New Roman" w:cs="Times New Roman"/>
          <w:sz w:val="24"/>
          <w:szCs w:val="24"/>
        </w:rPr>
        <w:t>La</w:t>
      </w:r>
      <w:r w:rsidRPr="00D41BD8">
        <w:rPr>
          <w:rFonts w:ascii="Times New Roman" w:eastAsia="Calibri" w:hAnsi="Times New Roman" w:cs="Times New Roman"/>
          <w:b/>
          <w:color w:val="FF0000"/>
          <w:sz w:val="24"/>
          <w:szCs w:val="24"/>
        </w:rPr>
        <w:t xml:space="preserve"> </w:t>
      </w:r>
      <w:r w:rsidRPr="00D41BD8">
        <w:rPr>
          <w:rFonts w:ascii="Times New Roman" w:eastAsia="Calibri" w:hAnsi="Times New Roman" w:cs="Times New Roman"/>
          <w:sz w:val="24"/>
          <w:szCs w:val="24"/>
        </w:rPr>
        <w:t>théorie politico-contractuelle repose sur les principes de l’approche positive de la comptabilité, dont la portée principale est d’expliquer et de prédire les choix managériaux en matière de normes comptables et cela, en analysant le rapport coût bénéfice de l’information comptable</w:t>
      </w:r>
      <w:r w:rsidRPr="00D41BD8">
        <w:rPr>
          <w:rFonts w:ascii="Times New Roman" w:eastAsia="Calibri" w:hAnsi="Times New Roman" w:cs="Times New Roman"/>
          <w:b/>
          <w:sz w:val="24"/>
          <w:szCs w:val="24"/>
          <w:vertAlign w:val="superscript"/>
        </w:rPr>
        <w:footnoteReference w:id="79"/>
      </w:r>
      <w:r w:rsidRPr="00D41BD8">
        <w:rPr>
          <w:rFonts w:ascii="Times New Roman" w:eastAsia="Calibri" w:hAnsi="Times New Roman" w:cs="Times New Roman"/>
          <w:b/>
          <w:sz w:val="24"/>
          <w:szCs w:val="24"/>
        </w:rPr>
        <w:t xml:space="preserve">. </w:t>
      </w:r>
      <w:r w:rsidRPr="00D41BD8">
        <w:rPr>
          <w:rFonts w:ascii="Times New Roman" w:eastAsia="Calibri" w:hAnsi="Times New Roman" w:cs="Times New Roman"/>
          <w:sz w:val="24"/>
          <w:szCs w:val="24"/>
        </w:rPr>
        <w:t>Cette approche  permet encore de construire un modèle à même d’anticiper le comportement du dirigeant en fonction des caractéristiques de l’entreprise, de la fiscalité, de la réglementation, des coûts politiques et de la production de l’information tout en tenant compte des ajustements auxquels procèdent les autres agents</w:t>
      </w:r>
      <w:r w:rsidRPr="00D41BD8">
        <w:rPr>
          <w:rFonts w:ascii="Times New Roman" w:eastAsia="Calibri" w:hAnsi="Times New Roman" w:cs="Times New Roman"/>
          <w:b/>
          <w:sz w:val="24"/>
          <w:szCs w:val="24"/>
          <w:vertAlign w:val="superscript"/>
        </w:rPr>
        <w:footnoteReference w:id="80"/>
      </w:r>
      <w:r w:rsidRPr="00D41BD8">
        <w:rPr>
          <w:rFonts w:ascii="Times New Roman" w:eastAsia="Calibri" w:hAnsi="Times New Roman" w:cs="Times New Roman"/>
          <w:b/>
          <w:sz w:val="24"/>
          <w:szCs w:val="24"/>
        </w:rPr>
        <w:t>.</w:t>
      </w:r>
    </w:p>
    <w:p w:rsidR="00D41BD8" w:rsidRPr="00D41BD8" w:rsidRDefault="00D41BD8" w:rsidP="00D41BD8">
      <w:pPr>
        <w:spacing w:before="60" w:beforeAutospacing="0" w:after="60" w:afterAutospacing="0" w:line="276" w:lineRule="auto"/>
        <w:jc w:val="both"/>
        <w:rPr>
          <w:rFonts w:ascii="Times New Roman" w:eastAsia="Calibri" w:hAnsi="Times New Roman" w:cs="Times New Roman"/>
          <w:b/>
          <w:sz w:val="24"/>
          <w:szCs w:val="24"/>
        </w:rPr>
      </w:pPr>
      <w:r w:rsidRPr="00D41BD8">
        <w:rPr>
          <w:rFonts w:ascii="Times New Roman" w:eastAsia="Calibri" w:hAnsi="Times New Roman" w:cs="Times New Roman"/>
          <w:sz w:val="24"/>
          <w:szCs w:val="24"/>
        </w:rPr>
        <w:t>De ce fait, la théorie politico-contractuelle prend appui sur les théories de l’agence et de la réglementation. Autrement dit, son postulat de départ repose sur l’existence de coûts d’agence et de coûts politiques.</w:t>
      </w:r>
      <w:r w:rsidRPr="00D41BD8">
        <w:rPr>
          <w:rFonts w:ascii="Times New Roman" w:eastAsia="Calibri" w:hAnsi="Times New Roman" w:cs="Times New Roman"/>
          <w:b/>
          <w:color w:val="FF0000"/>
          <w:sz w:val="24"/>
          <w:szCs w:val="24"/>
        </w:rPr>
        <w:t xml:space="preserve"> </w:t>
      </w:r>
      <w:r w:rsidRPr="00D41BD8">
        <w:rPr>
          <w:rFonts w:ascii="Times New Roman" w:eastAsia="Calibri" w:hAnsi="Times New Roman" w:cs="Times New Roman"/>
          <w:sz w:val="24"/>
          <w:szCs w:val="24"/>
        </w:rPr>
        <w:t>Selon BELKAOUI</w:t>
      </w:r>
      <w:r w:rsidRPr="00D41BD8">
        <w:rPr>
          <w:rFonts w:ascii="Times New Roman" w:eastAsia="Calibri" w:hAnsi="Times New Roman" w:cs="Times New Roman"/>
          <w:sz w:val="24"/>
          <w:szCs w:val="24"/>
          <w:vertAlign w:val="superscript"/>
        </w:rPr>
        <w:footnoteReference w:id="81"/>
      </w:r>
      <w:r w:rsidRPr="00D41BD8">
        <w:rPr>
          <w:rFonts w:ascii="Times New Roman" w:eastAsia="Calibri" w:hAnsi="Times New Roman" w:cs="Times New Roman"/>
          <w:sz w:val="24"/>
          <w:szCs w:val="24"/>
        </w:rPr>
        <w:t>, cette théorie est fondée sur le principe que les dirigeants, les actionnaires, les</w:t>
      </w:r>
      <w:r w:rsidRPr="00D41BD8">
        <w:rPr>
          <w:rFonts w:ascii="Times New Roman" w:eastAsia="Calibri" w:hAnsi="Times New Roman" w:cs="Times New Roman"/>
          <w:b/>
          <w:color w:val="FF0000"/>
          <w:sz w:val="24"/>
          <w:szCs w:val="24"/>
        </w:rPr>
        <w:t xml:space="preserve"> </w:t>
      </w:r>
      <w:r w:rsidRPr="00D41BD8">
        <w:rPr>
          <w:rFonts w:ascii="Times New Roman" w:eastAsia="Calibri" w:hAnsi="Times New Roman" w:cs="Times New Roman"/>
          <w:sz w:val="24"/>
          <w:szCs w:val="24"/>
        </w:rPr>
        <w:t xml:space="preserve">régulateurs et les hommes politiques sont rationnels et par conséquent qu’ils tentent de maximiser leur utilité, celle-ci étant directement liée à leur  rémunération et donc à leur richesse. Elle infère, sur la base des  </w:t>
      </w:r>
      <w:r w:rsidRPr="00D41BD8">
        <w:rPr>
          <w:rFonts w:ascii="Times New Roman" w:eastAsia="Calibri" w:hAnsi="Times New Roman" w:cs="Times New Roman"/>
          <w:sz w:val="24"/>
          <w:szCs w:val="24"/>
        </w:rPr>
        <w:lastRenderedPageBreak/>
        <w:t xml:space="preserve">pratiques observées, un ensemble de règles de comportements empiriquement </w:t>
      </w:r>
      <w:proofErr w:type="spellStart"/>
      <w:r w:rsidRPr="00D41BD8">
        <w:rPr>
          <w:rFonts w:ascii="Times New Roman" w:eastAsia="Calibri" w:hAnsi="Times New Roman" w:cs="Times New Roman"/>
          <w:sz w:val="24"/>
          <w:szCs w:val="24"/>
        </w:rPr>
        <w:t>validables</w:t>
      </w:r>
      <w:proofErr w:type="spellEnd"/>
      <w:r w:rsidRPr="00D41BD8">
        <w:rPr>
          <w:rFonts w:ascii="Times New Roman" w:eastAsia="Calibri" w:hAnsi="Times New Roman" w:cs="Times New Roman"/>
          <w:sz w:val="24"/>
          <w:szCs w:val="24"/>
          <w:vertAlign w:val="superscript"/>
        </w:rPr>
        <w:footnoteReference w:id="82"/>
      </w:r>
      <w:r w:rsidRPr="00D41BD8">
        <w:rPr>
          <w:rFonts w:ascii="Times New Roman" w:eastAsia="Calibri" w:hAnsi="Times New Roman" w:cs="Times New Roman"/>
          <w:sz w:val="24"/>
          <w:szCs w:val="24"/>
        </w:rPr>
        <w:t>.</w:t>
      </w:r>
    </w:p>
    <w:p w:rsidR="00D41BD8" w:rsidRPr="00D41BD8" w:rsidRDefault="00D41BD8" w:rsidP="00D41BD8">
      <w:pPr>
        <w:spacing w:before="60" w:beforeAutospacing="0" w:after="60" w:afterAutospacing="0" w:line="276" w:lineRule="auto"/>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Dès lors, la méthodologie suivie consiste à tester, à partir de données empiriques, les hypothèses de cette théorie. Les tests effectués sont majoritairement à caractère statistique.</w:t>
      </w:r>
    </w:p>
    <w:p w:rsidR="00D41BD8" w:rsidRPr="00D41BD8" w:rsidRDefault="00D41BD8" w:rsidP="00D41BD8">
      <w:pPr>
        <w:spacing w:before="60" w:beforeAutospacing="0" w:after="60" w:afterAutospacing="0" w:line="276" w:lineRule="auto"/>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En conclusion, « dans sa pratique effective, la théorie politico-contractuelle est caractérisée par deux éléments :</w:t>
      </w:r>
    </w:p>
    <w:p w:rsidR="00D41BD8" w:rsidRPr="00D41BD8" w:rsidRDefault="00D41BD8" w:rsidP="002A3F16">
      <w:pPr>
        <w:numPr>
          <w:ilvl w:val="0"/>
          <w:numId w:val="13"/>
        </w:numPr>
        <w:spacing w:before="60" w:beforeAutospacing="0" w:after="60" w:afterAutospacing="0" w:line="276" w:lineRule="auto"/>
        <w:ind w:hanging="357"/>
        <w:contextualSpacing/>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Elle s’intéresse aux comportements des acteurs jouant un rôle en matière comptable, il s’agit des dirigeants, mais aussi des investisseurs ou des créanciers ;</w:t>
      </w:r>
    </w:p>
    <w:p w:rsidR="00D41BD8" w:rsidRPr="00D41BD8" w:rsidRDefault="00D41BD8" w:rsidP="002A3F16">
      <w:pPr>
        <w:numPr>
          <w:ilvl w:val="0"/>
          <w:numId w:val="13"/>
        </w:numPr>
        <w:spacing w:before="60" w:beforeAutospacing="0" w:after="60" w:afterAutospacing="0" w:line="276" w:lineRule="auto"/>
        <w:ind w:hanging="357"/>
        <w:contextualSpacing/>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 xml:space="preserve">Elle formule des hypothèses de comportement des acteurs reposant sur une conception </w:t>
      </w:r>
      <w:proofErr w:type="spellStart"/>
      <w:r w:rsidRPr="00D41BD8">
        <w:rPr>
          <w:rFonts w:ascii="Times New Roman" w:eastAsia="Calibri" w:hAnsi="Times New Roman" w:cs="Times New Roman"/>
          <w:sz w:val="24"/>
          <w:szCs w:val="24"/>
        </w:rPr>
        <w:t>contractualiste</w:t>
      </w:r>
      <w:proofErr w:type="spellEnd"/>
      <w:r w:rsidRPr="00D41BD8">
        <w:rPr>
          <w:rFonts w:ascii="Times New Roman" w:eastAsia="Calibri" w:hAnsi="Times New Roman" w:cs="Times New Roman"/>
          <w:sz w:val="24"/>
          <w:szCs w:val="24"/>
        </w:rPr>
        <w:t xml:space="preserve"> de l’entreprise, à savoir :</w:t>
      </w:r>
    </w:p>
    <w:p w:rsidR="00D41BD8" w:rsidRPr="00D41BD8" w:rsidRDefault="00D41BD8" w:rsidP="002A3F16">
      <w:pPr>
        <w:numPr>
          <w:ilvl w:val="0"/>
          <w:numId w:val="16"/>
        </w:numPr>
        <w:spacing w:before="60" w:beforeAutospacing="0" w:after="60" w:afterAutospacing="0" w:line="276" w:lineRule="auto"/>
        <w:ind w:hanging="357"/>
        <w:contextualSpacing/>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 xml:space="preserve">L’entreprise est un nœud de contrats conclus </w:t>
      </w:r>
      <w:proofErr w:type="spellStart"/>
      <w:r w:rsidRPr="00D41BD8">
        <w:rPr>
          <w:rFonts w:ascii="Times New Roman" w:eastAsia="Calibri" w:hAnsi="Times New Roman" w:cs="Times New Roman"/>
          <w:sz w:val="24"/>
          <w:szCs w:val="24"/>
        </w:rPr>
        <w:t>entres</w:t>
      </w:r>
      <w:proofErr w:type="spellEnd"/>
      <w:r w:rsidRPr="00D41BD8">
        <w:rPr>
          <w:rFonts w:ascii="Times New Roman" w:eastAsia="Calibri" w:hAnsi="Times New Roman" w:cs="Times New Roman"/>
          <w:sz w:val="24"/>
          <w:szCs w:val="24"/>
        </w:rPr>
        <w:t xml:space="preserve"> différentes parties prenantes afin de réduire leurs divergences d’intérêts ;</w:t>
      </w:r>
    </w:p>
    <w:p w:rsidR="00D41BD8" w:rsidRPr="00D41BD8" w:rsidRDefault="00D41BD8" w:rsidP="002A3F16">
      <w:pPr>
        <w:numPr>
          <w:ilvl w:val="0"/>
          <w:numId w:val="16"/>
        </w:numPr>
        <w:spacing w:before="60" w:beforeAutospacing="0" w:after="60" w:afterAutospacing="0" w:line="276" w:lineRule="auto"/>
        <w:ind w:hanging="357"/>
        <w:contextualSpacing/>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Ces différentes parties (actionnaires, créanciers, managers, …) cherchent à maximiser les revenus qu’ils tirent de l’entreprise ;</w:t>
      </w:r>
    </w:p>
    <w:p w:rsidR="00D41BD8" w:rsidRPr="00D41BD8" w:rsidRDefault="00D41BD8" w:rsidP="002A3F16">
      <w:pPr>
        <w:numPr>
          <w:ilvl w:val="0"/>
          <w:numId w:val="16"/>
        </w:numPr>
        <w:spacing w:before="60" w:beforeAutospacing="0" w:after="60" w:afterAutospacing="0" w:line="276" w:lineRule="auto"/>
        <w:ind w:hanging="357"/>
        <w:contextualSpacing/>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Il existe une opposition forte entre les managers (qui disposent de la maîtrise de la comptabilité) et les autres parties prenantes (qui n’ont pas la maîtrise de la comptabilité). »</w:t>
      </w:r>
      <w:r w:rsidRPr="00D41BD8">
        <w:rPr>
          <w:rFonts w:ascii="Times New Roman" w:eastAsia="Calibri" w:hAnsi="Times New Roman" w:cs="Times New Roman"/>
          <w:sz w:val="24"/>
          <w:szCs w:val="24"/>
          <w:vertAlign w:val="superscript"/>
        </w:rPr>
        <w:footnoteReference w:id="83"/>
      </w:r>
    </w:p>
    <w:p w:rsidR="00D41BD8" w:rsidRPr="00D41BD8" w:rsidRDefault="00D41BD8" w:rsidP="002A3F16">
      <w:pPr>
        <w:numPr>
          <w:ilvl w:val="0"/>
          <w:numId w:val="13"/>
        </w:numPr>
        <w:spacing w:before="60" w:beforeAutospacing="0" w:after="60" w:afterAutospacing="0" w:line="276" w:lineRule="auto"/>
        <w:contextualSpacing/>
        <w:jc w:val="both"/>
        <w:rPr>
          <w:rFonts w:ascii="Times New Roman" w:eastAsia="Calibri" w:hAnsi="Times New Roman" w:cs="Times New Roman"/>
          <w:b/>
          <w:sz w:val="24"/>
          <w:szCs w:val="24"/>
        </w:rPr>
      </w:pPr>
      <w:r w:rsidRPr="00D41BD8">
        <w:rPr>
          <w:rFonts w:ascii="Times New Roman" w:eastAsia="Calibri" w:hAnsi="Times New Roman" w:cs="Times New Roman"/>
          <w:b/>
          <w:sz w:val="24"/>
          <w:szCs w:val="24"/>
        </w:rPr>
        <w:t>Hypothèses de la théorie politico-contractuelle</w:t>
      </w:r>
      <w:r w:rsidRPr="00D41BD8">
        <w:rPr>
          <w:rFonts w:ascii="Times New Roman" w:eastAsia="Calibri" w:hAnsi="Times New Roman" w:cs="Times New Roman"/>
          <w:sz w:val="24"/>
          <w:szCs w:val="24"/>
          <w:vertAlign w:val="superscript"/>
        </w:rPr>
        <w:footnoteReference w:id="84"/>
      </w:r>
    </w:p>
    <w:p w:rsidR="00D41BD8" w:rsidRPr="00D41BD8" w:rsidRDefault="00D41BD8" w:rsidP="00D41BD8">
      <w:pPr>
        <w:spacing w:before="60" w:beforeAutospacing="0" w:after="60" w:afterAutospacing="0" w:line="276" w:lineRule="auto"/>
        <w:jc w:val="both"/>
        <w:rPr>
          <w:rFonts w:ascii="Times New Roman" w:eastAsia="Calibri" w:hAnsi="Times New Roman" w:cs="Times New Roman"/>
          <w:b/>
          <w:color w:val="FF0000"/>
          <w:sz w:val="24"/>
          <w:szCs w:val="24"/>
        </w:rPr>
      </w:pPr>
      <w:r w:rsidRPr="00D41BD8">
        <w:rPr>
          <w:rFonts w:ascii="Times New Roman" w:eastAsia="Calibri" w:hAnsi="Times New Roman" w:cs="Times New Roman"/>
          <w:sz w:val="24"/>
          <w:szCs w:val="24"/>
        </w:rPr>
        <w:t>Pour mieux comprendre les relations supposées entre le comportement des agents et les caractéristiques de la firme, il est nécessaire de présenter les hypothèses de la théorie politico-contractuelle.</w:t>
      </w:r>
      <w:r w:rsidRPr="00D41BD8">
        <w:rPr>
          <w:rFonts w:ascii="Times New Roman" w:eastAsia="Calibri" w:hAnsi="Times New Roman" w:cs="Times New Roman"/>
          <w:b/>
          <w:color w:val="FF0000"/>
          <w:sz w:val="24"/>
          <w:szCs w:val="24"/>
        </w:rPr>
        <w:t xml:space="preserve"> </w:t>
      </w:r>
    </w:p>
    <w:p w:rsidR="00D41BD8" w:rsidRPr="00D41BD8" w:rsidRDefault="00D41BD8" w:rsidP="00D41BD8">
      <w:pPr>
        <w:spacing w:before="60" w:beforeAutospacing="0" w:after="60" w:afterAutospacing="0" w:line="276" w:lineRule="auto"/>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 Pour WATTS et ZIMMERMAN, il est certain qu’il existe une relation entre les choix comptables et les caractéristiques de la firme. Autrement dit, les choix de nature comptable sont le reflet des relations d’agences au sein de l’entreprise et des coûts politiques que celle-ci subit.</w:t>
      </w:r>
    </w:p>
    <w:p w:rsidR="00D41BD8" w:rsidRPr="00D41BD8" w:rsidRDefault="00D41BD8" w:rsidP="00D41BD8">
      <w:pPr>
        <w:spacing w:before="60" w:beforeAutospacing="0" w:after="60" w:afterAutospacing="0" w:line="276" w:lineRule="auto"/>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La figure ci-dessous présente les choix comptables au regard des différentes influences politico-contractuelles.</w:t>
      </w:r>
    </w:p>
    <w:p w:rsidR="00D41BD8" w:rsidRPr="00D41BD8" w:rsidRDefault="00D41BD8" w:rsidP="002A3F16">
      <w:pPr>
        <w:numPr>
          <w:ilvl w:val="0"/>
          <w:numId w:val="17"/>
        </w:numPr>
        <w:spacing w:before="60" w:beforeAutospacing="0" w:after="60" w:afterAutospacing="0" w:line="276" w:lineRule="auto"/>
        <w:contextualSpacing/>
        <w:jc w:val="both"/>
        <w:rPr>
          <w:rFonts w:ascii="Times New Roman" w:eastAsia="Calibri" w:hAnsi="Times New Roman" w:cs="Times New Roman"/>
          <w:sz w:val="24"/>
          <w:szCs w:val="24"/>
        </w:rPr>
      </w:pPr>
      <w:r w:rsidRPr="00D41BD8">
        <w:rPr>
          <w:rFonts w:ascii="Times New Roman" w:eastAsia="Calibri" w:hAnsi="Times New Roman" w:cs="Times New Roman"/>
          <w:b/>
          <w:sz w:val="24"/>
          <w:szCs w:val="24"/>
        </w:rPr>
        <w:t>Influence des coûts politiques :</w:t>
      </w:r>
      <w:r w:rsidRPr="00D41BD8">
        <w:rPr>
          <w:rFonts w:ascii="Times New Roman" w:eastAsia="Calibri" w:hAnsi="Times New Roman" w:cs="Times New Roman"/>
          <w:sz w:val="24"/>
          <w:szCs w:val="24"/>
        </w:rPr>
        <w:t xml:space="preserve"> La firme est en relation avec son environnement et en particulier avec les différents intervenants institutionnels. Ainsi, les actions et/ou propositions des gouvernements, des hommes politiques et des groupes de pression peuvent influencer l’entreprise. Le pouvoir politique a un poids particulièrement important puisqu’il est en mesure d’ajuster le niveau de la charge d’impôt pesant sur </w:t>
      </w:r>
      <w:r w:rsidRPr="00D41BD8">
        <w:rPr>
          <w:rFonts w:ascii="Times New Roman" w:eastAsia="Calibri" w:hAnsi="Times New Roman" w:cs="Times New Roman"/>
          <w:sz w:val="24"/>
          <w:szCs w:val="24"/>
        </w:rPr>
        <w:lastRenderedPageBreak/>
        <w:t>les entreprises. Les détenteurs du pouvoir politique doivent assurer le financement des politiques publiques, or, il est moins préjudiciable, d’un point de vue électoral, d’accroître les prélèvements sur les entreprises que sur les citoyens. Dans ces conditions, plus les entreprises sont visibles (profit, activité internationale, etc.) plus elles risquent d’être taxées.</w:t>
      </w:r>
    </w:p>
    <w:p w:rsidR="00D41BD8" w:rsidRPr="00D41BD8" w:rsidRDefault="00D41BD8" w:rsidP="00D41BD8">
      <w:pPr>
        <w:spacing w:before="60" w:beforeAutospacing="0" w:after="60" w:afterAutospacing="0" w:line="276" w:lineRule="auto"/>
        <w:contextualSpacing/>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Cependant, la mesure de la pression politique exercée sur les firmes n’est pas aisée, car comment évaluer de façon juste et individuelle l’action politique. WATTS et ZIMMERMAN supposent que l’ampleur des coûts politiques est hautement dépendante de la taille de la firme. Ainsi, ils posent comme hypothèse : « plus une firme est grande et plus elle aura tendance à choisir des méthodes comptables qui diffèrent la sécrétion du résultat vers les périodes futures »</w:t>
      </w:r>
      <w:r w:rsidRPr="00D41BD8">
        <w:rPr>
          <w:rFonts w:ascii="Times New Roman" w:eastAsia="Calibri" w:hAnsi="Times New Roman" w:cs="Times New Roman"/>
          <w:sz w:val="24"/>
          <w:szCs w:val="24"/>
          <w:vertAlign w:val="superscript"/>
        </w:rPr>
        <w:footnoteReference w:id="85"/>
      </w:r>
      <w:r w:rsidRPr="00D41BD8">
        <w:rPr>
          <w:rFonts w:ascii="Times New Roman" w:eastAsia="Calibri" w:hAnsi="Times New Roman" w:cs="Times New Roman"/>
          <w:sz w:val="24"/>
          <w:szCs w:val="24"/>
        </w:rPr>
        <w:t>. Cette hypothèse introduit l’obligation de mesurer la grandeur de la firme. Dès lors, par abus de langage, on parle d’hypothèse de la taille en lieu et place d’hypothèse politique.</w:t>
      </w:r>
    </w:p>
    <w:p w:rsidR="00D41BD8" w:rsidRPr="00D41BD8" w:rsidRDefault="00D41BD8" w:rsidP="002A3F16">
      <w:pPr>
        <w:numPr>
          <w:ilvl w:val="0"/>
          <w:numId w:val="17"/>
        </w:numPr>
        <w:spacing w:before="120" w:beforeAutospacing="0" w:after="60" w:afterAutospacing="0" w:line="276" w:lineRule="auto"/>
        <w:ind w:left="357" w:hanging="357"/>
        <w:jc w:val="both"/>
        <w:rPr>
          <w:rFonts w:ascii="Times New Roman" w:eastAsia="Calibri" w:hAnsi="Times New Roman" w:cs="Times New Roman"/>
          <w:sz w:val="24"/>
          <w:szCs w:val="24"/>
        </w:rPr>
      </w:pPr>
      <w:r w:rsidRPr="00D41BD8">
        <w:rPr>
          <w:rFonts w:ascii="Times New Roman" w:eastAsia="Calibri" w:hAnsi="Times New Roman" w:cs="Times New Roman"/>
          <w:b/>
          <w:sz w:val="24"/>
          <w:szCs w:val="24"/>
        </w:rPr>
        <w:t>L’influence des coûts contractuels </w:t>
      </w:r>
      <w:r w:rsidRPr="00D41BD8">
        <w:rPr>
          <w:rFonts w:ascii="Times New Roman" w:eastAsia="Calibri" w:hAnsi="Times New Roman" w:cs="Times New Roman"/>
          <w:sz w:val="24"/>
          <w:szCs w:val="24"/>
        </w:rPr>
        <w:t>: cette influence est liée à deux types de contrats :</w:t>
      </w:r>
    </w:p>
    <w:p w:rsidR="00D41BD8" w:rsidRPr="00D41BD8" w:rsidRDefault="00D41BD8" w:rsidP="002A3F16">
      <w:pPr>
        <w:numPr>
          <w:ilvl w:val="0"/>
          <w:numId w:val="13"/>
        </w:numPr>
        <w:spacing w:before="60" w:beforeAutospacing="0" w:after="60" w:afterAutospacing="0" w:line="276" w:lineRule="auto"/>
        <w:contextualSpacing/>
        <w:jc w:val="both"/>
        <w:rPr>
          <w:rFonts w:ascii="Times New Roman" w:eastAsia="Calibri" w:hAnsi="Times New Roman" w:cs="Times New Roman"/>
          <w:sz w:val="24"/>
          <w:szCs w:val="24"/>
        </w:rPr>
      </w:pPr>
      <w:r w:rsidRPr="00D41BD8">
        <w:rPr>
          <w:rFonts w:ascii="Times New Roman" w:eastAsia="Calibri" w:hAnsi="Times New Roman" w:cs="Times New Roman"/>
          <w:b/>
          <w:i/>
          <w:sz w:val="24"/>
          <w:szCs w:val="24"/>
        </w:rPr>
        <w:t>Le contrat de rémunération du dirigeant</w:t>
      </w:r>
      <w:r w:rsidRPr="00D41BD8">
        <w:rPr>
          <w:rFonts w:ascii="Times New Roman" w:eastAsia="Calibri" w:hAnsi="Times New Roman" w:cs="Times New Roman"/>
          <w:sz w:val="24"/>
          <w:szCs w:val="24"/>
        </w:rPr>
        <w:t xml:space="preserve"> : pour éviter un comportement opportuniste du manager allant à l’encontre des intérêts des actionnaires, une part de sa rémunération est indexée sur la performance de la firme. Or, les chiffres issus de la comptabilité dépendent des méthodes comptables retenues et le dirigeant peut influencer ces choix. Dans ces conditions, si le résultat dépend des pratiques choisies, les dirigeants bénéficiant de contrats d’intéressement devraient préférer celles qui accroissent les résultats. En d’autres termes, selon WATTS et ZIMMERMAN « les managers des firmes où il existe un contrat d’intéressement sont plus susceptibles de choisir les procédures comptables qui reportent le résultat des périodes futures vers la période courante ».</w:t>
      </w:r>
    </w:p>
    <w:p w:rsidR="00D41BD8" w:rsidRPr="00D41BD8" w:rsidRDefault="00D41BD8" w:rsidP="002A3F16">
      <w:pPr>
        <w:numPr>
          <w:ilvl w:val="0"/>
          <w:numId w:val="13"/>
        </w:numPr>
        <w:spacing w:before="60" w:beforeAutospacing="0" w:after="60" w:afterAutospacing="0" w:line="276" w:lineRule="auto"/>
        <w:contextualSpacing/>
        <w:jc w:val="both"/>
        <w:rPr>
          <w:rFonts w:ascii="Times New Roman" w:eastAsia="Calibri" w:hAnsi="Times New Roman" w:cs="Times New Roman"/>
          <w:sz w:val="24"/>
          <w:szCs w:val="24"/>
        </w:rPr>
      </w:pPr>
      <w:r w:rsidRPr="00D41BD8">
        <w:rPr>
          <w:rFonts w:ascii="Times New Roman" w:eastAsia="Calibri" w:hAnsi="Times New Roman" w:cs="Times New Roman"/>
          <w:b/>
          <w:i/>
          <w:sz w:val="24"/>
          <w:szCs w:val="24"/>
        </w:rPr>
        <w:t>Le contrat de prêt contenant des clauses restrictives :</w:t>
      </w:r>
      <w:r w:rsidRPr="00D41BD8">
        <w:rPr>
          <w:rFonts w:ascii="Times New Roman" w:eastAsia="Calibri" w:hAnsi="Times New Roman" w:cs="Times New Roman"/>
          <w:sz w:val="24"/>
          <w:szCs w:val="24"/>
        </w:rPr>
        <w:t xml:space="preserve"> ce type de clauses est fréquent en Amérique du Nord, ces clauses sont indexées sur des ratios comptables dont il ne faut pas dépasser certains seuils sous peine d’engendrer une renégociation du contrat.  En outre, « plus une firme </w:t>
      </w:r>
      <w:proofErr w:type="gramStart"/>
      <w:r w:rsidRPr="00D41BD8">
        <w:rPr>
          <w:rFonts w:ascii="Times New Roman" w:eastAsia="Calibri" w:hAnsi="Times New Roman" w:cs="Times New Roman"/>
          <w:sz w:val="24"/>
          <w:szCs w:val="24"/>
        </w:rPr>
        <w:t>a</w:t>
      </w:r>
      <w:proofErr w:type="gramEnd"/>
      <w:r w:rsidRPr="00D41BD8">
        <w:rPr>
          <w:rFonts w:ascii="Times New Roman" w:eastAsia="Calibri" w:hAnsi="Times New Roman" w:cs="Times New Roman"/>
          <w:sz w:val="24"/>
          <w:szCs w:val="24"/>
        </w:rPr>
        <w:t xml:space="preserve"> un ratio dette sur fonds propres élevé, plus cette firme aura tendance à sélectionner des procédures comptables qui reportent les profits des périodes futures vers la période actuelle ». cependant, DECHOW et al.</w:t>
      </w:r>
      <w:r w:rsidRPr="00D41BD8">
        <w:rPr>
          <w:rFonts w:ascii="Times New Roman" w:eastAsia="Calibri" w:hAnsi="Times New Roman" w:cs="Times New Roman"/>
          <w:sz w:val="24"/>
          <w:szCs w:val="24"/>
          <w:vertAlign w:val="superscript"/>
        </w:rPr>
        <w:footnoteReference w:id="86"/>
      </w:r>
      <w:r w:rsidRPr="00D41BD8">
        <w:rPr>
          <w:rFonts w:ascii="Times New Roman" w:eastAsia="Calibri" w:hAnsi="Times New Roman" w:cs="Times New Roman"/>
          <w:sz w:val="24"/>
          <w:szCs w:val="24"/>
        </w:rPr>
        <w:t xml:space="preserve"> estiment que le niveau d’endettement, même en l’absence de clauses contractuelles, est une mesure des pratiques comptables.</w:t>
      </w:r>
    </w:p>
    <w:p w:rsidR="00D41BD8" w:rsidRPr="00D41BD8" w:rsidRDefault="00D41BD8" w:rsidP="002A3F16">
      <w:pPr>
        <w:numPr>
          <w:ilvl w:val="0"/>
          <w:numId w:val="18"/>
        </w:numPr>
        <w:spacing w:before="60" w:beforeAutospacing="0" w:after="60" w:afterAutospacing="0" w:line="276" w:lineRule="auto"/>
        <w:contextualSpacing/>
        <w:jc w:val="both"/>
        <w:rPr>
          <w:rFonts w:ascii="Times New Roman" w:eastAsia="Calibri" w:hAnsi="Times New Roman" w:cs="Times New Roman"/>
          <w:b/>
          <w:sz w:val="24"/>
          <w:szCs w:val="24"/>
        </w:rPr>
      </w:pPr>
      <w:r w:rsidRPr="00D41BD8">
        <w:rPr>
          <w:rFonts w:ascii="Times New Roman" w:eastAsia="Calibri" w:hAnsi="Times New Roman" w:cs="Times New Roman"/>
          <w:b/>
          <w:sz w:val="24"/>
          <w:szCs w:val="24"/>
        </w:rPr>
        <w:t>Critiques</w:t>
      </w:r>
      <w:r w:rsidRPr="00D41BD8">
        <w:rPr>
          <w:rFonts w:ascii="Times New Roman" w:eastAsia="Calibri" w:hAnsi="Times New Roman" w:cs="Times New Roman"/>
          <w:b/>
          <w:color w:val="FF0000"/>
          <w:sz w:val="32"/>
          <w:szCs w:val="24"/>
        </w:rPr>
        <w:t xml:space="preserve"> </w:t>
      </w:r>
      <w:r w:rsidRPr="00D41BD8">
        <w:rPr>
          <w:rFonts w:ascii="Times New Roman" w:eastAsia="Calibri" w:hAnsi="Times New Roman" w:cs="Times New Roman"/>
          <w:b/>
          <w:sz w:val="24"/>
          <w:szCs w:val="24"/>
        </w:rPr>
        <w:t>de la théorie politico-contractuelle</w:t>
      </w:r>
    </w:p>
    <w:p w:rsidR="00D41BD8" w:rsidRPr="00D41BD8" w:rsidRDefault="00D41BD8" w:rsidP="00D41BD8">
      <w:pPr>
        <w:spacing w:before="60" w:beforeAutospacing="0" w:after="60" w:afterAutospacing="0" w:line="276" w:lineRule="auto"/>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lastRenderedPageBreak/>
        <w:t xml:space="preserve">Même si la théorie  politico-contractuelle constitue le </w:t>
      </w:r>
      <w:proofErr w:type="spellStart"/>
      <w:r w:rsidRPr="00D41BD8">
        <w:rPr>
          <w:rFonts w:ascii="Times New Roman" w:eastAsia="Calibri" w:hAnsi="Times New Roman" w:cs="Times New Roman"/>
          <w:sz w:val="24"/>
          <w:szCs w:val="24"/>
        </w:rPr>
        <w:t>mainstream</w:t>
      </w:r>
      <w:proofErr w:type="spellEnd"/>
      <w:r w:rsidRPr="00D41BD8">
        <w:rPr>
          <w:rFonts w:ascii="Times New Roman" w:eastAsia="Calibri" w:hAnsi="Times New Roman" w:cs="Times New Roman"/>
          <w:sz w:val="24"/>
          <w:szCs w:val="24"/>
        </w:rPr>
        <w:t xml:space="preserve"> en recherche comptable, de nombreuses publications mettent en exergue ses limites. Certaines remettent en question les principes fondateurs et les hypothèses de cette théorie. En outre, on s’interroge sur la possibilité d’analyser les choix comptables en se concentrant uniquement sur les caractéristiques contractuelles et financières de la firme. Et d’autre voient qu’il n’est pas exhaustive de réduire la capacité décisionnelle des dirigeants comptables à une maximisation de l’utilité et un opportunisme supposé.</w:t>
      </w:r>
    </w:p>
    <w:p w:rsidR="00D41BD8" w:rsidRPr="00D41BD8" w:rsidRDefault="00D41BD8" w:rsidP="00D41BD8">
      <w:pPr>
        <w:spacing w:before="120" w:beforeAutospacing="0" w:after="120" w:afterAutospacing="0" w:line="276" w:lineRule="auto"/>
        <w:jc w:val="both"/>
        <w:rPr>
          <w:rFonts w:ascii="Times New Roman" w:eastAsia="Calibri" w:hAnsi="Times New Roman" w:cs="Times New Roman"/>
          <w:b/>
          <w:sz w:val="24"/>
          <w:szCs w:val="24"/>
        </w:rPr>
      </w:pPr>
      <w:r w:rsidRPr="00D41BD8">
        <w:rPr>
          <w:rFonts w:ascii="Times New Roman" w:eastAsia="Calibri" w:hAnsi="Times New Roman" w:cs="Times New Roman"/>
          <w:b/>
          <w:sz w:val="24"/>
          <w:szCs w:val="24"/>
        </w:rPr>
        <w:t>3.1.2. La théorie des conventions</w:t>
      </w:r>
    </w:p>
    <w:p w:rsidR="00D41BD8" w:rsidRPr="00D41BD8" w:rsidRDefault="00D41BD8" w:rsidP="00D41BD8">
      <w:pPr>
        <w:spacing w:before="60" w:beforeAutospacing="0" w:after="60" w:afterAutospacing="0" w:line="276" w:lineRule="auto"/>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 xml:space="preserve">La théorie des conventions analyse le contexte d’action et le comportement des acteurs lors du processus de décision dans un environnement incertain. Or, la première mise en œuvre des normes IAS/IFRS a introduit une incertitude dans la pratique comptable du fait de l’adoption d’un référentiel très différent des normes locales. </w:t>
      </w:r>
    </w:p>
    <w:p w:rsidR="00D41BD8" w:rsidRPr="00D41BD8" w:rsidRDefault="00D41BD8" w:rsidP="00D41BD8">
      <w:pPr>
        <w:spacing w:before="60" w:beforeAutospacing="0" w:after="60" w:afterAutospacing="0" w:line="276" w:lineRule="auto"/>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Selon GENSSE</w:t>
      </w:r>
      <w:r w:rsidRPr="00D41BD8">
        <w:rPr>
          <w:rFonts w:ascii="Times New Roman" w:eastAsia="Calibri" w:hAnsi="Times New Roman" w:cs="Times New Roman"/>
          <w:sz w:val="24"/>
          <w:szCs w:val="24"/>
          <w:vertAlign w:val="superscript"/>
        </w:rPr>
        <w:footnoteReference w:id="87"/>
      </w:r>
      <w:r w:rsidRPr="00D41BD8">
        <w:rPr>
          <w:rFonts w:ascii="Times New Roman" w:eastAsia="Calibri" w:hAnsi="Times New Roman" w:cs="Times New Roman"/>
          <w:sz w:val="24"/>
          <w:szCs w:val="24"/>
        </w:rPr>
        <w:t>, insatisfait par le « tout marché et le tout contractuel », le gestionnaire recherche une nouvelle perspective pour une démarche susceptible d’expliquer et de fonder l’action des acteurs dans l’entreprise. La théorie des conventions suppose que les acteurs organisationnels partagent des systèmes de représentation, les conventions, contribuant à instaurer des règles d’action communes. Elle est marquée par une axiomatique forte permettant de caractériser l’environnement et le comportement des acteurs. On différencie d’une part, les hypothèses contextuelles (environnement incertain, individualisme méthodologique et dimension tacite des conventions), et d’autre part, les hypothèses comportementales (capacités cognitives limitées, recherche des conventions légitimées et comportement mimétique). La théorie des conventions peut éclairer les choix comptables à la lumière des réseaux de conventions inhérents à la pratique comptable.</w:t>
      </w:r>
    </w:p>
    <w:p w:rsidR="00D41BD8" w:rsidRPr="00D41BD8" w:rsidRDefault="00D41BD8" w:rsidP="00D41BD8">
      <w:pPr>
        <w:spacing w:before="60" w:beforeAutospacing="0" w:after="60" w:afterAutospacing="0" w:line="276" w:lineRule="auto"/>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 Toutefois, elle élude de son cadre explicatif les pressions institutionnelles subies par les acteurs. Ainsi, si on se réfère aux concurrents et à leurs façons d’agir, le conventionnalisme ne prête qu’une attention très marginale aux autres organisations. Or, lors de la transition aux normes comptables, ces institutions ont largement été présentes »</w:t>
      </w:r>
      <w:r w:rsidRPr="00D41BD8">
        <w:rPr>
          <w:rFonts w:ascii="Times New Roman" w:eastAsia="Calibri" w:hAnsi="Times New Roman" w:cs="Times New Roman"/>
          <w:sz w:val="24"/>
          <w:szCs w:val="24"/>
          <w:vertAlign w:val="superscript"/>
        </w:rPr>
        <w:footnoteReference w:id="88"/>
      </w:r>
      <w:r w:rsidRPr="00D41BD8">
        <w:rPr>
          <w:rFonts w:ascii="Times New Roman" w:eastAsia="Calibri" w:hAnsi="Times New Roman" w:cs="Times New Roman"/>
          <w:sz w:val="24"/>
          <w:szCs w:val="24"/>
        </w:rPr>
        <w:t>.</w:t>
      </w:r>
    </w:p>
    <w:p w:rsidR="00D41BD8" w:rsidRPr="00D41BD8" w:rsidRDefault="00D41BD8" w:rsidP="00D41BD8">
      <w:pPr>
        <w:spacing w:before="120" w:beforeAutospacing="0" w:after="120" w:afterAutospacing="0" w:line="276" w:lineRule="auto"/>
        <w:jc w:val="both"/>
        <w:rPr>
          <w:rFonts w:ascii="Times New Roman" w:eastAsia="Calibri" w:hAnsi="Times New Roman" w:cs="Times New Roman"/>
          <w:b/>
          <w:sz w:val="24"/>
          <w:szCs w:val="24"/>
        </w:rPr>
      </w:pPr>
      <w:r w:rsidRPr="00D41BD8">
        <w:rPr>
          <w:rFonts w:ascii="Times New Roman" w:eastAsia="Calibri" w:hAnsi="Times New Roman" w:cs="Times New Roman"/>
          <w:b/>
          <w:sz w:val="24"/>
          <w:szCs w:val="24"/>
        </w:rPr>
        <w:t>3.1.3. La théorie néo-institutionnelle sociologique</w:t>
      </w:r>
      <w:r w:rsidRPr="00D41BD8">
        <w:rPr>
          <w:rFonts w:ascii="Times New Roman" w:eastAsia="Calibri" w:hAnsi="Times New Roman" w:cs="Times New Roman"/>
          <w:b/>
          <w:sz w:val="24"/>
          <w:szCs w:val="24"/>
          <w:vertAlign w:val="superscript"/>
        </w:rPr>
        <w:footnoteReference w:id="89"/>
      </w:r>
    </w:p>
    <w:p w:rsidR="00D41BD8" w:rsidRPr="00D41BD8" w:rsidRDefault="00D41BD8" w:rsidP="00D41BD8">
      <w:pPr>
        <w:spacing w:before="60" w:beforeAutospacing="0" w:after="60" w:afterAutospacing="0" w:line="276" w:lineRule="auto"/>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 xml:space="preserve">La théorie néo-institutionnelle sociologique permet d’expliquer les choix comptables à la lumière des pressions institutionnelles exercées sur les entreprises. Les travaux néo-institutionnalistes tentent de comprendre l’homogénéité des pratiques. La question initiale posée par DIMAGGIO et POWELL cherche à « comprendre pourquoi il existe une si surprenante homogénéité des formes et des pratiques organisationnelles, et à </w:t>
      </w:r>
      <w:r w:rsidRPr="00D41BD8">
        <w:rPr>
          <w:rFonts w:ascii="Times New Roman" w:eastAsia="Calibri" w:hAnsi="Times New Roman" w:cs="Times New Roman"/>
          <w:sz w:val="24"/>
          <w:szCs w:val="24"/>
        </w:rPr>
        <w:lastRenderedPageBreak/>
        <w:t>expliquer l’homogénéité et non la variation ». Le constat d’uniformité des choix comptables a pu être fait après l’observation de la première application des normes IAS/IFRS.</w:t>
      </w:r>
    </w:p>
    <w:p w:rsidR="00D41BD8" w:rsidRPr="00D41BD8" w:rsidRDefault="00D41BD8" w:rsidP="00D41BD8">
      <w:pPr>
        <w:spacing w:before="60" w:beforeAutospacing="0" w:after="60" w:afterAutospacing="0" w:line="276" w:lineRule="auto"/>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 xml:space="preserve">Le concept fondateur du néo-institutionnalisme sociologique est l’isomorphisme, défini par HAWLEY comme « un processus de contrainte qui force une unité appartenant à une population à ressembler aux autres unités qui sont confrontées aux mêmes conditions environnementales ». DIMAGGIO et POWELL  identifient trois types de comportements </w:t>
      </w:r>
      <w:proofErr w:type="spellStart"/>
      <w:r w:rsidRPr="00D41BD8">
        <w:rPr>
          <w:rFonts w:ascii="Times New Roman" w:eastAsia="Calibri" w:hAnsi="Times New Roman" w:cs="Times New Roman"/>
          <w:sz w:val="24"/>
          <w:szCs w:val="24"/>
        </w:rPr>
        <w:t>isomorphiques</w:t>
      </w:r>
      <w:proofErr w:type="spellEnd"/>
      <w:r w:rsidRPr="00D41BD8">
        <w:rPr>
          <w:rFonts w:ascii="Times New Roman" w:eastAsia="Calibri" w:hAnsi="Times New Roman" w:cs="Times New Roman"/>
          <w:sz w:val="24"/>
          <w:szCs w:val="24"/>
        </w:rPr>
        <w:t xml:space="preserve"> :</w:t>
      </w:r>
    </w:p>
    <w:p w:rsidR="00D41BD8" w:rsidRPr="00D41BD8" w:rsidRDefault="00D41BD8" w:rsidP="002A3F16">
      <w:pPr>
        <w:numPr>
          <w:ilvl w:val="0"/>
          <w:numId w:val="18"/>
        </w:numPr>
        <w:spacing w:before="60" w:beforeAutospacing="0" w:after="60" w:afterAutospacing="0" w:line="276" w:lineRule="auto"/>
        <w:contextualSpacing/>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L’isomorphisme coercitif est le résultat de pressions formelles et informelles exercées sur les organisations par d’autres organisations et par les attentes culturelles dans lesquelles les organisations s’insèrent ;</w:t>
      </w:r>
    </w:p>
    <w:p w:rsidR="00D41BD8" w:rsidRPr="00D41BD8" w:rsidRDefault="00D41BD8" w:rsidP="002A3F16">
      <w:pPr>
        <w:numPr>
          <w:ilvl w:val="0"/>
          <w:numId w:val="18"/>
        </w:numPr>
        <w:spacing w:before="60" w:beforeAutospacing="0" w:after="60" w:afterAutospacing="0" w:line="276" w:lineRule="auto"/>
        <w:contextualSpacing/>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L’isomorphisme normatif fait référence aux influences qui peuvent exister dans un secteur d’activité. Ainsi, les organisations sont influencées par des normes professionnelles incitant les membres d’un secteur, d’une branche ou d’une communauté à s’y conformer ;</w:t>
      </w:r>
    </w:p>
    <w:p w:rsidR="00D41BD8" w:rsidRPr="00D41BD8" w:rsidRDefault="00D41BD8" w:rsidP="002A3F16">
      <w:pPr>
        <w:numPr>
          <w:ilvl w:val="0"/>
          <w:numId w:val="18"/>
        </w:numPr>
        <w:spacing w:before="60" w:beforeAutospacing="0" w:after="60" w:afterAutospacing="0" w:line="276" w:lineRule="auto"/>
        <w:contextualSpacing/>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 xml:space="preserve">L’isomorphisme mimétique, en situation d’incertitude, les organisations se livrent au mimétisme en imitant d’autres organisations considérées comme plus performantes. Au sens institutionnaliste du terme, le mimétisme revêt une dimension temporelle. Les firmes observent les autres organisations et adoptent (avec un léger décalage) les pratiques supposées </w:t>
      </w:r>
      <w:proofErr w:type="spellStart"/>
      <w:r w:rsidRPr="00D41BD8">
        <w:rPr>
          <w:rFonts w:ascii="Times New Roman" w:eastAsia="Calibri" w:hAnsi="Times New Roman" w:cs="Times New Roman"/>
          <w:sz w:val="24"/>
          <w:szCs w:val="24"/>
        </w:rPr>
        <w:t>légitimantes</w:t>
      </w:r>
      <w:proofErr w:type="spellEnd"/>
      <w:r w:rsidRPr="00D41BD8">
        <w:rPr>
          <w:rFonts w:ascii="Times New Roman" w:eastAsia="Calibri" w:hAnsi="Times New Roman" w:cs="Times New Roman"/>
          <w:sz w:val="24"/>
          <w:szCs w:val="24"/>
        </w:rPr>
        <w:t>.</w:t>
      </w:r>
    </w:p>
    <w:p w:rsidR="00D41BD8" w:rsidRPr="00D41BD8" w:rsidRDefault="00D41BD8" w:rsidP="00D41BD8">
      <w:pPr>
        <w:spacing w:before="60" w:beforeAutospacing="0" w:after="60" w:afterAutospacing="0" w:line="276" w:lineRule="auto"/>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La théorie néo-institutionnelle sociologique met en exergue les pressions du contexte socioéconomique subies par les groupes dans leur quête de légitimité. La théorie néo-institutionnelle sociologique constitue un axe d’explication des choix comptables au sein des organisations, dans lesquelles la maximisation des intérêts personnels des acteurs n’exerce pas une influence prépondérante sur les choix de pratiques comptables</w:t>
      </w:r>
      <w:r w:rsidRPr="00D41BD8">
        <w:rPr>
          <w:rFonts w:ascii="Times New Roman" w:eastAsia="Calibri" w:hAnsi="Times New Roman" w:cs="Times New Roman"/>
          <w:sz w:val="24"/>
          <w:szCs w:val="24"/>
          <w:vertAlign w:val="superscript"/>
        </w:rPr>
        <w:footnoteReference w:id="90"/>
      </w:r>
      <w:r w:rsidRPr="00D41BD8">
        <w:rPr>
          <w:rFonts w:ascii="Times New Roman" w:eastAsia="Calibri" w:hAnsi="Times New Roman" w:cs="Times New Roman"/>
          <w:sz w:val="24"/>
          <w:szCs w:val="24"/>
        </w:rPr>
        <w:t>.</w:t>
      </w:r>
    </w:p>
    <w:p w:rsidR="00D41BD8" w:rsidRPr="00D41BD8" w:rsidRDefault="00D41BD8" w:rsidP="00D41BD8">
      <w:pPr>
        <w:spacing w:before="0" w:beforeAutospacing="0" w:after="200" w:afterAutospacing="0" w:line="276" w:lineRule="auto"/>
        <w:jc w:val="both"/>
        <w:rPr>
          <w:rFonts w:ascii="Times New Roman" w:eastAsia="Calibri" w:hAnsi="Times New Roman" w:cs="Times New Roman"/>
          <w:b/>
          <w:sz w:val="24"/>
          <w:szCs w:val="28"/>
        </w:rPr>
      </w:pPr>
      <w:r w:rsidRPr="00D41BD8">
        <w:rPr>
          <w:rFonts w:ascii="Times New Roman" w:eastAsia="Calibri" w:hAnsi="Times New Roman" w:cs="Times New Roman"/>
          <w:b/>
          <w:sz w:val="24"/>
          <w:szCs w:val="28"/>
        </w:rPr>
        <w:t>3.2. Les études menées sur la transition aux normes comptables internationales</w:t>
      </w:r>
    </w:p>
    <w:p w:rsidR="00D41BD8" w:rsidRPr="00D41BD8" w:rsidRDefault="00D41BD8" w:rsidP="00D41BD8">
      <w:pPr>
        <w:spacing w:before="160" w:beforeAutospacing="0" w:after="160" w:afterAutospacing="0" w:line="276" w:lineRule="auto"/>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 xml:space="preserve">La première application des IAS/IFRS particulièrement en Europe a fait l’objet de plusieurs études. La recherche dans la revue de la littérature comptable nous a permis de distinguer entre deux thèmes importants concernant les études portant sur l’impact d’application des normes internationales et qui ont un lien avec l’objet du présent mémoire, à savoir : l’impact de la transition aux IAS/IFRS sur les entreprises et l’incidence de cette transition sur les marchés financiers et la qualité de l’information financière. </w:t>
      </w:r>
    </w:p>
    <w:p w:rsidR="00D41BD8" w:rsidRPr="00D41BD8" w:rsidRDefault="00D41BD8" w:rsidP="00D41BD8">
      <w:pPr>
        <w:spacing w:before="160" w:beforeAutospacing="0" w:after="160" w:afterAutospacing="0" w:line="276" w:lineRule="auto"/>
        <w:jc w:val="both"/>
        <w:rPr>
          <w:rFonts w:ascii="Times New Roman" w:eastAsia="Calibri" w:hAnsi="Times New Roman" w:cs="Times New Roman"/>
          <w:b/>
          <w:sz w:val="24"/>
          <w:szCs w:val="24"/>
        </w:rPr>
      </w:pPr>
      <w:r w:rsidRPr="00D41BD8">
        <w:rPr>
          <w:rFonts w:ascii="Times New Roman" w:eastAsia="Calibri" w:hAnsi="Times New Roman" w:cs="Times New Roman"/>
          <w:b/>
          <w:sz w:val="24"/>
          <w:szCs w:val="24"/>
        </w:rPr>
        <w:lastRenderedPageBreak/>
        <w:t>3.2.1. Incidences d’application des normes internationales sur les capitaux propres et résultats des entreprises</w:t>
      </w:r>
    </w:p>
    <w:p w:rsidR="00D41BD8" w:rsidRPr="00D41BD8" w:rsidRDefault="00D41BD8" w:rsidP="00D41BD8">
      <w:pPr>
        <w:spacing w:before="160" w:beforeAutospacing="0" w:after="160" w:afterAutospacing="0" w:line="276" w:lineRule="auto"/>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Plusieurs</w:t>
      </w:r>
      <w:r w:rsidRPr="00D41BD8">
        <w:rPr>
          <w:rFonts w:ascii="Times New Roman" w:eastAsia="Calibri" w:hAnsi="Times New Roman" w:cs="Times New Roman"/>
          <w:b/>
          <w:sz w:val="24"/>
          <w:szCs w:val="24"/>
        </w:rPr>
        <w:t xml:space="preserve"> </w:t>
      </w:r>
      <w:r w:rsidRPr="00D41BD8">
        <w:rPr>
          <w:rFonts w:ascii="Times New Roman" w:eastAsia="Calibri" w:hAnsi="Times New Roman" w:cs="Times New Roman"/>
          <w:sz w:val="24"/>
          <w:szCs w:val="24"/>
        </w:rPr>
        <w:t>recherches ont pris le soin d’étudier l’impact de la transition aux normes internationales sur les entreprises notamment celles cotées dans les marchés européens. C’est également l’objet de l’étude menée par deux chercheurs français, et qui portait sur l’incidence des normes IAS/IFRS sur les capitaux propres des entreprises françaises. Selon leur constat l’application des normes IAS/IFRS a une incidence relativement marginale sur les capitaux propres, mais il existe des différences assez significatives selon le secteur d’activité. Sachant qu’ils ont étudié  l’impact de la transition sur trois secteurs d’activité différents (Industrie de base, Technologies de l’information et Immobilier)</w:t>
      </w:r>
      <w:r w:rsidRPr="00D41BD8">
        <w:rPr>
          <w:rFonts w:ascii="Times New Roman" w:eastAsia="Calibri" w:hAnsi="Times New Roman" w:cs="Times New Roman"/>
          <w:sz w:val="24"/>
          <w:szCs w:val="24"/>
          <w:vertAlign w:val="superscript"/>
        </w:rPr>
        <w:footnoteReference w:id="91"/>
      </w:r>
      <w:r w:rsidRPr="00D41BD8">
        <w:rPr>
          <w:rFonts w:ascii="Times New Roman" w:eastAsia="Calibri" w:hAnsi="Times New Roman" w:cs="Times New Roman"/>
          <w:sz w:val="24"/>
          <w:szCs w:val="24"/>
        </w:rPr>
        <w:t xml:space="preserve">. En outre, leurs résultats montrent également que le résultat de l’exercice apparaît nettement plus sensible au changement de normes comptables que les capitaux propres. En effet, pour 25 entreprises sur 37 (constituant leur échantillon), la variation du résultat excède - 10 % (9 entreprises) ou + 10 % (16 entreprises), sachant que dans 26 cas sur 37, la variation du résultat est positive. Donc selon ce constat, le passage aux normes IAS/IFRS permet d’augmenter globalement le résultat des entreprises. </w:t>
      </w:r>
    </w:p>
    <w:p w:rsidR="00D41BD8" w:rsidRPr="00D41BD8" w:rsidRDefault="00D41BD8" w:rsidP="00D41BD8">
      <w:pPr>
        <w:spacing w:before="160" w:beforeAutospacing="0" w:after="160" w:afterAutospacing="0" w:line="276" w:lineRule="auto"/>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 xml:space="preserve">C’est pratiquement le même constat </w:t>
      </w:r>
      <w:proofErr w:type="spellStart"/>
      <w:r w:rsidRPr="00D41BD8">
        <w:rPr>
          <w:rFonts w:ascii="Times New Roman" w:eastAsia="Calibri" w:hAnsi="Times New Roman" w:cs="Times New Roman"/>
          <w:sz w:val="24"/>
          <w:szCs w:val="24"/>
        </w:rPr>
        <w:t>au quel</w:t>
      </w:r>
      <w:proofErr w:type="spellEnd"/>
      <w:r w:rsidRPr="00D41BD8">
        <w:rPr>
          <w:rFonts w:ascii="Times New Roman" w:eastAsia="Calibri" w:hAnsi="Times New Roman" w:cs="Times New Roman"/>
          <w:sz w:val="24"/>
          <w:szCs w:val="24"/>
        </w:rPr>
        <w:t xml:space="preserve"> a abouti l’étude menée par deux professeurs chinois, et qui consistait à estimer l’impact d’application des normes convergents aux normes de l’IASB pour les entreprises chinoises. En effet, ils considèrent que l’application des nouvelles normes chinoises, n’a pas un impact considérable sur l’information financière produite par les entreprises chinoises. En outre, ils expliquent ce résultat par l’utilisation limité des méthodes d’évaluation à la juste valeur ou valeur de marché</w:t>
      </w:r>
      <w:r w:rsidRPr="00D41BD8">
        <w:rPr>
          <w:rFonts w:ascii="Times New Roman" w:eastAsia="Calibri" w:hAnsi="Times New Roman" w:cs="Times New Roman"/>
          <w:sz w:val="24"/>
          <w:szCs w:val="24"/>
          <w:vertAlign w:val="superscript"/>
        </w:rPr>
        <w:footnoteReference w:id="92"/>
      </w:r>
      <w:r w:rsidRPr="00D41BD8">
        <w:rPr>
          <w:rFonts w:ascii="Times New Roman" w:eastAsia="Calibri" w:hAnsi="Times New Roman" w:cs="Times New Roman"/>
          <w:sz w:val="24"/>
          <w:szCs w:val="24"/>
        </w:rPr>
        <w:t>.</w:t>
      </w:r>
    </w:p>
    <w:p w:rsidR="00D41BD8" w:rsidRPr="00D41BD8" w:rsidRDefault="00D41BD8" w:rsidP="00D41BD8">
      <w:pPr>
        <w:spacing w:before="160" w:beforeAutospacing="0" w:after="160" w:afterAutospacing="0" w:line="276" w:lineRule="auto"/>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Une autre étude plus élargie effectuée sur les Groupes du SBF 120</w:t>
      </w:r>
      <w:r w:rsidRPr="00D41BD8">
        <w:rPr>
          <w:rFonts w:ascii="Times New Roman" w:eastAsia="Calibri" w:hAnsi="Times New Roman" w:cs="Times New Roman"/>
          <w:sz w:val="24"/>
          <w:szCs w:val="24"/>
          <w:vertAlign w:val="superscript"/>
        </w:rPr>
        <w:footnoteReference w:id="93"/>
      </w:r>
      <w:r w:rsidRPr="00D41BD8">
        <w:rPr>
          <w:rFonts w:ascii="Times New Roman" w:eastAsia="Calibri" w:hAnsi="Times New Roman" w:cs="Times New Roman"/>
          <w:sz w:val="24"/>
          <w:szCs w:val="24"/>
        </w:rPr>
        <w:t xml:space="preserve">, dans l’objectif consiste à analyser les choix comptables de ces groupes intervenus lors de la transition aux normes comptables IAS/IFRS, qui a été rendu obligatoire à partir du 01/01/1005 pour les groupes cotés sur des marchés de capitaux européens. Les auteurs de l’article se sont basés sur les fondements de la théorie positive de la comptabilité afin de vérifier l’hypothèse que les groupes côtés ont effectués leurs choix sur la base du principe de la prudence – et ce par le biais d’une régression logistique. Au courant de leur analyse, ils ont présenté les impacts de la transition aux normes IFRS sur les Capitaux Propres (CP) et le Résultat (R). Après avoir comparé les CP et les résultats publiés selon les normes françaises avec ceux publiés en normes internationales (ces données concernent </w:t>
      </w:r>
      <w:proofErr w:type="gramStart"/>
      <w:r w:rsidRPr="00D41BD8">
        <w:rPr>
          <w:rFonts w:ascii="Times New Roman" w:eastAsia="Calibri" w:hAnsi="Times New Roman" w:cs="Times New Roman"/>
          <w:sz w:val="24"/>
          <w:szCs w:val="24"/>
        </w:rPr>
        <w:t>l’exercice</w:t>
      </w:r>
      <w:proofErr w:type="gramEnd"/>
      <w:r w:rsidRPr="00D41BD8">
        <w:rPr>
          <w:rFonts w:ascii="Times New Roman" w:eastAsia="Calibri" w:hAnsi="Times New Roman" w:cs="Times New Roman"/>
          <w:sz w:val="24"/>
          <w:szCs w:val="24"/>
        </w:rPr>
        <w:t xml:space="preserve"> de retraitement 2004), il apparait un impact moyen positif de la transition en </w:t>
      </w:r>
      <w:r w:rsidRPr="00D41BD8">
        <w:rPr>
          <w:rFonts w:ascii="Times New Roman" w:eastAsia="Calibri" w:hAnsi="Times New Roman" w:cs="Times New Roman"/>
          <w:sz w:val="24"/>
          <w:szCs w:val="24"/>
        </w:rPr>
        <w:lastRenderedPageBreak/>
        <w:t>termes de montants absolus aussi bien sur les capitaux propres que sur le résultat. Cependant, la variation moyenne relative est négative, les auteurs expliquent  cela par des valeurs extrêmes réalisées par quelques Groupe. Et estime que l’impact est globalement favorable en termes de valorisations des capitaux propres. En outre, nous constatons que l’impact sur les résultats est plus important</w:t>
      </w:r>
      <w:r w:rsidRPr="00D41BD8">
        <w:rPr>
          <w:rFonts w:ascii="Times New Roman" w:eastAsia="Calibri" w:hAnsi="Times New Roman" w:cs="Times New Roman"/>
          <w:sz w:val="24"/>
          <w:szCs w:val="24"/>
          <w:vertAlign w:val="superscript"/>
        </w:rPr>
        <w:footnoteReference w:id="94"/>
      </w:r>
      <w:r w:rsidRPr="00D41BD8">
        <w:rPr>
          <w:rFonts w:ascii="Times New Roman" w:eastAsia="Calibri" w:hAnsi="Times New Roman" w:cs="Times New Roman"/>
          <w:sz w:val="24"/>
          <w:szCs w:val="24"/>
        </w:rPr>
        <w:t>.</w:t>
      </w:r>
    </w:p>
    <w:p w:rsidR="00D41BD8" w:rsidRPr="00D41BD8" w:rsidRDefault="00D41BD8" w:rsidP="00D41BD8">
      <w:pPr>
        <w:spacing w:before="160" w:beforeAutospacing="0" w:after="160" w:afterAutospacing="0" w:line="276" w:lineRule="auto"/>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 xml:space="preserve">Au même titre, dans leur article « IFRS1 : "Il faut tout changer pour que rien ne change" », </w:t>
      </w:r>
      <w:r w:rsidRPr="00D41BD8">
        <w:rPr>
          <w:rFonts w:ascii="Times New Roman" w:eastAsia="Calibri" w:hAnsi="Times New Roman" w:cs="Times New Roman"/>
          <w:i/>
          <w:sz w:val="24"/>
          <w:szCs w:val="24"/>
        </w:rPr>
        <w:t xml:space="preserve">A. </w:t>
      </w:r>
      <w:proofErr w:type="spellStart"/>
      <w:r w:rsidRPr="00D41BD8">
        <w:rPr>
          <w:rFonts w:ascii="Times New Roman" w:eastAsia="Calibri" w:hAnsi="Times New Roman" w:cs="Times New Roman"/>
          <w:i/>
          <w:sz w:val="24"/>
          <w:szCs w:val="24"/>
        </w:rPr>
        <w:t>Cazavan-Jeny</w:t>
      </w:r>
      <w:proofErr w:type="spellEnd"/>
      <w:r w:rsidRPr="00D41BD8">
        <w:rPr>
          <w:rFonts w:ascii="Times New Roman" w:eastAsia="Calibri" w:hAnsi="Times New Roman" w:cs="Times New Roman"/>
          <w:i/>
          <w:sz w:val="24"/>
          <w:szCs w:val="24"/>
        </w:rPr>
        <w:t xml:space="preserve"> et T. </w:t>
      </w:r>
      <w:proofErr w:type="spellStart"/>
      <w:r w:rsidRPr="00D41BD8">
        <w:rPr>
          <w:rFonts w:ascii="Times New Roman" w:eastAsia="Calibri" w:hAnsi="Times New Roman" w:cs="Times New Roman"/>
          <w:i/>
          <w:sz w:val="24"/>
          <w:szCs w:val="24"/>
        </w:rPr>
        <w:t>Jeanjean</w:t>
      </w:r>
      <w:proofErr w:type="spellEnd"/>
      <w:r w:rsidRPr="00D41BD8">
        <w:rPr>
          <w:rFonts w:ascii="Times New Roman" w:eastAsia="Calibri" w:hAnsi="Times New Roman" w:cs="Times New Roman"/>
          <w:i/>
          <w:sz w:val="24"/>
          <w:szCs w:val="24"/>
          <w:vertAlign w:val="superscript"/>
        </w:rPr>
        <w:footnoteReference w:id="95"/>
      </w:r>
      <w:r w:rsidRPr="00D41BD8">
        <w:rPr>
          <w:rFonts w:ascii="Times New Roman" w:eastAsia="Calibri" w:hAnsi="Times New Roman" w:cs="Times New Roman"/>
          <w:i/>
          <w:sz w:val="24"/>
          <w:szCs w:val="24"/>
        </w:rPr>
        <w:t xml:space="preserve"> </w:t>
      </w:r>
      <w:r w:rsidRPr="00D41BD8">
        <w:rPr>
          <w:rFonts w:ascii="Times New Roman" w:eastAsia="Calibri" w:hAnsi="Times New Roman" w:cs="Times New Roman"/>
          <w:sz w:val="24"/>
          <w:szCs w:val="24"/>
        </w:rPr>
        <w:t>ont étudié les choix comptables des sociétés non financières du SBF 120 et leur impact sur l’établissement de leurs états financiers comparatifs. L’étude empirique, qu’ils ont effectuée, a montré que l’impact du basculement vers les IFRS est relativement limité en termes d’agrégats financiers. Dès lors, ils expliquent que cette apparente stabilité résulte d’une politique comptable des sociétés, qui est liée à l’exercice des options d’IFRS 1, en se basant sur l’hypothèse que cette norme permet aux entreprises de compenser l’impact des retraitements obligatoires. Leurs résultats montrent également que les entreprises les plus endettées du SBF 120 ont profité du passage aux IFRS pour améliorer le montant de leurs capitaux propres et, par là même, leur ratio d’endettement.</w:t>
      </w:r>
    </w:p>
    <w:p w:rsidR="00D41BD8" w:rsidRPr="00D41BD8" w:rsidRDefault="00D41BD8" w:rsidP="00D41BD8">
      <w:pPr>
        <w:spacing w:before="160" w:beforeAutospacing="0" w:after="160" w:afterAutospacing="0" w:line="276" w:lineRule="auto"/>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 xml:space="preserve"> Dans le même contexte, une étude menée sur les sociétés italiennes cotées a démontré que l’impact lié à la transition  constaté sur les résultats est plus important que celui enregistré par rapport aux capitaux propres</w:t>
      </w:r>
      <w:r w:rsidRPr="00D41BD8">
        <w:rPr>
          <w:rFonts w:ascii="Times New Roman" w:eastAsia="Calibri" w:hAnsi="Times New Roman" w:cs="Times New Roman"/>
          <w:sz w:val="24"/>
          <w:szCs w:val="24"/>
          <w:vertAlign w:val="superscript"/>
        </w:rPr>
        <w:footnoteReference w:id="96"/>
      </w:r>
      <w:r w:rsidRPr="00D41BD8">
        <w:rPr>
          <w:rFonts w:ascii="Times New Roman" w:eastAsia="Calibri" w:hAnsi="Times New Roman" w:cs="Times New Roman"/>
          <w:sz w:val="24"/>
          <w:szCs w:val="24"/>
        </w:rPr>
        <w:t>.</w:t>
      </w:r>
    </w:p>
    <w:p w:rsidR="00D41BD8" w:rsidRPr="00D41BD8" w:rsidRDefault="00D41BD8" w:rsidP="00D41BD8">
      <w:pPr>
        <w:spacing w:before="160" w:beforeAutospacing="0" w:after="160" w:afterAutospacing="0" w:line="276" w:lineRule="auto"/>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 xml:space="preserve">En général, nous pouvons conclure à travers ces diverses études que l’impact sur les capitaux propres est relativement faible, en particulier dans les pays où les marchés </w:t>
      </w:r>
      <w:proofErr w:type="spellStart"/>
      <w:r w:rsidRPr="00D41BD8">
        <w:rPr>
          <w:rFonts w:ascii="Times New Roman" w:eastAsia="Calibri" w:hAnsi="Times New Roman" w:cs="Times New Roman"/>
          <w:sz w:val="24"/>
          <w:szCs w:val="24"/>
        </w:rPr>
        <w:t>son</w:t>
      </w:r>
      <w:proofErr w:type="spellEnd"/>
      <w:r w:rsidRPr="00D41BD8">
        <w:rPr>
          <w:rFonts w:ascii="Times New Roman" w:eastAsia="Calibri" w:hAnsi="Times New Roman" w:cs="Times New Roman"/>
          <w:sz w:val="24"/>
          <w:szCs w:val="24"/>
        </w:rPr>
        <w:t xml:space="preserve"> moins développés ou moins efficients. En revanche, l’impact sur le résultat est considérable, ce qui peut être expliqué par un comportement opportunistes des entreprises, qui cherchent à profiter du passage pour améliorer leurs résultats et ainsi leur rentabilité. </w:t>
      </w:r>
    </w:p>
    <w:p w:rsidR="00D41BD8" w:rsidRPr="00D41BD8" w:rsidRDefault="00D41BD8" w:rsidP="00D41BD8">
      <w:pPr>
        <w:spacing w:before="160" w:beforeAutospacing="0" w:after="160" w:afterAutospacing="0" w:line="276" w:lineRule="auto"/>
        <w:jc w:val="both"/>
        <w:rPr>
          <w:rFonts w:ascii="Times New Roman" w:eastAsia="Calibri" w:hAnsi="Times New Roman" w:cs="Times New Roman"/>
          <w:b/>
          <w:sz w:val="24"/>
          <w:szCs w:val="24"/>
        </w:rPr>
      </w:pPr>
      <w:r w:rsidRPr="00D41BD8">
        <w:rPr>
          <w:rFonts w:ascii="Times New Roman" w:eastAsia="Calibri" w:hAnsi="Times New Roman" w:cs="Times New Roman"/>
          <w:b/>
          <w:sz w:val="24"/>
          <w:szCs w:val="24"/>
        </w:rPr>
        <w:t>3.2.2. Incidences d’application des normes internationales sur les marchés financiers et  la qualité de l’information financière</w:t>
      </w:r>
    </w:p>
    <w:p w:rsidR="00D41BD8" w:rsidRPr="00D41BD8" w:rsidRDefault="00D41BD8" w:rsidP="00D41BD8">
      <w:pPr>
        <w:spacing w:before="160" w:beforeAutospacing="0" w:after="160" w:afterAutospacing="0" w:line="276" w:lineRule="auto"/>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D’autres recherches se sont intéressées par la qualité de la communication financière dans le cadre des IAS/IFRS et son impact sur les marchés financiers. Parmi ces recherches, nous pouvons citer celle menée par T. SAADI</w:t>
      </w:r>
      <w:r w:rsidRPr="00D41BD8">
        <w:rPr>
          <w:rFonts w:ascii="Times New Roman" w:eastAsia="Calibri" w:hAnsi="Times New Roman" w:cs="Times New Roman"/>
          <w:sz w:val="24"/>
          <w:szCs w:val="24"/>
          <w:vertAlign w:val="superscript"/>
        </w:rPr>
        <w:footnoteReference w:id="97"/>
      </w:r>
      <w:r w:rsidRPr="00D41BD8">
        <w:rPr>
          <w:rFonts w:ascii="Times New Roman" w:eastAsia="Calibri" w:hAnsi="Times New Roman" w:cs="Times New Roman"/>
          <w:sz w:val="24"/>
          <w:szCs w:val="24"/>
        </w:rPr>
        <w:t xml:space="preserve">, son travail avait pour </w:t>
      </w:r>
      <w:r w:rsidRPr="00D41BD8">
        <w:rPr>
          <w:rFonts w:ascii="Times New Roman" w:eastAsia="Calibri" w:hAnsi="Times New Roman" w:cs="Times New Roman"/>
          <w:sz w:val="24"/>
          <w:szCs w:val="24"/>
        </w:rPr>
        <w:lastRenderedPageBreak/>
        <w:t>objectif d’évaluer la pertinence du résultat net et des capitaux propres, établis selon les nouvelles normes IAS/IFRS, comme indicateurs clés des états financiers pour la prise de décision d’investissement au niveau des marchés financiers. Autrement dit, l’auteur cherchait à vérifier si l'adoption des normes IAS/IFRS améliore la qualité du résultat net et des capitaux propres publiés pour répondre aux besoins en informations des investisseurs boursiers.</w:t>
      </w:r>
    </w:p>
    <w:p w:rsidR="00D41BD8" w:rsidRPr="00D41BD8" w:rsidRDefault="00D41BD8" w:rsidP="00D41BD8">
      <w:pPr>
        <w:spacing w:before="160" w:beforeAutospacing="0" w:after="160" w:afterAutospacing="0" w:line="276" w:lineRule="auto"/>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Son étude est effectuée à partir d’un échantillon d’entreprises françaises cotées et observées sur une période pré-IFRS (2000-2003) et post-IFRS (2005-2007), où l’utilité informationnelle, au sens du value relevance, du résultat net et des capitaux propres était étudiée. Les résultats de l’étude montrent que par rapport aux normes françaises, l’adoption des normes IFRS améliore nettement les contenus informationnels du résultat net et des capitaux propres pour les investisseurs.</w:t>
      </w:r>
    </w:p>
    <w:p w:rsidR="00D41BD8" w:rsidRPr="00D41BD8" w:rsidRDefault="00D41BD8" w:rsidP="00D41BD8">
      <w:pPr>
        <w:spacing w:before="160" w:beforeAutospacing="0" w:after="160" w:afterAutospacing="0" w:line="276" w:lineRule="auto"/>
        <w:jc w:val="both"/>
        <w:rPr>
          <w:rFonts w:ascii="Times New Roman" w:eastAsia="Calibri" w:hAnsi="Times New Roman" w:cs="Times New Roman"/>
          <w:sz w:val="24"/>
          <w:szCs w:val="24"/>
        </w:rPr>
      </w:pPr>
      <w:r w:rsidRPr="00D41BD8">
        <w:rPr>
          <w:rFonts w:ascii="Times New Roman" w:eastAsia="Calibri" w:hAnsi="Times New Roman" w:cs="Times New Roman"/>
          <w:sz w:val="24"/>
          <w:szCs w:val="24"/>
        </w:rPr>
        <w:t>De leur part, E. DEMOLLI, D.DUFOUR</w:t>
      </w:r>
      <w:r w:rsidRPr="00D41BD8">
        <w:rPr>
          <w:rFonts w:ascii="Times New Roman" w:eastAsia="Calibri" w:hAnsi="Times New Roman" w:cs="Times New Roman"/>
          <w:i/>
          <w:sz w:val="24"/>
          <w:szCs w:val="24"/>
          <w:vertAlign w:val="superscript"/>
        </w:rPr>
        <w:footnoteReference w:id="98"/>
      </w:r>
      <w:r w:rsidRPr="00D41BD8">
        <w:rPr>
          <w:rFonts w:ascii="Times New Roman" w:eastAsia="Calibri" w:hAnsi="Times New Roman" w:cs="Times New Roman"/>
          <w:sz w:val="24"/>
          <w:szCs w:val="24"/>
        </w:rPr>
        <w:t xml:space="preserve"> se sont intéressés à la communication financière des sociétés cotées lors de la transition au référentiel comptable international. L’objet de leur présentation était d’étudier le contenu de l’information quantitative afférente aux impacts de la transition sur les comptes annuels d’un échantillon d'entreprises cotées sur le marché de Paris d’Euronext au sein du compartiment </w:t>
      </w:r>
      <w:proofErr w:type="spellStart"/>
      <w:r w:rsidRPr="00D41BD8">
        <w:rPr>
          <w:rFonts w:ascii="Times New Roman" w:eastAsia="Calibri" w:hAnsi="Times New Roman" w:cs="Times New Roman"/>
          <w:sz w:val="24"/>
          <w:szCs w:val="24"/>
        </w:rPr>
        <w:t>Eurolist</w:t>
      </w:r>
      <w:proofErr w:type="spellEnd"/>
      <w:r w:rsidRPr="00D41BD8">
        <w:rPr>
          <w:rFonts w:ascii="Times New Roman" w:eastAsia="Calibri" w:hAnsi="Times New Roman" w:cs="Times New Roman"/>
          <w:sz w:val="24"/>
          <w:szCs w:val="24"/>
        </w:rPr>
        <w:t xml:space="preserve"> B. A cette fin, ils ont élaboré un indice de divulgation ayant pour objet de décrire l’information quantitative publiée relative à la transition. En se référant au cadre méthodologique de la théorie de l’agence et l’asymétrie d’information, ils ont conclu qu’il existe un effet positif de la taille et du levier financier sur la divulgation contre un effet négatif de la propriété des actionnaires majoritaires sur cette dernière. Il est à noter que leurs résultats ne peuvent pas être généralisés vu que le pouvoir explicatif global des régressions est faible. </w:t>
      </w:r>
    </w:p>
    <w:p w:rsidR="00D41BD8" w:rsidRPr="00D41BD8" w:rsidRDefault="00D41BD8" w:rsidP="00D41BD8">
      <w:pPr>
        <w:spacing w:before="0" w:beforeAutospacing="0" w:after="200" w:afterAutospacing="0" w:line="276" w:lineRule="auto"/>
        <w:jc w:val="both"/>
        <w:rPr>
          <w:rFonts w:ascii="Times New Roman" w:eastAsia="Calibri" w:hAnsi="Times New Roman" w:cs="Times New Roman"/>
          <w:sz w:val="24"/>
          <w:szCs w:val="24"/>
        </w:rPr>
      </w:pPr>
    </w:p>
    <w:p w:rsidR="00D41BD8" w:rsidRPr="00D41BD8" w:rsidRDefault="00D41BD8" w:rsidP="00D41BD8">
      <w:pPr>
        <w:spacing w:before="160" w:beforeAutospacing="0" w:after="160" w:afterAutospacing="0" w:line="276" w:lineRule="auto"/>
        <w:jc w:val="left"/>
        <w:rPr>
          <w:rFonts w:ascii="Times New Roman" w:eastAsia="Calibri" w:hAnsi="Times New Roman" w:cs="Times New Roman"/>
          <w:sz w:val="24"/>
          <w:szCs w:val="24"/>
        </w:rPr>
      </w:pPr>
    </w:p>
    <w:p w:rsidR="00D41BD8" w:rsidRPr="00D41BD8" w:rsidRDefault="00D41BD8" w:rsidP="00D41BD8">
      <w:pPr>
        <w:spacing w:before="160" w:beforeAutospacing="0" w:after="160" w:afterAutospacing="0" w:line="276" w:lineRule="auto"/>
        <w:jc w:val="left"/>
        <w:rPr>
          <w:rFonts w:ascii="Times New Roman" w:eastAsia="Calibri" w:hAnsi="Times New Roman" w:cs="Times New Roman"/>
          <w:sz w:val="24"/>
          <w:szCs w:val="24"/>
        </w:rPr>
      </w:pPr>
    </w:p>
    <w:p w:rsidR="00D41BD8" w:rsidRPr="00D41BD8" w:rsidRDefault="00D41BD8" w:rsidP="00D41BD8">
      <w:pPr>
        <w:spacing w:before="160" w:beforeAutospacing="0" w:after="160" w:afterAutospacing="0" w:line="276" w:lineRule="auto"/>
        <w:jc w:val="left"/>
        <w:rPr>
          <w:rFonts w:ascii="Times New Roman" w:eastAsia="Calibri" w:hAnsi="Times New Roman" w:cs="Times New Roman"/>
          <w:sz w:val="24"/>
          <w:szCs w:val="24"/>
        </w:rPr>
      </w:pPr>
    </w:p>
    <w:p w:rsidR="00D41BD8" w:rsidRPr="00D41BD8" w:rsidRDefault="00D41BD8" w:rsidP="00D41BD8">
      <w:pPr>
        <w:spacing w:before="160" w:beforeAutospacing="0" w:after="160" w:afterAutospacing="0" w:line="276" w:lineRule="auto"/>
        <w:jc w:val="left"/>
        <w:rPr>
          <w:rFonts w:ascii="Times New Roman" w:eastAsia="Calibri" w:hAnsi="Times New Roman" w:cs="Times New Roman"/>
          <w:sz w:val="24"/>
          <w:szCs w:val="24"/>
        </w:rPr>
      </w:pPr>
    </w:p>
    <w:p w:rsidR="00D41BD8" w:rsidRPr="00D41BD8" w:rsidRDefault="00D41BD8" w:rsidP="00D41BD8">
      <w:pPr>
        <w:spacing w:before="160" w:beforeAutospacing="0" w:after="160" w:afterAutospacing="0" w:line="276" w:lineRule="auto"/>
        <w:jc w:val="left"/>
        <w:rPr>
          <w:rFonts w:ascii="Times New Roman" w:eastAsia="Calibri" w:hAnsi="Times New Roman" w:cs="Times New Roman"/>
          <w:sz w:val="24"/>
          <w:szCs w:val="24"/>
        </w:rPr>
      </w:pPr>
    </w:p>
    <w:p w:rsidR="00D41BD8" w:rsidRPr="00D41BD8" w:rsidRDefault="00D41BD8" w:rsidP="00D41BD8">
      <w:pPr>
        <w:spacing w:before="160" w:beforeAutospacing="0" w:after="160" w:afterAutospacing="0" w:line="276" w:lineRule="auto"/>
        <w:jc w:val="left"/>
        <w:rPr>
          <w:rFonts w:ascii="Times New Roman" w:eastAsia="Calibri" w:hAnsi="Times New Roman" w:cs="Times New Roman"/>
          <w:sz w:val="24"/>
          <w:szCs w:val="24"/>
        </w:rPr>
      </w:pPr>
    </w:p>
    <w:p w:rsidR="00D41BD8" w:rsidRPr="00D41BD8" w:rsidRDefault="00D41BD8" w:rsidP="00D41BD8">
      <w:pPr>
        <w:spacing w:before="160" w:beforeAutospacing="0" w:after="160" w:afterAutospacing="0" w:line="276" w:lineRule="auto"/>
        <w:jc w:val="left"/>
        <w:rPr>
          <w:rFonts w:ascii="Times New Roman" w:eastAsia="Calibri" w:hAnsi="Times New Roman" w:cs="Times New Roman"/>
          <w:sz w:val="24"/>
          <w:szCs w:val="24"/>
        </w:rPr>
      </w:pPr>
    </w:p>
    <w:p w:rsidR="00D41BD8" w:rsidRPr="00D41BD8" w:rsidRDefault="00D41BD8" w:rsidP="00D41BD8">
      <w:pPr>
        <w:spacing w:before="160" w:beforeAutospacing="0" w:after="160" w:afterAutospacing="0" w:line="276" w:lineRule="auto"/>
        <w:jc w:val="left"/>
        <w:rPr>
          <w:rFonts w:ascii="Times New Roman" w:eastAsia="Calibri" w:hAnsi="Times New Roman" w:cs="Times New Roman"/>
          <w:sz w:val="24"/>
          <w:szCs w:val="24"/>
        </w:rPr>
      </w:pPr>
    </w:p>
    <w:p w:rsidR="00D41BD8" w:rsidRPr="00D41BD8" w:rsidRDefault="00D41BD8" w:rsidP="00D41BD8">
      <w:pPr>
        <w:spacing w:before="160" w:beforeAutospacing="0" w:after="160" w:afterAutospacing="0" w:line="276" w:lineRule="auto"/>
        <w:jc w:val="left"/>
        <w:rPr>
          <w:rFonts w:ascii="Times New Roman" w:eastAsia="Calibri" w:hAnsi="Times New Roman" w:cs="Times New Roman"/>
          <w:sz w:val="24"/>
          <w:szCs w:val="24"/>
        </w:rPr>
      </w:pPr>
    </w:p>
    <w:p w:rsidR="00D41BD8" w:rsidRPr="00D41BD8" w:rsidRDefault="00D41BD8" w:rsidP="00D41BD8">
      <w:pPr>
        <w:spacing w:before="160" w:beforeAutospacing="0" w:after="160" w:afterAutospacing="0" w:line="276" w:lineRule="auto"/>
        <w:jc w:val="left"/>
        <w:rPr>
          <w:rFonts w:ascii="Times New Roman" w:eastAsia="Calibri" w:hAnsi="Times New Roman" w:cs="Times New Roman"/>
          <w:sz w:val="24"/>
          <w:szCs w:val="24"/>
        </w:rPr>
      </w:pPr>
    </w:p>
    <w:p w:rsidR="00D41BD8" w:rsidRPr="00D41BD8" w:rsidRDefault="00D41BD8" w:rsidP="00D41BD8">
      <w:pPr>
        <w:spacing w:before="160" w:beforeAutospacing="0" w:after="160" w:afterAutospacing="0" w:line="276" w:lineRule="auto"/>
        <w:jc w:val="left"/>
        <w:rPr>
          <w:rFonts w:ascii="Times New Roman" w:eastAsia="Calibri" w:hAnsi="Times New Roman" w:cs="Times New Roman"/>
          <w:sz w:val="24"/>
          <w:szCs w:val="24"/>
        </w:rPr>
      </w:pPr>
    </w:p>
    <w:p w:rsidR="00D41BD8" w:rsidRPr="00D41BD8" w:rsidRDefault="00D41BD8" w:rsidP="00D41BD8">
      <w:pPr>
        <w:spacing w:before="160" w:beforeAutospacing="0" w:after="160" w:afterAutospacing="0" w:line="276" w:lineRule="auto"/>
        <w:jc w:val="left"/>
        <w:rPr>
          <w:rFonts w:ascii="Times New Roman" w:eastAsia="Calibri" w:hAnsi="Times New Roman" w:cs="Times New Roman"/>
          <w:sz w:val="24"/>
          <w:szCs w:val="24"/>
        </w:rPr>
      </w:pPr>
    </w:p>
    <w:p w:rsidR="00D41BD8" w:rsidRPr="00D41BD8" w:rsidRDefault="00D41BD8" w:rsidP="00D41BD8">
      <w:pPr>
        <w:spacing w:before="160" w:beforeAutospacing="0" w:after="160" w:afterAutospacing="0" w:line="276" w:lineRule="auto"/>
        <w:jc w:val="left"/>
        <w:rPr>
          <w:rFonts w:ascii="Times New Roman" w:eastAsia="Calibri" w:hAnsi="Times New Roman" w:cs="Times New Roman"/>
          <w:sz w:val="24"/>
          <w:szCs w:val="24"/>
        </w:rPr>
      </w:pPr>
    </w:p>
    <w:p w:rsidR="00D41BD8" w:rsidRDefault="00D41BD8" w:rsidP="00D41BD8">
      <w:pPr>
        <w:spacing w:before="160" w:beforeAutospacing="0" w:after="160" w:afterAutospacing="0" w:line="276" w:lineRule="auto"/>
        <w:jc w:val="left"/>
        <w:rPr>
          <w:rFonts w:ascii="Times New Roman" w:eastAsia="Calibri" w:hAnsi="Times New Roman" w:cs="Times New Roman"/>
          <w:sz w:val="24"/>
          <w:szCs w:val="24"/>
        </w:rPr>
      </w:pPr>
    </w:p>
    <w:p w:rsidR="00D41BD8" w:rsidRDefault="00D41BD8" w:rsidP="00D41BD8">
      <w:pPr>
        <w:spacing w:before="160" w:beforeAutospacing="0" w:after="160" w:afterAutospacing="0" w:line="276" w:lineRule="auto"/>
        <w:jc w:val="left"/>
        <w:rPr>
          <w:rFonts w:ascii="Times New Roman" w:eastAsia="Calibri" w:hAnsi="Times New Roman" w:cs="Times New Roman"/>
          <w:sz w:val="24"/>
          <w:szCs w:val="24"/>
        </w:rPr>
      </w:pPr>
    </w:p>
    <w:p w:rsidR="00D41BD8" w:rsidRDefault="00D41BD8" w:rsidP="00D41BD8">
      <w:pPr>
        <w:spacing w:before="160" w:beforeAutospacing="0" w:after="160" w:afterAutospacing="0" w:line="276" w:lineRule="auto"/>
        <w:jc w:val="left"/>
        <w:rPr>
          <w:rFonts w:ascii="Times New Roman" w:eastAsia="Calibri" w:hAnsi="Times New Roman" w:cs="Times New Roman"/>
          <w:sz w:val="24"/>
          <w:szCs w:val="24"/>
        </w:rPr>
      </w:pPr>
    </w:p>
    <w:p w:rsidR="00D41BD8" w:rsidRPr="00D41BD8" w:rsidRDefault="00D41BD8" w:rsidP="00D41BD8">
      <w:pPr>
        <w:spacing w:before="160" w:beforeAutospacing="0" w:after="160" w:afterAutospacing="0" w:line="276" w:lineRule="auto"/>
        <w:jc w:val="left"/>
        <w:rPr>
          <w:rFonts w:ascii="Times New Roman" w:eastAsia="Calibri" w:hAnsi="Times New Roman" w:cs="Times New Roman"/>
          <w:sz w:val="24"/>
          <w:szCs w:val="24"/>
        </w:rPr>
      </w:pPr>
    </w:p>
    <w:p w:rsidR="00D41BD8" w:rsidRPr="00D41BD8" w:rsidRDefault="00D41BD8" w:rsidP="00D41BD8">
      <w:pPr>
        <w:spacing w:before="160" w:beforeAutospacing="0" w:after="160" w:afterAutospacing="0" w:line="276" w:lineRule="auto"/>
        <w:jc w:val="left"/>
        <w:rPr>
          <w:rFonts w:ascii="Times New Roman" w:eastAsia="Calibri" w:hAnsi="Times New Roman" w:cs="Times New Roman"/>
          <w:sz w:val="24"/>
          <w:szCs w:val="24"/>
        </w:rPr>
      </w:pPr>
    </w:p>
    <w:p w:rsidR="00D41BD8" w:rsidRPr="00D41BD8" w:rsidRDefault="00D41BD8" w:rsidP="00D41BD8">
      <w:pPr>
        <w:spacing w:before="160" w:beforeAutospacing="0" w:after="160" w:afterAutospacing="0" w:line="276" w:lineRule="auto"/>
        <w:jc w:val="left"/>
        <w:rPr>
          <w:rFonts w:ascii="Times New Roman" w:eastAsia="Calibri" w:hAnsi="Times New Roman" w:cs="Times New Roman"/>
          <w:sz w:val="24"/>
          <w:szCs w:val="24"/>
        </w:rPr>
      </w:pPr>
    </w:p>
    <w:p w:rsidR="00D41BD8" w:rsidRPr="00D41BD8" w:rsidRDefault="00D41BD8" w:rsidP="00D41BD8">
      <w:pPr>
        <w:spacing w:before="160" w:beforeAutospacing="0" w:after="160" w:afterAutospacing="0" w:line="276" w:lineRule="auto"/>
        <w:jc w:val="left"/>
        <w:rPr>
          <w:rFonts w:ascii="Times New Roman" w:eastAsia="Calibri" w:hAnsi="Times New Roman" w:cs="Times New Roman"/>
          <w:b/>
          <w:sz w:val="26"/>
          <w:szCs w:val="26"/>
        </w:rPr>
      </w:pPr>
    </w:p>
    <w:p w:rsidR="00D41BD8" w:rsidRPr="00D41BD8" w:rsidRDefault="00D41BD8" w:rsidP="00D41BD8">
      <w:pPr>
        <w:spacing w:before="160" w:beforeAutospacing="0" w:after="160" w:afterAutospacing="0" w:line="276" w:lineRule="auto"/>
        <w:jc w:val="left"/>
        <w:rPr>
          <w:rFonts w:ascii="Times New Roman" w:eastAsia="Calibri" w:hAnsi="Times New Roman" w:cs="Times New Roman"/>
          <w:b/>
          <w:sz w:val="26"/>
          <w:szCs w:val="26"/>
        </w:rPr>
      </w:pPr>
      <w:r w:rsidRPr="00D41BD8">
        <w:rPr>
          <w:rFonts w:ascii="Times New Roman" w:eastAsia="Calibri" w:hAnsi="Times New Roman" w:cs="Times New Roman"/>
          <w:b/>
          <w:sz w:val="26"/>
          <w:szCs w:val="26"/>
        </w:rPr>
        <w:t>Conclusion du chapitre</w:t>
      </w:r>
    </w:p>
    <w:p w:rsidR="00D41BD8" w:rsidRPr="00D41BD8" w:rsidRDefault="00D41BD8" w:rsidP="00D41BD8">
      <w:pPr>
        <w:spacing w:before="240" w:beforeAutospacing="0" w:after="240" w:afterAutospacing="0" w:line="276" w:lineRule="auto"/>
        <w:jc w:val="both"/>
        <w:rPr>
          <w:rFonts w:ascii="Times New Roman" w:eastAsia="Calibri" w:hAnsi="Times New Roman" w:cs="Times New Roman"/>
          <w:sz w:val="26"/>
          <w:szCs w:val="26"/>
        </w:rPr>
      </w:pPr>
      <w:r w:rsidRPr="00D41BD8">
        <w:rPr>
          <w:rFonts w:ascii="Times New Roman" w:eastAsia="Calibri" w:hAnsi="Times New Roman" w:cs="Times New Roman"/>
          <w:sz w:val="26"/>
          <w:szCs w:val="26"/>
        </w:rPr>
        <w:t xml:space="preserve">La recherche scientifique en comptabilité, particulièrement celle liée au courant positif de la comptabilité, s’est basée sur le comportement des différents agents économiques pour expliquer les conséquences de la comptabilité au niveau des entités et sur les marchés. En revanche, il est considéré que malgré l’existence des normes comptables émanant de sources de réglementation nationale et internationale, les dirigeants des entreprises disposent d’une certaine latitude dans le choix des méthodes de comptabilisation. Cette latitude provient d’une part, des options comptables existant malgré les efforts d’harmonisation internationale, d’autre part, des marges de manœuvre laissées aux dirigeants au sein même d’un cadre conceptuel. </w:t>
      </w:r>
    </w:p>
    <w:p w:rsidR="00D41BD8" w:rsidRPr="00D41BD8" w:rsidRDefault="00D41BD8" w:rsidP="00D41BD8">
      <w:pPr>
        <w:spacing w:before="240" w:beforeAutospacing="0" w:after="240" w:afterAutospacing="0" w:line="276" w:lineRule="auto"/>
        <w:jc w:val="both"/>
        <w:rPr>
          <w:rFonts w:ascii="Times New Roman" w:eastAsia="Calibri" w:hAnsi="Times New Roman" w:cs="Times New Roman"/>
          <w:sz w:val="26"/>
          <w:szCs w:val="26"/>
        </w:rPr>
      </w:pPr>
      <w:r w:rsidRPr="00D41BD8">
        <w:rPr>
          <w:rFonts w:ascii="Times New Roman" w:eastAsia="Calibri" w:hAnsi="Times New Roman" w:cs="Times New Roman"/>
          <w:sz w:val="26"/>
          <w:szCs w:val="26"/>
        </w:rPr>
        <w:t>Conséquence de ces faits, l’impact relatif à la transition aux nouvelles normes comptables internationales dépendra, en plus des changements apportés par ces dernières, des décisions et des choix des dirigeants.</w:t>
      </w:r>
    </w:p>
    <w:p w:rsidR="00F61BE2" w:rsidRDefault="00D41BD8" w:rsidP="00D41BD8">
      <w:pPr>
        <w:spacing w:before="240" w:beforeAutospacing="0" w:after="240" w:afterAutospacing="0" w:line="276" w:lineRule="auto"/>
        <w:jc w:val="both"/>
        <w:rPr>
          <w:rFonts w:ascii="Times New Roman" w:eastAsia="Calibri" w:hAnsi="Times New Roman" w:cs="Times New Roman"/>
          <w:sz w:val="24"/>
          <w:szCs w:val="24"/>
        </w:rPr>
      </w:pPr>
      <w:r w:rsidRPr="00D41BD8">
        <w:rPr>
          <w:rFonts w:ascii="Times New Roman" w:eastAsia="Calibri" w:hAnsi="Times New Roman" w:cs="Times New Roman"/>
          <w:sz w:val="26"/>
          <w:szCs w:val="26"/>
        </w:rPr>
        <w:t xml:space="preserve">En  outre, les résultats des recherches effectuées sur la première application de ces normes diffèrent selon le contexte et l’environnement au quel ces normes </w:t>
      </w:r>
      <w:r w:rsidRPr="00D41BD8">
        <w:rPr>
          <w:rFonts w:ascii="Times New Roman" w:eastAsia="Calibri" w:hAnsi="Times New Roman" w:cs="Times New Roman"/>
          <w:sz w:val="26"/>
          <w:szCs w:val="26"/>
        </w:rPr>
        <w:lastRenderedPageBreak/>
        <w:t>sont appliquées. En général, l’impact de cette  transition reste limité en termes de variation des capitaux propres ; par contre la majorité des recherches montrent que cet impact est plus considérable sur les résultats en le comparant à celui constaté sur les capitaux propres. Ce qui amène à conclure  que les entités économiques profitent de cette transition pour améliorer leurs rentabilités courante.</w:t>
      </w:r>
      <w:r w:rsidRPr="00D41BD8">
        <w:rPr>
          <w:rFonts w:ascii="Times New Roman" w:eastAsia="Calibri" w:hAnsi="Times New Roman" w:cs="Times New Roman"/>
          <w:sz w:val="24"/>
          <w:szCs w:val="24"/>
        </w:rPr>
        <w:t xml:space="preserve">      </w:t>
      </w:r>
    </w:p>
    <w:p w:rsidR="00F61BE2" w:rsidRDefault="00F61BE2" w:rsidP="00D41BD8">
      <w:pPr>
        <w:spacing w:before="240" w:beforeAutospacing="0" w:after="240" w:afterAutospacing="0" w:line="276" w:lineRule="auto"/>
        <w:jc w:val="both"/>
        <w:rPr>
          <w:rFonts w:ascii="Times New Roman" w:eastAsia="Calibri" w:hAnsi="Times New Roman" w:cs="Times New Roman"/>
          <w:sz w:val="24"/>
          <w:szCs w:val="24"/>
        </w:rPr>
      </w:pPr>
    </w:p>
    <w:p w:rsidR="00F61BE2" w:rsidRDefault="00F61BE2" w:rsidP="00D41BD8">
      <w:pPr>
        <w:spacing w:before="240" w:beforeAutospacing="0" w:after="240" w:afterAutospacing="0" w:line="276" w:lineRule="auto"/>
        <w:jc w:val="both"/>
        <w:rPr>
          <w:rFonts w:ascii="Times New Roman" w:eastAsia="Calibri" w:hAnsi="Times New Roman" w:cs="Times New Roman"/>
          <w:sz w:val="24"/>
          <w:szCs w:val="24"/>
        </w:rPr>
      </w:pPr>
    </w:p>
    <w:p w:rsidR="00F61BE2" w:rsidRDefault="00F61BE2" w:rsidP="00D41BD8">
      <w:pPr>
        <w:spacing w:before="240" w:beforeAutospacing="0" w:after="240" w:afterAutospacing="0" w:line="276" w:lineRule="auto"/>
        <w:jc w:val="both"/>
        <w:rPr>
          <w:rFonts w:ascii="Times New Roman" w:eastAsia="Calibri" w:hAnsi="Times New Roman" w:cs="Times New Roman"/>
          <w:sz w:val="24"/>
          <w:szCs w:val="24"/>
        </w:rPr>
      </w:pPr>
    </w:p>
    <w:p w:rsidR="00F61BE2" w:rsidRDefault="00F61BE2" w:rsidP="00D41BD8">
      <w:pPr>
        <w:spacing w:before="240" w:beforeAutospacing="0" w:after="240" w:afterAutospacing="0" w:line="276" w:lineRule="auto"/>
        <w:jc w:val="both"/>
        <w:rPr>
          <w:rFonts w:ascii="Times New Roman" w:eastAsia="Calibri" w:hAnsi="Times New Roman" w:cs="Times New Roman"/>
          <w:sz w:val="24"/>
          <w:szCs w:val="24"/>
        </w:rPr>
      </w:pPr>
    </w:p>
    <w:p w:rsidR="00F61BE2" w:rsidRDefault="00F61BE2" w:rsidP="00D41BD8">
      <w:pPr>
        <w:spacing w:before="240" w:beforeAutospacing="0" w:after="240" w:afterAutospacing="0" w:line="276" w:lineRule="auto"/>
        <w:jc w:val="both"/>
        <w:rPr>
          <w:rFonts w:ascii="Times New Roman" w:eastAsia="Calibri" w:hAnsi="Times New Roman" w:cs="Times New Roman"/>
          <w:sz w:val="24"/>
          <w:szCs w:val="24"/>
        </w:rPr>
      </w:pPr>
    </w:p>
    <w:p w:rsidR="00F61BE2" w:rsidRDefault="00F61BE2" w:rsidP="00D41BD8">
      <w:pPr>
        <w:spacing w:before="240" w:beforeAutospacing="0" w:after="240" w:afterAutospacing="0" w:line="276" w:lineRule="auto"/>
        <w:jc w:val="both"/>
        <w:rPr>
          <w:rFonts w:ascii="Times New Roman" w:eastAsia="Calibri" w:hAnsi="Times New Roman" w:cs="Times New Roman"/>
          <w:sz w:val="24"/>
          <w:szCs w:val="24"/>
        </w:rPr>
      </w:pPr>
    </w:p>
    <w:p w:rsidR="00F61BE2" w:rsidRDefault="00F61BE2" w:rsidP="00D41BD8">
      <w:pPr>
        <w:spacing w:before="240" w:beforeAutospacing="0" w:after="240" w:afterAutospacing="0" w:line="276" w:lineRule="auto"/>
        <w:jc w:val="both"/>
        <w:rPr>
          <w:rFonts w:ascii="Times New Roman" w:eastAsia="Calibri" w:hAnsi="Times New Roman" w:cs="Times New Roman"/>
          <w:sz w:val="24"/>
          <w:szCs w:val="24"/>
        </w:rPr>
      </w:pPr>
    </w:p>
    <w:p w:rsidR="00F61BE2" w:rsidRDefault="00F61BE2" w:rsidP="00D41BD8">
      <w:pPr>
        <w:spacing w:before="240" w:beforeAutospacing="0" w:after="240" w:afterAutospacing="0" w:line="276" w:lineRule="auto"/>
        <w:jc w:val="both"/>
        <w:rPr>
          <w:rFonts w:ascii="Times New Roman" w:eastAsia="Calibri" w:hAnsi="Times New Roman" w:cs="Times New Roman"/>
          <w:sz w:val="24"/>
          <w:szCs w:val="24"/>
        </w:rPr>
      </w:pPr>
    </w:p>
    <w:p w:rsidR="00F61BE2" w:rsidRDefault="00F61BE2" w:rsidP="00D41BD8">
      <w:pPr>
        <w:spacing w:before="240" w:beforeAutospacing="0" w:after="240" w:afterAutospacing="0" w:line="276" w:lineRule="auto"/>
        <w:jc w:val="both"/>
        <w:rPr>
          <w:rFonts w:ascii="Times New Roman" w:eastAsia="Calibri" w:hAnsi="Times New Roman" w:cs="Times New Roman"/>
          <w:sz w:val="24"/>
          <w:szCs w:val="24"/>
        </w:rPr>
      </w:pPr>
    </w:p>
    <w:p w:rsidR="00F61BE2" w:rsidRDefault="00F61BE2" w:rsidP="00D41BD8">
      <w:pPr>
        <w:spacing w:before="240" w:beforeAutospacing="0" w:after="240" w:afterAutospacing="0" w:line="276" w:lineRule="auto"/>
        <w:jc w:val="both"/>
        <w:rPr>
          <w:rFonts w:ascii="Times New Roman" w:eastAsia="Calibri" w:hAnsi="Times New Roman" w:cs="Times New Roman"/>
          <w:sz w:val="24"/>
          <w:szCs w:val="24"/>
        </w:rPr>
      </w:pPr>
    </w:p>
    <w:p w:rsidR="00F61BE2" w:rsidRDefault="00F61BE2" w:rsidP="00D41BD8">
      <w:pPr>
        <w:spacing w:before="240" w:beforeAutospacing="0" w:after="240" w:afterAutospacing="0" w:line="276" w:lineRule="auto"/>
        <w:jc w:val="both"/>
        <w:rPr>
          <w:rFonts w:ascii="Times New Roman" w:eastAsia="Calibri" w:hAnsi="Times New Roman" w:cs="Times New Roman"/>
          <w:sz w:val="24"/>
          <w:szCs w:val="24"/>
        </w:rPr>
      </w:pPr>
    </w:p>
    <w:p w:rsidR="00F61BE2" w:rsidRDefault="00F61BE2" w:rsidP="00D41BD8">
      <w:pPr>
        <w:spacing w:before="240" w:beforeAutospacing="0" w:after="240" w:afterAutospacing="0" w:line="276" w:lineRule="auto"/>
        <w:jc w:val="both"/>
        <w:rPr>
          <w:rFonts w:ascii="Times New Roman" w:eastAsia="Calibri" w:hAnsi="Times New Roman" w:cs="Times New Roman"/>
          <w:sz w:val="24"/>
          <w:szCs w:val="24"/>
        </w:rPr>
      </w:pPr>
    </w:p>
    <w:p w:rsidR="00F61BE2" w:rsidRDefault="00F61BE2" w:rsidP="00D41BD8">
      <w:pPr>
        <w:spacing w:before="240" w:beforeAutospacing="0" w:after="240" w:afterAutospacing="0" w:line="276" w:lineRule="auto"/>
        <w:jc w:val="both"/>
        <w:rPr>
          <w:rFonts w:ascii="Times New Roman" w:eastAsia="Calibri" w:hAnsi="Times New Roman" w:cs="Times New Roman"/>
          <w:sz w:val="24"/>
          <w:szCs w:val="24"/>
        </w:rPr>
      </w:pPr>
    </w:p>
    <w:p w:rsidR="00F61BE2" w:rsidRDefault="00F61BE2" w:rsidP="00D41BD8">
      <w:pPr>
        <w:spacing w:before="240" w:beforeAutospacing="0" w:after="240" w:afterAutospacing="0" w:line="276" w:lineRule="auto"/>
        <w:jc w:val="both"/>
        <w:rPr>
          <w:rFonts w:ascii="Times New Roman" w:eastAsia="Calibri" w:hAnsi="Times New Roman" w:cs="Times New Roman"/>
          <w:sz w:val="24"/>
          <w:szCs w:val="24"/>
        </w:rPr>
      </w:pPr>
    </w:p>
    <w:p w:rsidR="00F61BE2" w:rsidRDefault="00F61BE2" w:rsidP="00D41BD8">
      <w:pPr>
        <w:spacing w:before="240" w:beforeAutospacing="0" w:after="240" w:afterAutospacing="0" w:line="276" w:lineRule="auto"/>
        <w:jc w:val="both"/>
        <w:rPr>
          <w:rFonts w:ascii="Times New Roman" w:eastAsia="Calibri" w:hAnsi="Times New Roman" w:cs="Times New Roman"/>
          <w:sz w:val="24"/>
          <w:szCs w:val="24"/>
        </w:rPr>
      </w:pPr>
    </w:p>
    <w:p w:rsidR="00F61BE2" w:rsidRDefault="00F61BE2" w:rsidP="00D41BD8">
      <w:pPr>
        <w:spacing w:before="240" w:beforeAutospacing="0" w:after="240" w:afterAutospacing="0" w:line="276" w:lineRule="auto"/>
        <w:jc w:val="both"/>
        <w:rPr>
          <w:rFonts w:ascii="Times New Roman" w:eastAsia="Calibri" w:hAnsi="Times New Roman" w:cs="Times New Roman"/>
          <w:sz w:val="24"/>
          <w:szCs w:val="24"/>
        </w:rPr>
      </w:pPr>
    </w:p>
    <w:p w:rsidR="00F61BE2" w:rsidRDefault="00F61BE2" w:rsidP="00D41BD8">
      <w:pPr>
        <w:spacing w:before="240" w:beforeAutospacing="0" w:after="240" w:afterAutospacing="0" w:line="276" w:lineRule="auto"/>
        <w:jc w:val="both"/>
        <w:rPr>
          <w:rFonts w:ascii="Times New Roman" w:eastAsia="Calibri" w:hAnsi="Times New Roman" w:cs="Times New Roman"/>
          <w:sz w:val="24"/>
          <w:szCs w:val="24"/>
        </w:rPr>
      </w:pPr>
    </w:p>
    <w:p w:rsidR="00F61BE2" w:rsidRDefault="00F61BE2" w:rsidP="00D41BD8">
      <w:pPr>
        <w:spacing w:before="240" w:beforeAutospacing="0" w:after="240" w:afterAutospacing="0" w:line="276" w:lineRule="auto"/>
        <w:jc w:val="both"/>
        <w:rPr>
          <w:rFonts w:ascii="Times New Roman" w:eastAsia="Calibri" w:hAnsi="Times New Roman" w:cs="Times New Roman"/>
          <w:sz w:val="24"/>
          <w:szCs w:val="24"/>
        </w:rPr>
      </w:pPr>
    </w:p>
    <w:p w:rsidR="00F61BE2" w:rsidRDefault="00F61BE2" w:rsidP="00D41BD8">
      <w:pPr>
        <w:spacing w:before="240" w:beforeAutospacing="0" w:after="240" w:afterAutospacing="0" w:line="276" w:lineRule="auto"/>
        <w:jc w:val="both"/>
        <w:rPr>
          <w:rFonts w:ascii="Times New Roman" w:eastAsia="Calibri" w:hAnsi="Times New Roman" w:cs="Times New Roman"/>
          <w:sz w:val="24"/>
          <w:szCs w:val="24"/>
        </w:rPr>
      </w:pPr>
    </w:p>
    <w:p w:rsidR="002A3F16" w:rsidRDefault="002A3F16" w:rsidP="00D41BD8">
      <w:pPr>
        <w:spacing w:before="240" w:beforeAutospacing="0" w:after="240" w:afterAutospacing="0" w:line="276" w:lineRule="auto"/>
        <w:jc w:val="both"/>
        <w:rPr>
          <w:rFonts w:ascii="Times New Roman" w:eastAsia="Calibri" w:hAnsi="Times New Roman" w:cs="Times New Roman"/>
          <w:sz w:val="24"/>
          <w:szCs w:val="24"/>
        </w:rPr>
        <w:sectPr w:rsidR="002A3F16" w:rsidSect="00D41BD8">
          <w:headerReference w:type="default" r:id="rId20"/>
          <w:headerReference w:type="first" r:id="rId21"/>
          <w:pgSz w:w="11906" w:h="16838"/>
          <w:pgMar w:top="1418" w:right="1418" w:bottom="1418" w:left="1418" w:header="709" w:footer="709" w:gutter="567"/>
          <w:cols w:space="708"/>
          <w:titlePg/>
          <w:docGrid w:linePitch="360"/>
        </w:sectPr>
      </w:pPr>
    </w:p>
    <w:p w:rsidR="002A3F16" w:rsidRDefault="002A3F16" w:rsidP="00D41BD8">
      <w:pPr>
        <w:spacing w:before="240" w:beforeAutospacing="0" w:after="240" w:afterAutospacing="0" w:line="276" w:lineRule="auto"/>
        <w:jc w:val="both"/>
        <w:rPr>
          <w:rFonts w:ascii="Times New Roman" w:eastAsia="Calibri" w:hAnsi="Times New Roman" w:cs="Times New Roman"/>
          <w:sz w:val="24"/>
          <w:szCs w:val="24"/>
        </w:rPr>
      </w:pPr>
    </w:p>
    <w:p w:rsidR="002A3F16" w:rsidRDefault="002A3F16" w:rsidP="00D41BD8">
      <w:pPr>
        <w:spacing w:before="240" w:beforeAutospacing="0" w:after="240" w:afterAutospacing="0" w:line="276" w:lineRule="auto"/>
        <w:jc w:val="both"/>
        <w:rPr>
          <w:rFonts w:ascii="Times New Roman" w:eastAsia="Calibri" w:hAnsi="Times New Roman" w:cs="Times New Roman"/>
          <w:sz w:val="24"/>
          <w:szCs w:val="24"/>
        </w:rPr>
      </w:pPr>
    </w:p>
    <w:p w:rsidR="002A3F16" w:rsidRPr="002A3F16" w:rsidRDefault="002A3F16" w:rsidP="002A3F16">
      <w:pPr>
        <w:spacing w:before="0" w:beforeAutospacing="0" w:after="200" w:afterAutospacing="0" w:line="276" w:lineRule="auto"/>
        <w:rPr>
          <w:rFonts w:ascii="Times New Roman" w:hAnsi="Times New Roman" w:cs="Times New Roman"/>
          <w:b/>
          <w:i/>
          <w:sz w:val="32"/>
        </w:rPr>
      </w:pPr>
      <w:r w:rsidRPr="002A3F16">
        <w:rPr>
          <w:rFonts w:ascii="Times New Roman" w:hAnsi="Times New Roman" w:cs="Times New Roman"/>
          <w:b/>
          <w:i/>
          <w:sz w:val="36"/>
        </w:rPr>
        <w:t>Chapitre 3 : Le nouveau Système Comptable Financier: Principaux changements et leurs impacts sur les Capitaux Propres et le Résultat</w:t>
      </w:r>
    </w:p>
    <w:p w:rsidR="002A3F16" w:rsidRPr="002A3F16" w:rsidRDefault="002A3F16" w:rsidP="002A3F16">
      <w:pPr>
        <w:tabs>
          <w:tab w:val="left" w:pos="2280"/>
        </w:tabs>
        <w:spacing w:before="0" w:beforeAutospacing="0" w:after="200" w:afterAutospacing="0" w:line="276" w:lineRule="auto"/>
        <w:jc w:val="both"/>
        <w:rPr>
          <w:rFonts w:asciiTheme="majorBidi" w:hAnsiTheme="majorBidi" w:cstheme="majorBidi"/>
          <w:bCs/>
          <w:iCs/>
        </w:rPr>
      </w:pPr>
      <w:r w:rsidRPr="002A3F16">
        <w:rPr>
          <w:rFonts w:asciiTheme="majorBidi" w:hAnsiTheme="majorBidi" w:cstheme="majorBidi"/>
          <w:bCs/>
          <w:iCs/>
        </w:rPr>
        <w:tab/>
      </w:r>
    </w:p>
    <w:p w:rsidR="002A3F16" w:rsidRPr="002A3F16" w:rsidRDefault="002A3F16" w:rsidP="002A3F16">
      <w:pPr>
        <w:spacing w:before="0" w:beforeAutospacing="0" w:after="200" w:afterAutospacing="0" w:line="276" w:lineRule="auto"/>
        <w:jc w:val="both"/>
        <w:rPr>
          <w:rFonts w:ascii="Times New Roman" w:hAnsi="Times New Roman" w:cs="Times New Roman"/>
          <w:color w:val="FF0000"/>
          <w:sz w:val="24"/>
          <w:szCs w:val="24"/>
        </w:rPr>
      </w:pPr>
    </w:p>
    <w:p w:rsidR="002A3F16" w:rsidRPr="002A3F16" w:rsidRDefault="002A3F16" w:rsidP="002A3F16">
      <w:pPr>
        <w:spacing w:before="0" w:beforeAutospacing="0" w:after="200" w:afterAutospacing="0" w:line="276" w:lineRule="auto"/>
        <w:ind w:firstLine="284"/>
        <w:jc w:val="both"/>
        <w:rPr>
          <w:rFonts w:ascii="Times New Roman" w:hAnsi="Times New Roman" w:cs="Times New Roman"/>
          <w:sz w:val="24"/>
          <w:szCs w:val="24"/>
        </w:rPr>
      </w:pPr>
      <w:r w:rsidRPr="002A3F16">
        <w:rPr>
          <w:rFonts w:ascii="Times New Roman" w:hAnsi="Times New Roman" w:cs="Times New Roman"/>
          <w:sz w:val="24"/>
          <w:szCs w:val="24"/>
        </w:rPr>
        <w:t xml:space="preserve">Afin d’interpréter les aspects précédents dans un contexte purement algérien, l’objectif du présent chapitre est de déterminer les divergences entre l’ancien Plan Comptable National (PCN) et le nouveau Système Comptable Financier afin d’apprécier l’impact de cette transition, tout en décrivant l’évolution de la réglementation comptable en Algérie en référence au développement de l’environnement économique algérien. </w:t>
      </w:r>
    </w:p>
    <w:p w:rsidR="002A3F16" w:rsidRPr="002A3F16" w:rsidRDefault="002A3F16" w:rsidP="002A3F16">
      <w:pPr>
        <w:spacing w:before="0" w:beforeAutospacing="0" w:after="200" w:afterAutospacing="0" w:line="276" w:lineRule="auto"/>
        <w:ind w:firstLine="284"/>
        <w:jc w:val="both"/>
        <w:rPr>
          <w:rFonts w:ascii="Times New Roman" w:hAnsi="Times New Roman" w:cs="Times New Roman"/>
          <w:sz w:val="24"/>
          <w:szCs w:val="24"/>
        </w:rPr>
      </w:pPr>
      <w:r w:rsidRPr="002A3F16">
        <w:rPr>
          <w:rFonts w:ascii="Times New Roman" w:hAnsi="Times New Roman" w:cs="Times New Roman"/>
          <w:sz w:val="24"/>
          <w:szCs w:val="24"/>
        </w:rPr>
        <w:t>Dès lors, ce chapitre va contenir un aperçu sur l’environnement comptable Algérien qui consiste à présenter l’historique et l’évolution de la réglementation comptable en Algérie en mettant l’accent sur la transition vers le nouveau Système Comptable Financier, que traverse l’Algérie actuellement ; un système convergent aux normes internationales.</w:t>
      </w:r>
    </w:p>
    <w:p w:rsidR="002A3F16" w:rsidRDefault="002A3F16" w:rsidP="002A3F16">
      <w:pPr>
        <w:spacing w:before="240" w:beforeAutospacing="0" w:after="240" w:afterAutospacing="0" w:line="276" w:lineRule="auto"/>
        <w:jc w:val="both"/>
        <w:rPr>
          <w:rFonts w:ascii="Times New Roman" w:eastAsia="Calibri" w:hAnsi="Times New Roman" w:cs="Times New Roman"/>
          <w:sz w:val="24"/>
          <w:szCs w:val="24"/>
        </w:rPr>
      </w:pPr>
      <w:r w:rsidRPr="002A3F16">
        <w:rPr>
          <w:rFonts w:ascii="Times New Roman" w:hAnsi="Times New Roman" w:cs="Times New Roman"/>
          <w:sz w:val="24"/>
          <w:szCs w:val="24"/>
        </w:rPr>
        <w:t>Ensuite, et afin d’éclaircir au mieux les nouvelles réformes que vient concrétiser ce nouveau référentiel comptable, une analyse du contenu de ce référentiel, ses divergences avec l’ancien plan comptable ainsi que l’impact éventuel de ces changements sur les capitaux propres et les résultats des entreprises seront présentés.</w:t>
      </w:r>
    </w:p>
    <w:p w:rsidR="002A3F16" w:rsidRDefault="002A3F16" w:rsidP="00D41BD8">
      <w:pPr>
        <w:spacing w:before="240" w:beforeAutospacing="0" w:after="240" w:afterAutospacing="0" w:line="276" w:lineRule="auto"/>
        <w:jc w:val="both"/>
        <w:rPr>
          <w:rFonts w:ascii="Times New Roman" w:eastAsia="Calibri" w:hAnsi="Times New Roman" w:cs="Times New Roman"/>
          <w:sz w:val="24"/>
          <w:szCs w:val="24"/>
        </w:rPr>
      </w:pPr>
    </w:p>
    <w:p w:rsidR="002A3F16" w:rsidRDefault="002A3F16" w:rsidP="00D41BD8">
      <w:pPr>
        <w:spacing w:before="240" w:beforeAutospacing="0" w:after="240" w:afterAutospacing="0" w:line="276" w:lineRule="auto"/>
        <w:jc w:val="both"/>
        <w:rPr>
          <w:rFonts w:ascii="Times New Roman" w:eastAsia="Calibri" w:hAnsi="Times New Roman" w:cs="Times New Roman"/>
          <w:sz w:val="24"/>
          <w:szCs w:val="24"/>
        </w:rPr>
      </w:pPr>
    </w:p>
    <w:p w:rsidR="002A3F16" w:rsidRDefault="002A3F16" w:rsidP="00D41BD8">
      <w:pPr>
        <w:spacing w:before="240" w:beforeAutospacing="0" w:after="240" w:afterAutospacing="0" w:line="276" w:lineRule="auto"/>
        <w:jc w:val="both"/>
        <w:rPr>
          <w:rFonts w:ascii="Times New Roman" w:eastAsia="Calibri" w:hAnsi="Times New Roman" w:cs="Times New Roman"/>
          <w:sz w:val="24"/>
          <w:szCs w:val="24"/>
        </w:rPr>
      </w:pPr>
    </w:p>
    <w:p w:rsidR="002A3F16" w:rsidRDefault="002A3F16" w:rsidP="00D41BD8">
      <w:pPr>
        <w:spacing w:before="240" w:beforeAutospacing="0" w:after="240" w:afterAutospacing="0" w:line="276" w:lineRule="auto"/>
        <w:jc w:val="both"/>
        <w:rPr>
          <w:rFonts w:ascii="Times New Roman" w:eastAsia="Calibri" w:hAnsi="Times New Roman" w:cs="Times New Roman"/>
          <w:sz w:val="24"/>
          <w:szCs w:val="24"/>
        </w:rPr>
      </w:pPr>
    </w:p>
    <w:p w:rsidR="002A3F16" w:rsidRDefault="002A3F16" w:rsidP="00D41BD8">
      <w:pPr>
        <w:spacing w:before="240" w:beforeAutospacing="0" w:after="240" w:afterAutospacing="0" w:line="276" w:lineRule="auto"/>
        <w:jc w:val="both"/>
        <w:rPr>
          <w:rFonts w:ascii="Times New Roman" w:eastAsia="Calibri" w:hAnsi="Times New Roman" w:cs="Times New Roman"/>
          <w:sz w:val="24"/>
          <w:szCs w:val="24"/>
        </w:rPr>
      </w:pPr>
    </w:p>
    <w:p w:rsidR="002A3F16" w:rsidRDefault="002A3F16" w:rsidP="00D41BD8">
      <w:pPr>
        <w:spacing w:before="240" w:beforeAutospacing="0" w:after="240" w:afterAutospacing="0" w:line="276" w:lineRule="auto"/>
        <w:jc w:val="both"/>
        <w:rPr>
          <w:rFonts w:ascii="Times New Roman" w:eastAsia="Calibri" w:hAnsi="Times New Roman" w:cs="Times New Roman"/>
          <w:sz w:val="24"/>
          <w:szCs w:val="24"/>
        </w:rPr>
      </w:pPr>
    </w:p>
    <w:p w:rsidR="002A3F16" w:rsidRDefault="002A3F16" w:rsidP="00D41BD8">
      <w:pPr>
        <w:spacing w:before="240" w:beforeAutospacing="0" w:after="240" w:afterAutospacing="0" w:line="276" w:lineRule="auto"/>
        <w:jc w:val="both"/>
        <w:rPr>
          <w:rFonts w:ascii="Times New Roman" w:eastAsia="Calibri" w:hAnsi="Times New Roman" w:cs="Times New Roman"/>
          <w:sz w:val="24"/>
          <w:szCs w:val="24"/>
        </w:rPr>
      </w:pPr>
    </w:p>
    <w:p w:rsidR="002A3F16" w:rsidRDefault="002A3F16" w:rsidP="00D41BD8">
      <w:pPr>
        <w:spacing w:before="240" w:beforeAutospacing="0" w:after="240" w:afterAutospacing="0" w:line="276" w:lineRule="auto"/>
        <w:jc w:val="both"/>
        <w:rPr>
          <w:rFonts w:ascii="Times New Roman" w:eastAsia="Calibri" w:hAnsi="Times New Roman" w:cs="Times New Roman"/>
          <w:sz w:val="24"/>
          <w:szCs w:val="24"/>
        </w:rPr>
      </w:pPr>
    </w:p>
    <w:p w:rsidR="002A3F16" w:rsidRPr="002A3F16" w:rsidRDefault="002A3F16" w:rsidP="002A3F16">
      <w:pPr>
        <w:spacing w:before="0" w:beforeAutospacing="0" w:after="200" w:afterAutospacing="0" w:line="276" w:lineRule="auto"/>
        <w:rPr>
          <w:rFonts w:ascii="Times New Roman" w:hAnsi="Times New Roman" w:cs="Times New Roman"/>
          <w:b/>
          <w:i/>
          <w:sz w:val="26"/>
          <w:szCs w:val="26"/>
        </w:rPr>
      </w:pPr>
      <w:r w:rsidRPr="002A3F16">
        <w:rPr>
          <w:rFonts w:ascii="Times New Roman" w:hAnsi="Times New Roman" w:cs="Times New Roman"/>
          <w:b/>
          <w:i/>
          <w:sz w:val="26"/>
          <w:szCs w:val="26"/>
        </w:rPr>
        <w:lastRenderedPageBreak/>
        <w:t>Section 1 : L’environnement comptable Algérien</w:t>
      </w:r>
    </w:p>
    <w:p w:rsidR="002A3F16" w:rsidRPr="002A3F16" w:rsidRDefault="002A3F16" w:rsidP="002A3F16">
      <w:pPr>
        <w:spacing w:before="0" w:beforeAutospacing="0" w:after="0" w:afterAutospacing="0" w:line="276" w:lineRule="auto"/>
        <w:ind w:firstLine="284"/>
        <w:jc w:val="both"/>
        <w:rPr>
          <w:rFonts w:ascii="Times New Roman" w:hAnsi="Times New Roman" w:cs="Times New Roman"/>
          <w:sz w:val="24"/>
          <w:szCs w:val="24"/>
        </w:rPr>
      </w:pPr>
      <w:r w:rsidRPr="002A3F16">
        <w:rPr>
          <w:rFonts w:ascii="Times New Roman" w:hAnsi="Times New Roman" w:cs="Times New Roman"/>
          <w:sz w:val="24"/>
          <w:szCs w:val="24"/>
        </w:rPr>
        <w:t>Depuis l’indépendance, l’Algérie a connu de divers changements dans les différents domaines, notamment au niveau du système économique. Du fait qu’on est passé d’une économie planifiée à une économie de marché, qui impose des principes libéraux favorisant la liberté d’échange et de propriété. De tels changements ne pouvaient se produire sans la mise en place des mécanismes nécessaires qui permettent aux différentes parties de l’économie de s’adapter à ces changements. C’est le cas également de la réglementation comptable.</w:t>
      </w:r>
    </w:p>
    <w:p w:rsidR="002A3F16" w:rsidRPr="002A3F16" w:rsidRDefault="002A3F16" w:rsidP="002A3F16">
      <w:pPr>
        <w:spacing w:before="120" w:beforeAutospacing="0" w:after="120" w:afterAutospacing="0" w:line="276" w:lineRule="auto"/>
        <w:jc w:val="both"/>
        <w:rPr>
          <w:rFonts w:ascii="Times New Roman" w:hAnsi="Times New Roman" w:cs="Times New Roman"/>
          <w:b/>
          <w:sz w:val="26"/>
          <w:szCs w:val="26"/>
        </w:rPr>
      </w:pPr>
      <w:r w:rsidRPr="002A3F16">
        <w:rPr>
          <w:rFonts w:ascii="Times New Roman" w:hAnsi="Times New Roman" w:cs="Times New Roman"/>
          <w:b/>
          <w:sz w:val="26"/>
          <w:szCs w:val="26"/>
        </w:rPr>
        <w:t xml:space="preserve">1.1. Historique de la réglementation comptable en Algérie  </w:t>
      </w:r>
    </w:p>
    <w:p w:rsidR="002A3F16" w:rsidRPr="002A3F16" w:rsidRDefault="002A3F16" w:rsidP="002A3F16">
      <w:pPr>
        <w:spacing w:before="60" w:beforeAutospacing="0" w:after="60" w:afterAutospacing="0" w:line="276" w:lineRule="auto"/>
        <w:ind w:firstLine="284"/>
        <w:jc w:val="both"/>
        <w:rPr>
          <w:rFonts w:ascii="Times New Roman" w:hAnsi="Times New Roman" w:cs="Times New Roman"/>
          <w:sz w:val="24"/>
          <w:szCs w:val="24"/>
        </w:rPr>
      </w:pPr>
      <w:r w:rsidRPr="002A3F16">
        <w:rPr>
          <w:rFonts w:ascii="Times New Roman" w:hAnsi="Times New Roman" w:cs="Times New Roman"/>
          <w:sz w:val="24"/>
          <w:szCs w:val="24"/>
        </w:rPr>
        <w:t>La réglementation comptable est considérée comme l’un des vecteurs du développement économique d’un pays. En effet, cette dernière constitue un outil de régulation fondamental qui permet de réussir le processus de développement. Dès lors, on a toujours lié l’évolution de la réglementation comptable aux événements économiques que traverse un pays. Dans une telle optique, l’analyse de la réglementation comptable en Algérie nous a permis de distinguer les trois principales étapes suivantes, durant lesquels la réglementation comptable a connu des changements radicaux en matière de philosophie et de pratiques comptables.</w:t>
      </w:r>
    </w:p>
    <w:p w:rsidR="002A3F16" w:rsidRPr="002A3F16" w:rsidRDefault="002A3F16" w:rsidP="002A3F16">
      <w:pPr>
        <w:numPr>
          <w:ilvl w:val="0"/>
          <w:numId w:val="27"/>
        </w:numPr>
        <w:spacing w:before="60" w:beforeAutospacing="0" w:after="60" w:afterAutospacing="0" w:line="276" w:lineRule="auto"/>
        <w:contextualSpacing/>
        <w:jc w:val="both"/>
        <w:rPr>
          <w:rFonts w:ascii="Times New Roman" w:hAnsi="Times New Roman" w:cs="Times New Roman"/>
          <w:b/>
          <w:sz w:val="24"/>
          <w:szCs w:val="24"/>
        </w:rPr>
      </w:pPr>
      <w:r w:rsidRPr="002A3F16">
        <w:rPr>
          <w:rFonts w:ascii="Times New Roman" w:hAnsi="Times New Roman" w:cs="Times New Roman"/>
          <w:b/>
          <w:sz w:val="24"/>
          <w:szCs w:val="24"/>
        </w:rPr>
        <w:t>La période postcoloniale (de 1962 jusqu’à 1971)</w:t>
      </w:r>
    </w:p>
    <w:p w:rsidR="002A3F16" w:rsidRPr="002A3F16" w:rsidRDefault="002A3F16" w:rsidP="002A3F16">
      <w:pPr>
        <w:spacing w:before="60" w:beforeAutospacing="0" w:after="60" w:afterAutospacing="0" w:line="276" w:lineRule="auto"/>
        <w:ind w:firstLine="284"/>
        <w:jc w:val="both"/>
        <w:rPr>
          <w:rFonts w:ascii="Times New Roman" w:hAnsi="Times New Roman" w:cs="Times New Roman"/>
          <w:sz w:val="24"/>
          <w:szCs w:val="24"/>
        </w:rPr>
      </w:pPr>
      <w:r w:rsidRPr="002A3F16">
        <w:rPr>
          <w:rFonts w:ascii="Times New Roman" w:hAnsi="Times New Roman" w:cs="Times New Roman"/>
          <w:sz w:val="24"/>
          <w:szCs w:val="24"/>
        </w:rPr>
        <w:t>Au lendemain de son indépendance, l’Algérie avait décidé de reconduire la législation française notamment dans le domaine comptable. En conséquence, l’Algérie avait adopté le Plan Comptable Général Français (PCG) de 1957.</w:t>
      </w:r>
    </w:p>
    <w:p w:rsidR="002A3F16" w:rsidRPr="002A3F16" w:rsidRDefault="002A3F16" w:rsidP="002A3F16">
      <w:pPr>
        <w:numPr>
          <w:ilvl w:val="0"/>
          <w:numId w:val="27"/>
        </w:numPr>
        <w:spacing w:before="60" w:beforeAutospacing="0" w:after="60" w:afterAutospacing="0" w:line="276" w:lineRule="auto"/>
        <w:contextualSpacing/>
        <w:jc w:val="both"/>
        <w:rPr>
          <w:rFonts w:ascii="Times New Roman" w:hAnsi="Times New Roman" w:cs="Times New Roman"/>
          <w:b/>
          <w:sz w:val="24"/>
          <w:szCs w:val="24"/>
        </w:rPr>
      </w:pPr>
      <w:r w:rsidRPr="002A3F16">
        <w:rPr>
          <w:rFonts w:ascii="Times New Roman" w:hAnsi="Times New Roman" w:cs="Times New Roman"/>
          <w:b/>
          <w:sz w:val="24"/>
          <w:szCs w:val="24"/>
        </w:rPr>
        <w:t>La période de l’économie «Administrée</w:t>
      </w:r>
      <w:proofErr w:type="gramStart"/>
      <w:r w:rsidRPr="002A3F16">
        <w:rPr>
          <w:rFonts w:ascii="Times New Roman" w:hAnsi="Times New Roman" w:cs="Times New Roman"/>
          <w:b/>
          <w:sz w:val="24"/>
          <w:szCs w:val="24"/>
        </w:rPr>
        <w:t>»(</w:t>
      </w:r>
      <w:proofErr w:type="gramEnd"/>
      <w:r w:rsidRPr="002A3F16">
        <w:rPr>
          <w:rFonts w:ascii="Times New Roman" w:hAnsi="Times New Roman" w:cs="Times New Roman"/>
          <w:b/>
          <w:sz w:val="24"/>
          <w:szCs w:val="24"/>
        </w:rPr>
        <w:t>de 1972 - 1994)</w:t>
      </w:r>
    </w:p>
    <w:p w:rsidR="002A3F16" w:rsidRPr="002A3F16" w:rsidRDefault="002A3F16" w:rsidP="002A3F16">
      <w:pPr>
        <w:spacing w:before="60" w:beforeAutospacing="0" w:after="60" w:afterAutospacing="0" w:line="276" w:lineRule="auto"/>
        <w:ind w:firstLine="284"/>
        <w:jc w:val="both"/>
        <w:rPr>
          <w:rFonts w:ascii="Times New Roman" w:hAnsi="Times New Roman" w:cs="Times New Roman"/>
          <w:sz w:val="24"/>
          <w:szCs w:val="24"/>
        </w:rPr>
      </w:pPr>
      <w:r w:rsidRPr="002A3F16">
        <w:rPr>
          <w:rFonts w:ascii="Times New Roman" w:hAnsi="Times New Roman" w:cs="Times New Roman"/>
          <w:sz w:val="24"/>
          <w:szCs w:val="24"/>
        </w:rPr>
        <w:t xml:space="preserve">Cette période a vu l’installation du </w:t>
      </w:r>
      <w:r w:rsidRPr="002A3F16">
        <w:rPr>
          <w:rFonts w:ascii="TimesNewRoman" w:hAnsi="TimesNewRoman" w:cs="TimesNewRoman"/>
          <w:sz w:val="24"/>
          <w:szCs w:val="24"/>
        </w:rPr>
        <w:t xml:space="preserve">Conseil Supérieur de la Comptabilité (CSC) par l’ordonnance n° 71-82 du 29 décembre 1971. Placé sous la tutelle du Ministère des Finances, ce conseil avait pour objet d’élaborer le Plan Comptable National, cela selon les trois orientations </w:t>
      </w:r>
      <w:proofErr w:type="gramStart"/>
      <w:r w:rsidRPr="002A3F16">
        <w:rPr>
          <w:rFonts w:ascii="TimesNewRoman" w:hAnsi="TimesNewRoman" w:cs="TimesNewRoman"/>
          <w:sz w:val="24"/>
          <w:szCs w:val="24"/>
        </w:rPr>
        <w:t>suivante</w:t>
      </w:r>
      <w:proofErr w:type="gramEnd"/>
      <w:r w:rsidRPr="002A3F16">
        <w:rPr>
          <w:rFonts w:ascii="TimesNewRoman" w:hAnsi="TimesNewRoman" w:cs="TimesNewRoman"/>
          <w:sz w:val="24"/>
          <w:szCs w:val="24"/>
          <w:vertAlign w:val="superscript"/>
        </w:rPr>
        <w:footnoteReference w:id="99"/>
      </w:r>
      <w:r w:rsidRPr="002A3F16">
        <w:rPr>
          <w:rFonts w:ascii="Times New Roman" w:hAnsi="Times New Roman" w:cs="Times New Roman"/>
          <w:b/>
          <w:bCs/>
          <w:sz w:val="24"/>
          <w:szCs w:val="24"/>
        </w:rPr>
        <w:t>:</w:t>
      </w:r>
    </w:p>
    <w:p w:rsidR="002A3F16" w:rsidRPr="002A3F16" w:rsidRDefault="002A3F16" w:rsidP="002A3F16">
      <w:pPr>
        <w:numPr>
          <w:ilvl w:val="0"/>
          <w:numId w:val="27"/>
        </w:numPr>
        <w:autoSpaceDE w:val="0"/>
        <w:autoSpaceDN w:val="0"/>
        <w:adjustRightInd w:val="0"/>
        <w:spacing w:before="60" w:beforeAutospacing="0" w:after="60" w:afterAutospacing="0" w:line="276" w:lineRule="auto"/>
        <w:ind w:left="357" w:hanging="357"/>
        <w:contextualSpacing/>
        <w:jc w:val="both"/>
        <w:rPr>
          <w:rFonts w:ascii="TimesNewRoman" w:hAnsi="TimesNewRoman" w:cs="TimesNewRoman"/>
          <w:sz w:val="24"/>
          <w:szCs w:val="24"/>
        </w:rPr>
      </w:pPr>
      <w:r w:rsidRPr="002A3F16">
        <w:rPr>
          <w:rFonts w:ascii="TimesNewRoman" w:hAnsi="TimesNewRoman" w:cs="TimesNewRoman"/>
          <w:sz w:val="24"/>
          <w:szCs w:val="24"/>
        </w:rPr>
        <w:t>Le Plan Comptable doit être au service de la Planification et non pas du Marché.</w:t>
      </w:r>
    </w:p>
    <w:p w:rsidR="002A3F16" w:rsidRPr="002A3F16" w:rsidRDefault="002A3F16" w:rsidP="002A3F16">
      <w:pPr>
        <w:numPr>
          <w:ilvl w:val="0"/>
          <w:numId w:val="27"/>
        </w:numPr>
        <w:autoSpaceDE w:val="0"/>
        <w:autoSpaceDN w:val="0"/>
        <w:adjustRightInd w:val="0"/>
        <w:spacing w:before="60" w:beforeAutospacing="0" w:after="60" w:afterAutospacing="0" w:line="276" w:lineRule="auto"/>
        <w:ind w:left="357" w:hanging="357"/>
        <w:contextualSpacing/>
        <w:jc w:val="both"/>
        <w:rPr>
          <w:rFonts w:ascii="TimesNewRoman" w:hAnsi="TimesNewRoman" w:cs="TimesNewRoman"/>
          <w:sz w:val="24"/>
          <w:szCs w:val="24"/>
        </w:rPr>
      </w:pPr>
      <w:r w:rsidRPr="002A3F16">
        <w:rPr>
          <w:rFonts w:ascii="TimesNewRoman" w:hAnsi="TimesNewRoman" w:cs="TimesNewRoman"/>
          <w:sz w:val="24"/>
          <w:szCs w:val="24"/>
        </w:rPr>
        <w:t>Le Plan Comptable doit être d'inspiration socialiste et ne plus faire référence au Mode de Production Capitaliste.</w:t>
      </w:r>
    </w:p>
    <w:p w:rsidR="002A3F16" w:rsidRPr="002A3F16" w:rsidRDefault="002A3F16" w:rsidP="002A3F16">
      <w:pPr>
        <w:numPr>
          <w:ilvl w:val="0"/>
          <w:numId w:val="27"/>
        </w:numPr>
        <w:autoSpaceDE w:val="0"/>
        <w:autoSpaceDN w:val="0"/>
        <w:adjustRightInd w:val="0"/>
        <w:spacing w:before="60" w:beforeAutospacing="0" w:after="60" w:afterAutospacing="0" w:line="276" w:lineRule="auto"/>
        <w:ind w:left="357" w:hanging="357"/>
        <w:contextualSpacing/>
        <w:jc w:val="both"/>
        <w:rPr>
          <w:rFonts w:ascii="TimesNewRoman" w:hAnsi="TimesNewRoman" w:cs="TimesNewRoman"/>
          <w:sz w:val="24"/>
          <w:szCs w:val="24"/>
        </w:rPr>
      </w:pPr>
      <w:r w:rsidRPr="002A3F16">
        <w:rPr>
          <w:rFonts w:ascii="TimesNewRoman" w:hAnsi="TimesNewRoman" w:cs="TimesNewRoman"/>
          <w:sz w:val="24"/>
          <w:szCs w:val="24"/>
        </w:rPr>
        <w:t>Démystifier la comptabilité et la rendre à la portée de tous (travailleurs, gestionnaires…) (</w:t>
      </w:r>
      <w:r w:rsidRPr="002A3F16">
        <w:rPr>
          <w:rFonts w:ascii="Times New Roman" w:hAnsi="Times New Roman" w:cs="Times New Roman"/>
          <w:b/>
          <w:bCs/>
          <w:sz w:val="24"/>
          <w:szCs w:val="24"/>
        </w:rPr>
        <w:t xml:space="preserve">banalisation </w:t>
      </w:r>
      <w:r w:rsidRPr="002A3F16">
        <w:rPr>
          <w:rFonts w:ascii="TimesNewRoman" w:hAnsi="TimesNewRoman" w:cs="TimesNewRoman"/>
          <w:sz w:val="24"/>
          <w:szCs w:val="24"/>
        </w:rPr>
        <w:t>de la comptabilité).</w:t>
      </w:r>
    </w:p>
    <w:p w:rsidR="002A3F16" w:rsidRPr="002A3F16" w:rsidRDefault="002A3F16" w:rsidP="002A3F16">
      <w:pPr>
        <w:spacing w:before="60" w:beforeAutospacing="0" w:after="60" w:afterAutospacing="0" w:line="276" w:lineRule="auto"/>
        <w:ind w:firstLine="284"/>
        <w:jc w:val="both"/>
        <w:rPr>
          <w:rFonts w:ascii="TimesNewRoman" w:hAnsi="TimesNewRoman" w:cs="TimesNewRoman"/>
          <w:sz w:val="24"/>
          <w:szCs w:val="24"/>
        </w:rPr>
      </w:pPr>
      <w:r w:rsidRPr="002A3F16">
        <w:rPr>
          <w:rFonts w:ascii="Times New Roman" w:hAnsi="Times New Roman" w:cs="Times New Roman"/>
          <w:sz w:val="24"/>
          <w:szCs w:val="24"/>
        </w:rPr>
        <w:t>Les</w:t>
      </w:r>
      <w:r w:rsidRPr="002A3F16">
        <w:rPr>
          <w:rFonts w:ascii="TimesNewRoman" w:hAnsi="TimesNewRoman" w:cs="TimesNewRoman"/>
          <w:sz w:val="24"/>
          <w:szCs w:val="24"/>
        </w:rPr>
        <w:t xml:space="preserve"> travaux du CSC ont abouti à la promulgation de l'ordonnance n° 75-35 du 29/04/1975portant Plan Comptable National, dont l’application est devenue obligatoire à partir du 01/01/76.</w:t>
      </w:r>
    </w:p>
    <w:p w:rsidR="002A3F16" w:rsidRPr="002A3F16" w:rsidRDefault="002A3F16" w:rsidP="002A3F16">
      <w:pPr>
        <w:spacing w:before="60" w:beforeAutospacing="0" w:after="60" w:afterAutospacing="0" w:line="276" w:lineRule="auto"/>
        <w:jc w:val="both"/>
        <w:rPr>
          <w:rFonts w:ascii="TimesNewRoman" w:hAnsi="TimesNewRoman" w:cs="TimesNewRoman"/>
          <w:sz w:val="24"/>
          <w:szCs w:val="24"/>
        </w:rPr>
      </w:pPr>
      <w:r w:rsidRPr="002A3F16">
        <w:rPr>
          <w:rFonts w:ascii="Times New Roman" w:hAnsi="Times New Roman" w:cs="Times New Roman"/>
          <w:sz w:val="24"/>
          <w:szCs w:val="24"/>
        </w:rPr>
        <w:lastRenderedPageBreak/>
        <w:t>Adopté</w:t>
      </w:r>
      <w:r w:rsidRPr="002A3F16">
        <w:rPr>
          <w:rFonts w:ascii="TimesNewRoman" w:hAnsi="TimesNewRoman" w:cs="TimesNewRoman"/>
          <w:sz w:val="24"/>
          <w:szCs w:val="24"/>
        </w:rPr>
        <w:t xml:space="preserve"> dans un environnement économique administré, ce plan –fort inspiré du Plan Comptable Général Français 1957- a défini les règles applicables pour l’établissement et la présentation des comptes sociaux, une nomenclature des comptes et les règles d’évaluation et de fonctionnement des comptes. </w:t>
      </w:r>
    </w:p>
    <w:p w:rsidR="002A3F16" w:rsidRPr="002A3F16" w:rsidRDefault="002A3F16" w:rsidP="002A3F16">
      <w:pPr>
        <w:spacing w:before="60" w:beforeAutospacing="0" w:after="60" w:afterAutospacing="0" w:line="276" w:lineRule="auto"/>
        <w:ind w:firstLine="284"/>
        <w:jc w:val="both"/>
        <w:rPr>
          <w:rFonts w:ascii="TimesNewRoman" w:hAnsi="TimesNewRoman" w:cs="TimesNewRoman"/>
          <w:sz w:val="24"/>
          <w:szCs w:val="24"/>
        </w:rPr>
      </w:pPr>
      <w:r w:rsidRPr="002A3F16">
        <w:rPr>
          <w:rFonts w:ascii="Times New Roman" w:hAnsi="Times New Roman" w:cs="Times New Roman"/>
          <w:sz w:val="24"/>
          <w:szCs w:val="24"/>
        </w:rPr>
        <w:t>Au</w:t>
      </w:r>
      <w:r w:rsidRPr="002A3F16">
        <w:rPr>
          <w:rFonts w:ascii="TimesNewRoman" w:hAnsi="TimesNewRoman" w:cs="TimesNewRoman"/>
          <w:sz w:val="24"/>
          <w:szCs w:val="24"/>
        </w:rPr>
        <w:t xml:space="preserve"> milieu des années 80, le CSC est devenu Conseil Supérieur de la Technique Comptable (CSTC) qui a pris en charge la production des plans de comptes sectoriels.  </w:t>
      </w:r>
    </w:p>
    <w:p w:rsidR="002A3F16" w:rsidRPr="002A3F16" w:rsidRDefault="002A3F16" w:rsidP="002A3F16">
      <w:pPr>
        <w:numPr>
          <w:ilvl w:val="0"/>
          <w:numId w:val="27"/>
        </w:numPr>
        <w:spacing w:before="60" w:beforeAutospacing="0" w:after="60" w:afterAutospacing="0" w:line="276" w:lineRule="auto"/>
        <w:contextualSpacing/>
        <w:jc w:val="both"/>
        <w:rPr>
          <w:rFonts w:ascii="Times New Roman" w:hAnsi="Times New Roman" w:cs="Times New Roman"/>
          <w:b/>
          <w:sz w:val="24"/>
          <w:szCs w:val="24"/>
        </w:rPr>
      </w:pPr>
      <w:r w:rsidRPr="002A3F16">
        <w:rPr>
          <w:rFonts w:ascii="Times New Roman" w:hAnsi="Times New Roman" w:cs="Times New Roman"/>
          <w:b/>
          <w:sz w:val="24"/>
          <w:szCs w:val="24"/>
        </w:rPr>
        <w:t>La période de passage à l’économie de marché et de l’adhésion aux mécanismes de la Globalisation (de 1994 à nos jours)</w:t>
      </w:r>
    </w:p>
    <w:p w:rsidR="002A3F16" w:rsidRPr="002A3F16" w:rsidRDefault="002A3F16" w:rsidP="002A3F16">
      <w:pPr>
        <w:spacing w:before="60" w:beforeAutospacing="0" w:after="60" w:afterAutospacing="0" w:line="276" w:lineRule="auto"/>
        <w:ind w:firstLine="284"/>
        <w:jc w:val="both"/>
        <w:rPr>
          <w:rFonts w:ascii="TimesNewRoman" w:hAnsi="TimesNewRoman" w:cs="TimesNewRoman"/>
          <w:sz w:val="24"/>
          <w:szCs w:val="24"/>
        </w:rPr>
      </w:pPr>
      <w:r w:rsidRPr="002A3F16">
        <w:rPr>
          <w:rFonts w:ascii="TimesNewRoman" w:hAnsi="TimesNewRoman" w:cs="TimesNewRoman"/>
          <w:sz w:val="24"/>
          <w:szCs w:val="24"/>
        </w:rPr>
        <w:t>Cette période  a connu l’abondant du système basé sur une économie administrée et l'introduction à l'économie de marché et le passage à l'autonomie des entreprises publiques. En effet, plusieurs textes législatifs ont été promulgués ou amendés pour engager une politique de libération avec l’adoption des mécanismes de l’économie de marché pour soutenir l’investisseur algérien et rendre possible l’appel aux capitaux étrangers. On cite principalement :</w:t>
      </w:r>
    </w:p>
    <w:p w:rsidR="002A3F16" w:rsidRPr="002A3F16" w:rsidRDefault="002A3F16" w:rsidP="002A3F16">
      <w:pPr>
        <w:numPr>
          <w:ilvl w:val="0"/>
          <w:numId w:val="27"/>
        </w:numPr>
        <w:autoSpaceDE w:val="0"/>
        <w:autoSpaceDN w:val="0"/>
        <w:adjustRightInd w:val="0"/>
        <w:spacing w:before="60" w:beforeAutospacing="0" w:after="60" w:afterAutospacing="0" w:line="276" w:lineRule="auto"/>
        <w:contextualSpacing/>
        <w:jc w:val="both"/>
        <w:rPr>
          <w:rFonts w:ascii="TimesNewRoman" w:hAnsi="TimesNewRoman" w:cs="TimesNewRoman"/>
          <w:sz w:val="24"/>
          <w:szCs w:val="24"/>
        </w:rPr>
      </w:pPr>
      <w:r w:rsidRPr="002A3F16">
        <w:rPr>
          <w:rFonts w:ascii="TimesNewRoman" w:hAnsi="TimesNewRoman" w:cs="TimesNewRoman"/>
          <w:sz w:val="24"/>
          <w:szCs w:val="24"/>
        </w:rPr>
        <w:t>La loi sur la monnaie et le crédit ;</w:t>
      </w:r>
    </w:p>
    <w:p w:rsidR="002A3F16" w:rsidRPr="002A3F16" w:rsidRDefault="002A3F16" w:rsidP="002A3F16">
      <w:pPr>
        <w:numPr>
          <w:ilvl w:val="0"/>
          <w:numId w:val="27"/>
        </w:numPr>
        <w:autoSpaceDE w:val="0"/>
        <w:autoSpaceDN w:val="0"/>
        <w:adjustRightInd w:val="0"/>
        <w:spacing w:before="60" w:beforeAutospacing="0" w:after="60" w:afterAutospacing="0" w:line="276" w:lineRule="auto"/>
        <w:contextualSpacing/>
        <w:jc w:val="both"/>
        <w:rPr>
          <w:rFonts w:ascii="TimesNewRoman" w:hAnsi="TimesNewRoman" w:cs="TimesNewRoman"/>
          <w:sz w:val="24"/>
          <w:szCs w:val="24"/>
        </w:rPr>
      </w:pPr>
      <w:r w:rsidRPr="002A3F16">
        <w:rPr>
          <w:rFonts w:ascii="TimesNewRoman" w:hAnsi="TimesNewRoman" w:cs="TimesNewRoman"/>
          <w:sz w:val="24"/>
          <w:szCs w:val="24"/>
        </w:rPr>
        <w:t>Le code de commerce ;</w:t>
      </w:r>
    </w:p>
    <w:p w:rsidR="002A3F16" w:rsidRPr="002A3F16" w:rsidRDefault="002A3F16" w:rsidP="002A3F16">
      <w:pPr>
        <w:numPr>
          <w:ilvl w:val="0"/>
          <w:numId w:val="27"/>
        </w:numPr>
        <w:autoSpaceDE w:val="0"/>
        <w:autoSpaceDN w:val="0"/>
        <w:adjustRightInd w:val="0"/>
        <w:spacing w:before="60" w:beforeAutospacing="0" w:after="60" w:afterAutospacing="0" w:line="276" w:lineRule="auto"/>
        <w:contextualSpacing/>
        <w:jc w:val="both"/>
        <w:rPr>
          <w:rFonts w:ascii="TimesNewRoman" w:hAnsi="TimesNewRoman" w:cs="TimesNewRoman"/>
          <w:sz w:val="24"/>
          <w:szCs w:val="24"/>
        </w:rPr>
      </w:pPr>
      <w:r w:rsidRPr="002A3F16">
        <w:rPr>
          <w:rFonts w:ascii="TimesNewRoman" w:hAnsi="TimesNewRoman" w:cs="TimesNewRoman"/>
          <w:sz w:val="24"/>
          <w:szCs w:val="24"/>
        </w:rPr>
        <w:t>Le décret portant la création de la bourse des valeurs mobilières ;</w:t>
      </w:r>
    </w:p>
    <w:p w:rsidR="002A3F16" w:rsidRPr="002A3F16" w:rsidRDefault="002A3F16" w:rsidP="002A3F16">
      <w:pPr>
        <w:numPr>
          <w:ilvl w:val="0"/>
          <w:numId w:val="27"/>
        </w:numPr>
        <w:autoSpaceDE w:val="0"/>
        <w:autoSpaceDN w:val="0"/>
        <w:adjustRightInd w:val="0"/>
        <w:spacing w:before="60" w:beforeAutospacing="0" w:after="60" w:afterAutospacing="0" w:line="276" w:lineRule="auto"/>
        <w:contextualSpacing/>
        <w:jc w:val="both"/>
        <w:rPr>
          <w:rFonts w:ascii="TimesNewRoman" w:hAnsi="TimesNewRoman" w:cs="TimesNewRoman"/>
          <w:sz w:val="24"/>
          <w:szCs w:val="24"/>
        </w:rPr>
      </w:pPr>
      <w:r w:rsidRPr="002A3F16">
        <w:rPr>
          <w:rFonts w:ascii="TimesNewRoman" w:hAnsi="TimesNewRoman" w:cs="TimesNewRoman"/>
          <w:sz w:val="24"/>
          <w:szCs w:val="24"/>
        </w:rPr>
        <w:t>Le code des investisseurs ;</w:t>
      </w:r>
    </w:p>
    <w:p w:rsidR="002A3F16" w:rsidRPr="002A3F16" w:rsidRDefault="002A3F16" w:rsidP="002A3F16">
      <w:pPr>
        <w:numPr>
          <w:ilvl w:val="0"/>
          <w:numId w:val="27"/>
        </w:numPr>
        <w:autoSpaceDE w:val="0"/>
        <w:autoSpaceDN w:val="0"/>
        <w:adjustRightInd w:val="0"/>
        <w:spacing w:before="60" w:beforeAutospacing="0" w:after="60" w:afterAutospacing="0" w:line="276" w:lineRule="auto"/>
        <w:contextualSpacing/>
        <w:jc w:val="both"/>
        <w:rPr>
          <w:rFonts w:ascii="TimesNewRoman" w:hAnsi="TimesNewRoman" w:cs="TimesNewRoman"/>
          <w:sz w:val="24"/>
          <w:szCs w:val="24"/>
        </w:rPr>
      </w:pPr>
      <w:r w:rsidRPr="002A3F16">
        <w:rPr>
          <w:rFonts w:ascii="TimesNewRoman" w:hAnsi="TimesNewRoman" w:cs="TimesNewRoman"/>
          <w:sz w:val="24"/>
          <w:szCs w:val="24"/>
        </w:rPr>
        <w:t>L’ordonnance relative à la gestion des capitaux marchants de l’état ;</w:t>
      </w:r>
    </w:p>
    <w:p w:rsidR="002A3F16" w:rsidRPr="002A3F16" w:rsidRDefault="002A3F16" w:rsidP="002A3F16">
      <w:pPr>
        <w:numPr>
          <w:ilvl w:val="0"/>
          <w:numId w:val="27"/>
        </w:numPr>
        <w:autoSpaceDE w:val="0"/>
        <w:autoSpaceDN w:val="0"/>
        <w:adjustRightInd w:val="0"/>
        <w:spacing w:before="60" w:beforeAutospacing="0" w:after="60" w:afterAutospacing="0" w:line="276" w:lineRule="auto"/>
        <w:contextualSpacing/>
        <w:jc w:val="both"/>
        <w:rPr>
          <w:rFonts w:ascii="TimesNewRoman" w:hAnsi="TimesNewRoman" w:cs="TimesNewRoman"/>
          <w:sz w:val="24"/>
          <w:szCs w:val="24"/>
        </w:rPr>
      </w:pPr>
      <w:r w:rsidRPr="002A3F16">
        <w:rPr>
          <w:rFonts w:ascii="TimesNewRoman" w:hAnsi="TimesNewRoman" w:cs="TimesNewRoman"/>
          <w:sz w:val="24"/>
          <w:szCs w:val="24"/>
        </w:rPr>
        <w:t>L’ordonnance relative à la privatisation des entreprises publiques ;</w:t>
      </w:r>
    </w:p>
    <w:p w:rsidR="002A3F16" w:rsidRPr="002A3F16" w:rsidRDefault="002A3F16" w:rsidP="002A3F16">
      <w:pPr>
        <w:numPr>
          <w:ilvl w:val="0"/>
          <w:numId w:val="27"/>
        </w:numPr>
        <w:autoSpaceDE w:val="0"/>
        <w:autoSpaceDN w:val="0"/>
        <w:adjustRightInd w:val="0"/>
        <w:spacing w:before="60" w:beforeAutospacing="0" w:after="60" w:afterAutospacing="0" w:line="276" w:lineRule="auto"/>
        <w:ind w:left="357" w:hanging="357"/>
        <w:contextualSpacing/>
        <w:jc w:val="both"/>
        <w:rPr>
          <w:rFonts w:ascii="TimesNewRoman" w:hAnsi="TimesNewRoman" w:cs="TimesNewRoman"/>
          <w:sz w:val="24"/>
          <w:szCs w:val="24"/>
        </w:rPr>
      </w:pPr>
      <w:r w:rsidRPr="002A3F16">
        <w:rPr>
          <w:rFonts w:ascii="TimesNewRoman" w:hAnsi="TimesNewRoman" w:cs="TimesNewRoman"/>
          <w:sz w:val="24"/>
          <w:szCs w:val="24"/>
        </w:rPr>
        <w:t>La loi sur la concurrence.</w:t>
      </w:r>
    </w:p>
    <w:p w:rsidR="002A3F16" w:rsidRPr="002A3F16" w:rsidRDefault="002A3F16" w:rsidP="002A3F16">
      <w:pPr>
        <w:spacing w:before="60" w:beforeAutospacing="0" w:after="60" w:afterAutospacing="0" w:line="276" w:lineRule="auto"/>
        <w:ind w:firstLine="284"/>
        <w:jc w:val="both"/>
        <w:rPr>
          <w:rFonts w:ascii="TimesNewRoman" w:hAnsi="TimesNewRoman" w:cs="TimesNewRoman"/>
          <w:sz w:val="24"/>
          <w:szCs w:val="24"/>
        </w:rPr>
      </w:pPr>
      <w:r w:rsidRPr="002A3F16">
        <w:rPr>
          <w:rFonts w:ascii="TimesNewRoman" w:hAnsi="TimesNewRoman" w:cs="TimesNewRoman"/>
          <w:sz w:val="24"/>
          <w:szCs w:val="24"/>
        </w:rPr>
        <w:t xml:space="preserve">Dans un tel contexte, et vu que le Plan Comptable National a été promulgué avant ces textes, il était nécessaire de procéder à une refonte du système comptable en vigueur (à savoir le PCN de 1975). Cependant, et durant la période qui allait de 1994 à 1998, la réglementation comptable en Algérie n’a pas connu cette refonte du système comptable mais elle était plutôt traduite par quelques instructions ministérielles ou décisions de certains organismes en relation avec la profession comptable.  </w:t>
      </w:r>
    </w:p>
    <w:p w:rsidR="002A3F16" w:rsidRPr="002A3F16" w:rsidRDefault="002A3F16" w:rsidP="002A3F16">
      <w:pPr>
        <w:spacing w:before="60" w:beforeAutospacing="0" w:after="60" w:afterAutospacing="0" w:line="276" w:lineRule="auto"/>
        <w:ind w:firstLine="284"/>
        <w:jc w:val="both"/>
        <w:rPr>
          <w:rFonts w:ascii="TimesNewRoman" w:hAnsi="TimesNewRoman" w:cs="TimesNewRoman"/>
          <w:sz w:val="24"/>
          <w:szCs w:val="24"/>
        </w:rPr>
      </w:pPr>
      <w:r w:rsidRPr="002A3F16">
        <w:rPr>
          <w:rFonts w:ascii="TimesNewRoman" w:hAnsi="TimesNewRoman" w:cs="TimesNewRoman"/>
          <w:sz w:val="24"/>
          <w:szCs w:val="24"/>
        </w:rPr>
        <w:t>En 1</w:t>
      </w:r>
      <w:r w:rsidRPr="002A3F16">
        <w:rPr>
          <w:rFonts w:ascii="TimesNewRoman" w:hAnsi="TimesNewRoman" w:cs="TimesNewRoman"/>
          <w:sz w:val="24"/>
          <w:szCs w:val="24"/>
          <w:vertAlign w:val="superscript"/>
        </w:rPr>
        <w:t>er</w:t>
      </w:r>
      <w:r w:rsidRPr="002A3F16">
        <w:rPr>
          <w:rFonts w:ascii="TimesNewRoman" w:hAnsi="TimesNewRoman" w:cs="TimesNewRoman"/>
          <w:sz w:val="24"/>
          <w:szCs w:val="24"/>
        </w:rPr>
        <w:t>lieu</w:t>
      </w:r>
      <w:r w:rsidRPr="002A3F16">
        <w:rPr>
          <w:rFonts w:ascii="Times New Roman" w:hAnsi="Times New Roman" w:cs="Times New Roman"/>
          <w:b/>
          <w:bCs/>
          <w:i/>
          <w:iCs/>
          <w:sz w:val="24"/>
          <w:szCs w:val="24"/>
        </w:rPr>
        <w:t xml:space="preserve">, </w:t>
      </w:r>
      <w:r w:rsidRPr="002A3F16">
        <w:rPr>
          <w:rFonts w:ascii="TimesNewRoman" w:hAnsi="TimesNewRoman" w:cs="TimesNewRoman"/>
          <w:sz w:val="24"/>
          <w:szCs w:val="24"/>
        </w:rPr>
        <w:t xml:space="preserve">c'est </w:t>
      </w:r>
      <w:r w:rsidRPr="002A3F16">
        <w:rPr>
          <w:rFonts w:ascii="Times New Roman" w:hAnsi="Times New Roman" w:cs="Times New Roman"/>
          <w:b/>
          <w:bCs/>
          <w:sz w:val="24"/>
          <w:szCs w:val="24"/>
        </w:rPr>
        <w:t xml:space="preserve">la Direction Générale de la comptabilité </w:t>
      </w:r>
      <w:r w:rsidRPr="002A3F16">
        <w:rPr>
          <w:rFonts w:ascii="TimesNewRoman" w:hAnsi="TimesNewRoman" w:cs="TimesNewRoman"/>
          <w:sz w:val="24"/>
          <w:szCs w:val="24"/>
        </w:rPr>
        <w:t>au niveau du Ministère de Finances qui a émis des instructions pour adapter le Plan des Comptes à l'activité des Sociétés Commerciales et notamment les circulaires suivantes :</w:t>
      </w:r>
    </w:p>
    <w:p w:rsidR="002A3F16" w:rsidRPr="002A3F16" w:rsidRDefault="002A3F16" w:rsidP="002A3F16">
      <w:pPr>
        <w:numPr>
          <w:ilvl w:val="0"/>
          <w:numId w:val="27"/>
        </w:numPr>
        <w:autoSpaceDE w:val="0"/>
        <w:autoSpaceDN w:val="0"/>
        <w:adjustRightInd w:val="0"/>
        <w:spacing w:before="60" w:beforeAutospacing="0" w:after="60" w:afterAutospacing="0" w:line="276" w:lineRule="auto"/>
        <w:contextualSpacing/>
        <w:jc w:val="both"/>
        <w:rPr>
          <w:rFonts w:ascii="TimesNewRoman" w:hAnsi="TimesNewRoman" w:cs="TimesNewRoman"/>
          <w:sz w:val="24"/>
          <w:szCs w:val="24"/>
        </w:rPr>
      </w:pPr>
      <w:r w:rsidRPr="002A3F16">
        <w:rPr>
          <w:rFonts w:ascii="TimesNewRoman" w:hAnsi="TimesNewRoman" w:cs="TimesNewRoman"/>
          <w:sz w:val="24"/>
          <w:szCs w:val="24"/>
        </w:rPr>
        <w:t xml:space="preserve">N° 1850 du </w:t>
      </w:r>
      <w:r w:rsidRPr="002A3F16">
        <w:rPr>
          <w:rFonts w:ascii="Times New Roman" w:hAnsi="Times New Roman" w:cs="Times New Roman"/>
          <w:i/>
          <w:iCs/>
          <w:sz w:val="24"/>
          <w:szCs w:val="24"/>
        </w:rPr>
        <w:t xml:space="preserve">24 /05/1989 </w:t>
      </w:r>
      <w:proofErr w:type="gramStart"/>
      <w:r w:rsidRPr="002A3F16">
        <w:rPr>
          <w:rFonts w:ascii="TimesNewRoman" w:hAnsi="TimesNewRoman" w:cs="TimesNewRoman"/>
          <w:sz w:val="24"/>
          <w:szCs w:val="24"/>
        </w:rPr>
        <w:t>relative</w:t>
      </w:r>
      <w:proofErr w:type="gramEnd"/>
      <w:r w:rsidRPr="002A3F16">
        <w:rPr>
          <w:rFonts w:ascii="TimesNewRoman" w:hAnsi="TimesNewRoman" w:cs="TimesNewRoman"/>
          <w:sz w:val="24"/>
          <w:szCs w:val="24"/>
        </w:rPr>
        <w:t xml:space="preserve"> à la comptabilisation des opérations liées à l'autonomie des entreprises.</w:t>
      </w:r>
    </w:p>
    <w:p w:rsidR="002A3F16" w:rsidRPr="002A3F16" w:rsidRDefault="002A3F16" w:rsidP="002A3F16">
      <w:pPr>
        <w:numPr>
          <w:ilvl w:val="0"/>
          <w:numId w:val="27"/>
        </w:numPr>
        <w:autoSpaceDE w:val="0"/>
        <w:autoSpaceDN w:val="0"/>
        <w:adjustRightInd w:val="0"/>
        <w:spacing w:before="60" w:beforeAutospacing="0" w:after="60" w:afterAutospacing="0" w:line="276" w:lineRule="auto"/>
        <w:contextualSpacing/>
        <w:jc w:val="both"/>
        <w:rPr>
          <w:rFonts w:ascii="TimesNewRoman" w:hAnsi="TimesNewRoman" w:cs="TimesNewRoman"/>
          <w:sz w:val="24"/>
          <w:szCs w:val="24"/>
        </w:rPr>
      </w:pPr>
      <w:r w:rsidRPr="002A3F16">
        <w:rPr>
          <w:rFonts w:ascii="TimesNewRoman" w:hAnsi="TimesNewRoman" w:cs="TimesNewRoman"/>
          <w:sz w:val="24"/>
          <w:szCs w:val="24"/>
        </w:rPr>
        <w:t xml:space="preserve">N° 635 du </w:t>
      </w:r>
      <w:r w:rsidRPr="002A3F16">
        <w:rPr>
          <w:rFonts w:ascii="Times New Roman" w:hAnsi="Times New Roman" w:cs="Times New Roman"/>
          <w:i/>
          <w:iCs/>
          <w:sz w:val="24"/>
          <w:szCs w:val="24"/>
        </w:rPr>
        <w:t xml:space="preserve">11/03/1990 </w:t>
      </w:r>
      <w:r w:rsidRPr="002A3F16">
        <w:rPr>
          <w:rFonts w:ascii="TimesNewRoman" w:hAnsi="TimesNewRoman" w:cs="TimesNewRoman"/>
          <w:sz w:val="24"/>
          <w:szCs w:val="24"/>
        </w:rPr>
        <w:t>relative à la comptabilisation de la participation des travailleurs aux bénéfices de l'Entreprise.</w:t>
      </w:r>
    </w:p>
    <w:p w:rsidR="002A3F16" w:rsidRPr="002A3F16" w:rsidRDefault="002A3F16" w:rsidP="002A3F16">
      <w:pPr>
        <w:numPr>
          <w:ilvl w:val="0"/>
          <w:numId w:val="27"/>
        </w:numPr>
        <w:autoSpaceDE w:val="0"/>
        <w:autoSpaceDN w:val="0"/>
        <w:adjustRightInd w:val="0"/>
        <w:spacing w:before="60" w:beforeAutospacing="0" w:after="60" w:afterAutospacing="0" w:line="276" w:lineRule="auto"/>
        <w:contextualSpacing/>
        <w:jc w:val="both"/>
        <w:rPr>
          <w:rFonts w:ascii="TimesNewRoman" w:hAnsi="TimesNewRoman" w:cs="TimesNewRoman"/>
          <w:sz w:val="24"/>
          <w:szCs w:val="24"/>
        </w:rPr>
      </w:pPr>
      <w:r w:rsidRPr="002A3F16">
        <w:rPr>
          <w:rFonts w:ascii="TimesNewRoman" w:hAnsi="TimesNewRoman" w:cs="TimesNewRoman"/>
          <w:sz w:val="24"/>
          <w:szCs w:val="24"/>
        </w:rPr>
        <w:t xml:space="preserve">N° 01/95 du </w:t>
      </w:r>
      <w:r w:rsidRPr="002A3F16">
        <w:rPr>
          <w:rFonts w:ascii="Times New Roman" w:hAnsi="Times New Roman" w:cs="Times New Roman"/>
          <w:i/>
          <w:iCs/>
          <w:sz w:val="24"/>
          <w:szCs w:val="24"/>
        </w:rPr>
        <w:t xml:space="preserve">02/10/1995 </w:t>
      </w:r>
      <w:r w:rsidRPr="002A3F16">
        <w:rPr>
          <w:rFonts w:ascii="TimesNewRoman" w:hAnsi="TimesNewRoman" w:cs="TimesNewRoman"/>
          <w:sz w:val="24"/>
          <w:szCs w:val="24"/>
        </w:rPr>
        <w:t>relative à l'harmonisation de la comptabilité des Fonds de Participation.</w:t>
      </w:r>
    </w:p>
    <w:p w:rsidR="002A3F16" w:rsidRPr="002A3F16" w:rsidRDefault="002A3F16" w:rsidP="002A3F16">
      <w:pPr>
        <w:numPr>
          <w:ilvl w:val="0"/>
          <w:numId w:val="27"/>
        </w:numPr>
        <w:autoSpaceDE w:val="0"/>
        <w:autoSpaceDN w:val="0"/>
        <w:adjustRightInd w:val="0"/>
        <w:spacing w:before="60" w:beforeAutospacing="0" w:after="60" w:afterAutospacing="0" w:line="276" w:lineRule="auto"/>
        <w:contextualSpacing/>
        <w:jc w:val="both"/>
        <w:rPr>
          <w:rFonts w:ascii="TimesNewRoman" w:hAnsi="TimesNewRoman" w:cs="TimesNewRoman"/>
          <w:sz w:val="24"/>
          <w:szCs w:val="24"/>
        </w:rPr>
      </w:pPr>
      <w:r w:rsidRPr="002A3F16">
        <w:rPr>
          <w:rFonts w:ascii="TimesNewRoman" w:hAnsi="TimesNewRoman" w:cs="TimesNewRoman"/>
          <w:sz w:val="24"/>
          <w:szCs w:val="24"/>
        </w:rPr>
        <w:t xml:space="preserve">Ainsi que l’instruction n° 581 du </w:t>
      </w:r>
      <w:r w:rsidRPr="002A3F16">
        <w:rPr>
          <w:rFonts w:ascii="Times New Roman" w:hAnsi="Times New Roman" w:cs="Times New Roman"/>
          <w:i/>
          <w:iCs/>
          <w:sz w:val="24"/>
          <w:szCs w:val="24"/>
        </w:rPr>
        <w:t xml:space="preserve">21/04/1997 </w:t>
      </w:r>
      <w:r w:rsidRPr="002A3F16">
        <w:rPr>
          <w:rFonts w:ascii="TimesNewRoman" w:hAnsi="TimesNewRoman" w:cs="TimesNewRoman"/>
          <w:sz w:val="24"/>
          <w:szCs w:val="24"/>
        </w:rPr>
        <w:t>relative à la comptabilisation de la réintégration de l'écart de réévaluation.</w:t>
      </w:r>
    </w:p>
    <w:p w:rsidR="002A3F16" w:rsidRPr="002A3F16" w:rsidRDefault="002A3F16" w:rsidP="002A3F16">
      <w:pPr>
        <w:spacing w:before="60" w:beforeAutospacing="0" w:after="60" w:afterAutospacing="0" w:line="276" w:lineRule="auto"/>
        <w:ind w:firstLine="284"/>
        <w:jc w:val="both"/>
        <w:rPr>
          <w:rFonts w:ascii="TimesNewRoman" w:hAnsi="TimesNewRoman" w:cs="TimesNewRoman"/>
          <w:sz w:val="24"/>
          <w:szCs w:val="24"/>
        </w:rPr>
      </w:pPr>
      <w:r w:rsidRPr="002A3F16">
        <w:rPr>
          <w:rFonts w:ascii="Times New Roman" w:hAnsi="Times New Roman" w:cs="Times New Roman"/>
          <w:bCs/>
          <w:sz w:val="24"/>
          <w:szCs w:val="24"/>
        </w:rPr>
        <w:lastRenderedPageBreak/>
        <w:t>D’autre part</w:t>
      </w:r>
      <w:r w:rsidRPr="002A3F16">
        <w:rPr>
          <w:rFonts w:ascii="Times New Roman" w:hAnsi="Times New Roman" w:cs="Times New Roman"/>
          <w:sz w:val="24"/>
          <w:szCs w:val="24"/>
        </w:rPr>
        <w:t xml:space="preserve">, </w:t>
      </w:r>
      <w:r w:rsidRPr="002A3F16">
        <w:rPr>
          <w:rFonts w:ascii="Times New Roman" w:hAnsi="Times New Roman" w:cs="Times New Roman"/>
          <w:b/>
          <w:bCs/>
          <w:sz w:val="24"/>
          <w:szCs w:val="24"/>
        </w:rPr>
        <w:t>l'Institut d'Emission</w:t>
      </w:r>
      <w:r w:rsidRPr="002A3F16">
        <w:rPr>
          <w:rFonts w:ascii="TimesNewRoman" w:hAnsi="TimesNewRoman" w:cs="TimesNewRoman"/>
          <w:sz w:val="24"/>
          <w:szCs w:val="24"/>
        </w:rPr>
        <w:t xml:space="preserve">, </w:t>
      </w:r>
      <w:r w:rsidRPr="002A3F16">
        <w:rPr>
          <w:rFonts w:ascii="Times New Roman" w:hAnsi="Times New Roman" w:cs="Times New Roman"/>
          <w:b/>
          <w:bCs/>
          <w:sz w:val="24"/>
          <w:szCs w:val="24"/>
        </w:rPr>
        <w:t>en l'occurrence la Banque d'Algérie</w:t>
      </w:r>
      <w:r w:rsidRPr="002A3F16">
        <w:rPr>
          <w:rFonts w:ascii="TimesNewRoman" w:hAnsi="TimesNewRoman" w:cs="TimesNewRoman"/>
          <w:sz w:val="24"/>
          <w:szCs w:val="24"/>
        </w:rPr>
        <w:t>, a pris en charge la normalisation comptable de l'activité Bancaire.</w:t>
      </w:r>
    </w:p>
    <w:p w:rsidR="002A3F16" w:rsidRPr="002A3F16" w:rsidRDefault="002A3F16" w:rsidP="002A3F16">
      <w:pPr>
        <w:spacing w:before="60" w:beforeAutospacing="0" w:after="60" w:afterAutospacing="0" w:line="276" w:lineRule="auto"/>
        <w:ind w:firstLine="284"/>
        <w:jc w:val="both"/>
        <w:rPr>
          <w:rFonts w:ascii="Times New Roman" w:hAnsi="Times New Roman" w:cs="Times New Roman"/>
          <w:b/>
          <w:bCs/>
          <w:sz w:val="24"/>
          <w:szCs w:val="24"/>
        </w:rPr>
      </w:pPr>
      <w:r w:rsidRPr="002A3F16">
        <w:rPr>
          <w:rFonts w:ascii="TimesNewRoman" w:hAnsi="TimesNewRoman" w:cs="TimesNewRoman"/>
          <w:sz w:val="24"/>
          <w:szCs w:val="24"/>
        </w:rPr>
        <w:t xml:space="preserve">Ainsi, </w:t>
      </w:r>
      <w:r w:rsidRPr="002A3F16">
        <w:rPr>
          <w:rFonts w:ascii="Times New Roman" w:hAnsi="Times New Roman" w:cs="Times New Roman"/>
          <w:b/>
          <w:bCs/>
          <w:sz w:val="24"/>
          <w:szCs w:val="24"/>
        </w:rPr>
        <w:t xml:space="preserve">l'Ordre National des Experts Comptables, Commissaires Aux Comptes et Comptables Agréés </w:t>
      </w:r>
      <w:r w:rsidRPr="002A3F16">
        <w:rPr>
          <w:rFonts w:ascii="Times New Roman" w:hAnsi="Times New Roman" w:cs="Times New Roman"/>
          <w:bCs/>
          <w:sz w:val="24"/>
          <w:szCs w:val="24"/>
        </w:rPr>
        <w:t xml:space="preserve">était </w:t>
      </w:r>
      <w:r w:rsidRPr="002A3F16">
        <w:rPr>
          <w:rFonts w:ascii="TimesNewRoman" w:hAnsi="TimesNewRoman" w:cs="TimesNewRoman"/>
          <w:sz w:val="24"/>
          <w:szCs w:val="24"/>
        </w:rPr>
        <w:t>chargé par la Loi 91/08 et le décret exécutif 92-20 de</w:t>
      </w:r>
      <w:r w:rsidRPr="002A3F16">
        <w:rPr>
          <w:rFonts w:ascii="Times New Roman" w:hAnsi="Times New Roman" w:cs="Times New Roman"/>
          <w:b/>
          <w:bCs/>
          <w:sz w:val="24"/>
          <w:szCs w:val="24"/>
        </w:rPr>
        <w:t>:</w:t>
      </w:r>
    </w:p>
    <w:p w:rsidR="002A3F16" w:rsidRPr="002A3F16" w:rsidRDefault="002A3F16" w:rsidP="002A3F16">
      <w:pPr>
        <w:numPr>
          <w:ilvl w:val="1"/>
          <w:numId w:val="27"/>
        </w:numPr>
        <w:autoSpaceDE w:val="0"/>
        <w:autoSpaceDN w:val="0"/>
        <w:adjustRightInd w:val="0"/>
        <w:spacing w:before="60" w:beforeAutospacing="0" w:after="60" w:afterAutospacing="0" w:line="276" w:lineRule="auto"/>
        <w:contextualSpacing/>
        <w:jc w:val="both"/>
        <w:rPr>
          <w:rFonts w:ascii="Times New Roman" w:hAnsi="Times New Roman" w:cs="Times New Roman"/>
          <w:b/>
          <w:bCs/>
          <w:sz w:val="24"/>
          <w:szCs w:val="24"/>
        </w:rPr>
      </w:pPr>
      <w:r w:rsidRPr="002A3F16">
        <w:rPr>
          <w:rFonts w:ascii="Times New Roman" w:hAnsi="Times New Roman" w:cs="Times New Roman"/>
          <w:iCs/>
          <w:sz w:val="24"/>
          <w:szCs w:val="24"/>
        </w:rPr>
        <w:t>Définir</w:t>
      </w:r>
      <w:r w:rsidRPr="002A3F16">
        <w:rPr>
          <w:rFonts w:ascii="TimesNewRoman" w:hAnsi="TimesNewRoman" w:cs="TimesNewRoman"/>
          <w:sz w:val="24"/>
          <w:szCs w:val="24"/>
        </w:rPr>
        <w:t xml:space="preserve"> les diligences normales de vérification et de contrôle.</w:t>
      </w:r>
    </w:p>
    <w:p w:rsidR="002A3F16" w:rsidRPr="002A3F16" w:rsidRDefault="002A3F16" w:rsidP="002A3F16">
      <w:pPr>
        <w:numPr>
          <w:ilvl w:val="1"/>
          <w:numId w:val="27"/>
        </w:numPr>
        <w:autoSpaceDE w:val="0"/>
        <w:autoSpaceDN w:val="0"/>
        <w:adjustRightInd w:val="0"/>
        <w:spacing w:before="60" w:beforeAutospacing="0" w:after="60" w:afterAutospacing="0" w:line="276" w:lineRule="auto"/>
        <w:contextualSpacing/>
        <w:jc w:val="both"/>
        <w:rPr>
          <w:rFonts w:ascii="Times New Roman" w:hAnsi="Times New Roman" w:cs="Times New Roman"/>
          <w:b/>
          <w:bCs/>
          <w:sz w:val="24"/>
          <w:szCs w:val="24"/>
        </w:rPr>
      </w:pPr>
      <w:r w:rsidRPr="002A3F16">
        <w:rPr>
          <w:rFonts w:ascii="TimesNewRoman" w:hAnsi="TimesNewRoman" w:cs="TimesNewRoman"/>
          <w:sz w:val="24"/>
          <w:szCs w:val="24"/>
        </w:rPr>
        <w:t>Emettre tout avis sur les questions de technique comptable, de droit ou de finances.</w:t>
      </w:r>
    </w:p>
    <w:p w:rsidR="002A3F16" w:rsidRPr="002A3F16" w:rsidRDefault="002A3F16" w:rsidP="002A3F16">
      <w:pPr>
        <w:spacing w:before="60" w:beforeAutospacing="0" w:after="60" w:afterAutospacing="0" w:line="276" w:lineRule="auto"/>
        <w:ind w:firstLine="284"/>
        <w:jc w:val="both"/>
        <w:rPr>
          <w:rFonts w:ascii="TimesNewRoman" w:hAnsi="TimesNewRoman" w:cs="TimesNewRoman"/>
          <w:sz w:val="24"/>
          <w:szCs w:val="24"/>
        </w:rPr>
      </w:pPr>
      <w:r w:rsidRPr="002A3F16">
        <w:rPr>
          <w:rFonts w:ascii="TimesNewRoman" w:hAnsi="TimesNewRoman" w:cs="TimesNewRoman"/>
          <w:sz w:val="24"/>
          <w:szCs w:val="24"/>
        </w:rPr>
        <w:t xml:space="preserve">Ce qui a donné lieu à la promulgation de la décision n° 103 SPM/94 relative aux diligences professionnelles du Commissaire Aux Comptes. </w:t>
      </w:r>
    </w:p>
    <w:p w:rsidR="002A3F16" w:rsidRPr="002A3F16" w:rsidRDefault="002A3F16" w:rsidP="002A3F16">
      <w:pPr>
        <w:spacing w:before="60" w:beforeAutospacing="0" w:after="60" w:afterAutospacing="0" w:line="276" w:lineRule="auto"/>
        <w:ind w:firstLine="284"/>
        <w:jc w:val="both"/>
        <w:rPr>
          <w:rFonts w:ascii="TimesNewRoman" w:hAnsi="TimesNewRoman" w:cs="TimesNewRoman"/>
          <w:sz w:val="24"/>
          <w:szCs w:val="24"/>
        </w:rPr>
      </w:pPr>
      <w:r w:rsidRPr="002A3F16">
        <w:rPr>
          <w:rFonts w:ascii="TimesNewRoman" w:hAnsi="TimesNewRoman" w:cs="TimesNewRoman"/>
          <w:sz w:val="24"/>
          <w:szCs w:val="24"/>
        </w:rPr>
        <w:t xml:space="preserve">De son côté </w:t>
      </w:r>
      <w:r w:rsidRPr="002A3F16">
        <w:rPr>
          <w:rFonts w:ascii="Times New Roman" w:hAnsi="Times New Roman" w:cs="Times New Roman"/>
          <w:b/>
          <w:bCs/>
          <w:sz w:val="24"/>
          <w:szCs w:val="24"/>
        </w:rPr>
        <w:t xml:space="preserve">la C.O.S.O.B </w:t>
      </w:r>
      <w:r w:rsidRPr="002A3F16">
        <w:rPr>
          <w:rFonts w:ascii="TimesNewRoman" w:hAnsi="TimesNewRoman" w:cs="TimesNewRoman"/>
          <w:sz w:val="24"/>
          <w:szCs w:val="24"/>
        </w:rPr>
        <w:t>n'a introduit aucune norme pour favoriser la transparence et l'image fidèle des comptes sociaux des Sociétés cotées en Bourse.</w:t>
      </w:r>
    </w:p>
    <w:p w:rsidR="002A3F16" w:rsidRPr="002A3F16" w:rsidRDefault="002A3F16" w:rsidP="002A3F16">
      <w:pPr>
        <w:spacing w:before="60" w:beforeAutospacing="0" w:after="60" w:afterAutospacing="0" w:line="276" w:lineRule="auto"/>
        <w:ind w:firstLine="284"/>
        <w:jc w:val="both"/>
        <w:rPr>
          <w:rFonts w:ascii="TimesNewRoman" w:hAnsi="TimesNewRoman" w:cs="TimesNewRoman"/>
          <w:sz w:val="24"/>
          <w:szCs w:val="24"/>
        </w:rPr>
      </w:pPr>
      <w:r w:rsidRPr="002A3F16">
        <w:rPr>
          <w:rFonts w:ascii="TimesNewRoman" w:hAnsi="TimesNewRoman" w:cs="TimesNewRoman"/>
          <w:sz w:val="24"/>
          <w:szCs w:val="24"/>
        </w:rPr>
        <w:t xml:space="preserve">En outre, on peut conclure que cette période a connu l’absence d’un organisme spécialisé qui s’occupe de la normalisation comptable en Algérie. Et ce n’est </w:t>
      </w:r>
      <w:proofErr w:type="spellStart"/>
      <w:r w:rsidRPr="002A3F16">
        <w:rPr>
          <w:rFonts w:ascii="TimesNewRoman" w:hAnsi="TimesNewRoman" w:cs="TimesNewRoman"/>
          <w:sz w:val="24"/>
          <w:szCs w:val="24"/>
        </w:rPr>
        <w:t>quand</w:t>
      </w:r>
      <w:proofErr w:type="spellEnd"/>
      <w:r w:rsidRPr="002A3F16">
        <w:rPr>
          <w:rFonts w:ascii="TimesNewRoman" w:hAnsi="TimesNewRoman" w:cs="TimesNewRoman"/>
          <w:sz w:val="24"/>
          <w:szCs w:val="24"/>
        </w:rPr>
        <w:t xml:space="preserve"> 1998 qu’on a procédé à la création du Conseil National de la Comptabilité (CNC). Ce dernier créé par le décret exécutif n° 96 - 318 et installé en 1998 par le Ministère des Finances, qui lui a fixé deux objectifs </w:t>
      </w:r>
      <w:r w:rsidRPr="002A3F16">
        <w:rPr>
          <w:rFonts w:ascii="Times New Roman" w:hAnsi="Times New Roman" w:cs="Times New Roman"/>
          <w:b/>
          <w:bCs/>
          <w:sz w:val="24"/>
          <w:szCs w:val="24"/>
        </w:rPr>
        <w:t>:</w:t>
      </w:r>
    </w:p>
    <w:p w:rsidR="002A3F16" w:rsidRPr="002A3F16" w:rsidRDefault="002A3F16" w:rsidP="002A3F16">
      <w:pPr>
        <w:numPr>
          <w:ilvl w:val="0"/>
          <w:numId w:val="27"/>
        </w:numPr>
        <w:autoSpaceDE w:val="0"/>
        <w:autoSpaceDN w:val="0"/>
        <w:adjustRightInd w:val="0"/>
        <w:spacing w:before="60" w:beforeAutospacing="0" w:after="60" w:afterAutospacing="0" w:line="276" w:lineRule="auto"/>
        <w:contextualSpacing/>
        <w:jc w:val="both"/>
        <w:rPr>
          <w:rFonts w:ascii="TimesNewRoman" w:hAnsi="TimesNewRoman" w:cs="TimesNewRoman"/>
          <w:sz w:val="24"/>
          <w:szCs w:val="24"/>
        </w:rPr>
      </w:pPr>
      <w:r w:rsidRPr="002A3F16">
        <w:rPr>
          <w:rFonts w:ascii="TimesNewRoman" w:hAnsi="TimesNewRoman" w:cs="TimesNewRoman"/>
          <w:sz w:val="24"/>
          <w:szCs w:val="24"/>
        </w:rPr>
        <w:t>Procéder à la révision du Plan Comptable National compte tenu des changements politique, idéologique et économique enregistrés depuis 1988.</w:t>
      </w:r>
    </w:p>
    <w:p w:rsidR="002A3F16" w:rsidRPr="002A3F16" w:rsidRDefault="002A3F16" w:rsidP="002A3F16">
      <w:pPr>
        <w:numPr>
          <w:ilvl w:val="0"/>
          <w:numId w:val="27"/>
        </w:numPr>
        <w:autoSpaceDE w:val="0"/>
        <w:autoSpaceDN w:val="0"/>
        <w:adjustRightInd w:val="0"/>
        <w:spacing w:before="60" w:beforeAutospacing="0" w:after="60" w:afterAutospacing="0" w:line="276" w:lineRule="auto"/>
        <w:contextualSpacing/>
        <w:jc w:val="both"/>
        <w:rPr>
          <w:rFonts w:ascii="TimesNewRoman" w:hAnsi="TimesNewRoman" w:cs="TimesNewRoman"/>
          <w:sz w:val="24"/>
          <w:szCs w:val="24"/>
        </w:rPr>
      </w:pPr>
      <w:r w:rsidRPr="002A3F16">
        <w:rPr>
          <w:rFonts w:ascii="TimesNewRoman" w:hAnsi="TimesNewRoman" w:cs="TimesNewRoman"/>
          <w:sz w:val="24"/>
          <w:szCs w:val="24"/>
        </w:rPr>
        <w:t>Poursuivre les travaux de normalisation par l'élaboration de Plans Comptables Sectoriels et l'émission d'avis sur les questions posées par les opérateurs économiques.</w:t>
      </w:r>
    </w:p>
    <w:p w:rsidR="002A3F16" w:rsidRPr="002A3F16" w:rsidRDefault="002A3F16" w:rsidP="002A3F16">
      <w:pPr>
        <w:spacing w:before="60" w:beforeAutospacing="0" w:after="60" w:afterAutospacing="0" w:line="276" w:lineRule="auto"/>
        <w:ind w:firstLine="284"/>
        <w:jc w:val="both"/>
        <w:rPr>
          <w:rFonts w:ascii="TimesNewRoman" w:hAnsi="TimesNewRoman" w:cs="TimesNewRoman"/>
          <w:sz w:val="24"/>
          <w:szCs w:val="24"/>
        </w:rPr>
      </w:pPr>
      <w:r w:rsidRPr="002A3F16">
        <w:rPr>
          <w:rFonts w:ascii="TimesNewRoman" w:hAnsi="TimesNewRoman" w:cs="TimesNewRoman"/>
          <w:sz w:val="24"/>
          <w:szCs w:val="24"/>
        </w:rPr>
        <w:t>Dès lors, et afin de répondre à ces objectifs, un projet de plan comptable en accord avec les normes IAS/IFRS a été élaboré en 2001 par un groupe de travail composé de représentants du CNC algérien, d’experts comptables algériens. Aussi, les pouvoirs publics ont sollicité des organes français de normalisation, en l'occurrence :</w:t>
      </w:r>
    </w:p>
    <w:p w:rsidR="002A3F16" w:rsidRPr="002A3F16" w:rsidRDefault="002A3F16" w:rsidP="002A3F16">
      <w:pPr>
        <w:numPr>
          <w:ilvl w:val="0"/>
          <w:numId w:val="27"/>
        </w:numPr>
        <w:autoSpaceDE w:val="0"/>
        <w:autoSpaceDN w:val="0"/>
        <w:adjustRightInd w:val="0"/>
        <w:spacing w:before="60" w:beforeAutospacing="0" w:after="60" w:afterAutospacing="0" w:line="276" w:lineRule="auto"/>
        <w:contextualSpacing/>
        <w:jc w:val="both"/>
        <w:rPr>
          <w:rFonts w:ascii="TimesNewRoman" w:hAnsi="TimesNewRoman" w:cs="TimesNewRoman"/>
          <w:sz w:val="24"/>
          <w:szCs w:val="24"/>
        </w:rPr>
      </w:pPr>
      <w:r w:rsidRPr="002A3F16">
        <w:rPr>
          <w:rFonts w:ascii="TimesNewRoman" w:hAnsi="TimesNewRoman" w:cs="TimesNewRoman"/>
          <w:sz w:val="24"/>
          <w:szCs w:val="24"/>
        </w:rPr>
        <w:t>Le Conseil National de la Comptabilité (CNC) ;</w:t>
      </w:r>
    </w:p>
    <w:p w:rsidR="002A3F16" w:rsidRPr="002A3F16" w:rsidRDefault="002A3F16" w:rsidP="002A3F16">
      <w:pPr>
        <w:numPr>
          <w:ilvl w:val="0"/>
          <w:numId w:val="27"/>
        </w:numPr>
        <w:autoSpaceDE w:val="0"/>
        <w:autoSpaceDN w:val="0"/>
        <w:adjustRightInd w:val="0"/>
        <w:spacing w:before="60" w:beforeAutospacing="0" w:after="60" w:afterAutospacing="0" w:line="276" w:lineRule="auto"/>
        <w:contextualSpacing/>
        <w:jc w:val="both"/>
        <w:rPr>
          <w:rFonts w:ascii="TimesNewRoman" w:hAnsi="TimesNewRoman" w:cs="TimesNewRoman"/>
          <w:sz w:val="24"/>
          <w:szCs w:val="24"/>
        </w:rPr>
      </w:pPr>
      <w:r w:rsidRPr="002A3F16">
        <w:rPr>
          <w:rFonts w:ascii="TimesNewRoman" w:hAnsi="TimesNewRoman" w:cs="TimesNewRoman"/>
          <w:sz w:val="24"/>
          <w:szCs w:val="24"/>
        </w:rPr>
        <w:t>Le Conseil Supérieur de l'Ordre des Experts Comptables (C.S.O.E.C) ;</w:t>
      </w:r>
    </w:p>
    <w:p w:rsidR="002A3F16" w:rsidRPr="002A3F16" w:rsidRDefault="002A3F16" w:rsidP="002A3F16">
      <w:pPr>
        <w:numPr>
          <w:ilvl w:val="0"/>
          <w:numId w:val="27"/>
        </w:numPr>
        <w:autoSpaceDE w:val="0"/>
        <w:autoSpaceDN w:val="0"/>
        <w:adjustRightInd w:val="0"/>
        <w:spacing w:before="60" w:beforeAutospacing="0" w:after="60" w:afterAutospacing="0" w:line="276" w:lineRule="auto"/>
        <w:contextualSpacing/>
        <w:jc w:val="both"/>
        <w:rPr>
          <w:rFonts w:ascii="TimesNewRoman" w:hAnsi="TimesNewRoman" w:cs="TimesNewRoman"/>
          <w:sz w:val="24"/>
          <w:szCs w:val="24"/>
        </w:rPr>
      </w:pPr>
      <w:r w:rsidRPr="002A3F16">
        <w:rPr>
          <w:rFonts w:ascii="TimesNewRoman" w:hAnsi="TimesNewRoman" w:cs="TimesNewRoman"/>
          <w:sz w:val="24"/>
          <w:szCs w:val="24"/>
        </w:rPr>
        <w:t>La Compagnie Nationale des Commissaires Aux Comptes (CNCC).</w:t>
      </w:r>
    </w:p>
    <w:p w:rsidR="002A3F16" w:rsidRPr="002A3F16" w:rsidRDefault="002A3F16" w:rsidP="002A3F16">
      <w:pPr>
        <w:autoSpaceDE w:val="0"/>
        <w:autoSpaceDN w:val="0"/>
        <w:adjustRightInd w:val="0"/>
        <w:spacing w:before="60" w:beforeAutospacing="0" w:after="60" w:afterAutospacing="0" w:line="276" w:lineRule="auto"/>
        <w:jc w:val="both"/>
        <w:rPr>
          <w:rFonts w:ascii="TimesNewRoman" w:hAnsi="TimesNewRoman" w:cs="TimesNewRoman"/>
          <w:sz w:val="24"/>
          <w:szCs w:val="24"/>
        </w:rPr>
      </w:pPr>
      <w:r w:rsidRPr="002A3F16">
        <w:rPr>
          <w:rFonts w:ascii="TimesNewRoman" w:hAnsi="TimesNewRoman" w:cs="TimesNewRoman"/>
          <w:sz w:val="24"/>
          <w:szCs w:val="24"/>
        </w:rPr>
        <w:t>Pour une mission non plus de révision mais de modernisation du Plan Comptable National.</w:t>
      </w:r>
    </w:p>
    <w:p w:rsidR="002A3F16" w:rsidRPr="002A3F16" w:rsidRDefault="002A3F16" w:rsidP="002A3F16">
      <w:pPr>
        <w:spacing w:before="60" w:beforeAutospacing="0" w:after="60" w:afterAutospacing="0" w:line="276" w:lineRule="auto"/>
        <w:ind w:firstLine="284"/>
        <w:jc w:val="both"/>
        <w:rPr>
          <w:rFonts w:ascii="Times New Roman" w:hAnsi="Times New Roman" w:cs="Times New Roman"/>
          <w:b/>
          <w:bCs/>
          <w:sz w:val="24"/>
          <w:szCs w:val="24"/>
        </w:rPr>
      </w:pPr>
      <w:r w:rsidRPr="002A3F16">
        <w:rPr>
          <w:rFonts w:ascii="TimesNewRoman" w:hAnsi="TimesNewRoman" w:cs="TimesNewRoman"/>
          <w:sz w:val="24"/>
          <w:szCs w:val="24"/>
        </w:rPr>
        <w:t xml:space="preserve">Ce groupement a proposé trois options possibles </w:t>
      </w:r>
      <w:r w:rsidRPr="002A3F16">
        <w:rPr>
          <w:rFonts w:ascii="Times New Roman" w:hAnsi="Times New Roman" w:cs="Times New Roman"/>
          <w:b/>
          <w:bCs/>
          <w:sz w:val="24"/>
          <w:szCs w:val="24"/>
        </w:rPr>
        <w:t>:</w:t>
      </w:r>
    </w:p>
    <w:p w:rsidR="002A3F16" w:rsidRPr="002A3F16" w:rsidRDefault="002A3F16" w:rsidP="002A3F16">
      <w:pPr>
        <w:numPr>
          <w:ilvl w:val="0"/>
          <w:numId w:val="27"/>
        </w:numPr>
        <w:autoSpaceDE w:val="0"/>
        <w:autoSpaceDN w:val="0"/>
        <w:adjustRightInd w:val="0"/>
        <w:spacing w:before="60" w:beforeAutospacing="0" w:after="60" w:afterAutospacing="0" w:line="276" w:lineRule="auto"/>
        <w:ind w:left="357" w:hanging="357"/>
        <w:contextualSpacing/>
        <w:jc w:val="both"/>
        <w:rPr>
          <w:rFonts w:ascii="TimesNewRoman" w:hAnsi="TimesNewRoman" w:cs="TimesNewRoman"/>
          <w:sz w:val="24"/>
          <w:szCs w:val="24"/>
        </w:rPr>
      </w:pPr>
      <w:r w:rsidRPr="002A3F16">
        <w:rPr>
          <w:rFonts w:ascii="TimesNewRoman" w:hAnsi="TimesNewRoman" w:cs="TimesNewRoman"/>
          <w:sz w:val="24"/>
          <w:szCs w:val="24"/>
        </w:rPr>
        <w:t>Maintien de la structure actuelle du Plan Comptable National avec des mises à jour pour tenir compte des modifications de l'environnement Economique et Juridique National.</w:t>
      </w:r>
    </w:p>
    <w:p w:rsidR="002A3F16" w:rsidRPr="002A3F16" w:rsidRDefault="002A3F16" w:rsidP="002A3F16">
      <w:pPr>
        <w:numPr>
          <w:ilvl w:val="0"/>
          <w:numId w:val="27"/>
        </w:numPr>
        <w:autoSpaceDE w:val="0"/>
        <w:autoSpaceDN w:val="0"/>
        <w:adjustRightInd w:val="0"/>
        <w:spacing w:before="60" w:beforeAutospacing="0" w:after="60" w:afterAutospacing="0" w:line="276" w:lineRule="auto"/>
        <w:ind w:left="357" w:hanging="357"/>
        <w:contextualSpacing/>
        <w:jc w:val="both"/>
        <w:rPr>
          <w:rFonts w:ascii="TimesNewRoman" w:hAnsi="TimesNewRoman" w:cs="TimesNewRoman"/>
          <w:sz w:val="24"/>
          <w:szCs w:val="24"/>
        </w:rPr>
      </w:pPr>
      <w:r w:rsidRPr="002A3F16">
        <w:rPr>
          <w:rFonts w:ascii="TimesNewRoman" w:hAnsi="TimesNewRoman" w:cs="TimesNewRoman"/>
          <w:sz w:val="24"/>
          <w:szCs w:val="24"/>
        </w:rPr>
        <w:t>Maintien de la structure actuelle du Plan Comptable National avec introduction de solutions techniques développées par les normes internationales.</w:t>
      </w:r>
    </w:p>
    <w:p w:rsidR="002A3F16" w:rsidRPr="002A3F16" w:rsidRDefault="002A3F16" w:rsidP="002A3F16">
      <w:pPr>
        <w:numPr>
          <w:ilvl w:val="0"/>
          <w:numId w:val="27"/>
        </w:numPr>
        <w:autoSpaceDE w:val="0"/>
        <w:autoSpaceDN w:val="0"/>
        <w:adjustRightInd w:val="0"/>
        <w:spacing w:before="60" w:beforeAutospacing="0" w:after="60" w:afterAutospacing="0" w:line="276" w:lineRule="auto"/>
        <w:ind w:left="357" w:hanging="357"/>
        <w:contextualSpacing/>
        <w:jc w:val="both"/>
        <w:rPr>
          <w:rFonts w:ascii="TimesNewRoman" w:hAnsi="TimesNewRoman" w:cs="TimesNewRoman"/>
          <w:sz w:val="24"/>
          <w:szCs w:val="24"/>
        </w:rPr>
      </w:pPr>
      <w:r w:rsidRPr="002A3F16">
        <w:rPr>
          <w:rFonts w:ascii="TimesNewRoman" w:hAnsi="TimesNewRoman" w:cs="TimesNewRoman"/>
          <w:sz w:val="24"/>
          <w:szCs w:val="24"/>
        </w:rPr>
        <w:t>Rédiger une version modernisée du Plan Comptable National sur la base de l'application des principes et règles retenus dans les normes internationales.</w:t>
      </w:r>
    </w:p>
    <w:p w:rsidR="002A3F16" w:rsidRPr="002A3F16" w:rsidRDefault="002A3F16" w:rsidP="002A3F16">
      <w:pPr>
        <w:spacing w:before="60" w:beforeAutospacing="0" w:after="60" w:afterAutospacing="0" w:line="276" w:lineRule="auto"/>
        <w:ind w:firstLine="284"/>
        <w:jc w:val="both"/>
        <w:rPr>
          <w:rFonts w:ascii="TimesNewRoman" w:hAnsi="TimesNewRoman" w:cs="TimesNewRoman"/>
          <w:sz w:val="24"/>
          <w:szCs w:val="24"/>
        </w:rPr>
      </w:pPr>
      <w:r w:rsidRPr="002A3F16">
        <w:rPr>
          <w:rFonts w:ascii="TimesNewRoman" w:hAnsi="TimesNewRoman" w:cs="TimesNewRoman"/>
          <w:sz w:val="24"/>
          <w:szCs w:val="24"/>
        </w:rPr>
        <w:lastRenderedPageBreak/>
        <w:t>Le CNC réuni en assemblée plénière le 05/09/2001 a retenu la 3</w:t>
      </w:r>
      <w:r w:rsidRPr="002A3F16">
        <w:rPr>
          <w:rFonts w:ascii="TimesNewRoman" w:hAnsi="TimesNewRoman" w:cs="TimesNewRoman"/>
          <w:sz w:val="24"/>
          <w:szCs w:val="24"/>
          <w:vertAlign w:val="superscript"/>
        </w:rPr>
        <w:t>ème</w:t>
      </w:r>
      <w:r w:rsidRPr="002A3F16">
        <w:rPr>
          <w:rFonts w:ascii="TimesNewRoman" w:hAnsi="TimesNewRoman" w:cs="TimesNewRoman"/>
          <w:sz w:val="24"/>
          <w:szCs w:val="24"/>
        </w:rPr>
        <w:t xml:space="preserve">option sur la base des arguments suivants </w:t>
      </w:r>
      <w:r w:rsidRPr="002A3F16">
        <w:rPr>
          <w:rFonts w:ascii="Times New Roman" w:hAnsi="Times New Roman" w:cs="Times New Roman"/>
          <w:b/>
          <w:bCs/>
          <w:sz w:val="24"/>
          <w:szCs w:val="24"/>
        </w:rPr>
        <w:t>:</w:t>
      </w:r>
    </w:p>
    <w:p w:rsidR="002A3F16" w:rsidRPr="002A3F16" w:rsidRDefault="002A3F16" w:rsidP="002A3F16">
      <w:pPr>
        <w:numPr>
          <w:ilvl w:val="0"/>
          <w:numId w:val="27"/>
        </w:numPr>
        <w:spacing w:before="60" w:beforeAutospacing="0" w:after="60" w:afterAutospacing="0" w:line="276" w:lineRule="auto"/>
        <w:contextualSpacing/>
        <w:jc w:val="both"/>
        <w:rPr>
          <w:rFonts w:ascii="TimesNewRoman" w:hAnsi="TimesNewRoman" w:cs="TimesNewRoman"/>
          <w:sz w:val="24"/>
          <w:szCs w:val="24"/>
        </w:rPr>
      </w:pPr>
      <w:r w:rsidRPr="002A3F16">
        <w:rPr>
          <w:rFonts w:ascii="TimesNewRoman" w:hAnsi="TimesNewRoman" w:cs="TimesNewRoman"/>
          <w:sz w:val="24"/>
          <w:szCs w:val="24"/>
        </w:rPr>
        <w:t>La nomenclature des comptes n'est pas normalisée à l'échelle internationale, il n'y a donc pas lieu de substituer une autre nomenclature des comptes à celle du Plan Comptable National.</w:t>
      </w:r>
    </w:p>
    <w:p w:rsidR="002A3F16" w:rsidRPr="002A3F16" w:rsidRDefault="002A3F16" w:rsidP="002A3F16">
      <w:pPr>
        <w:numPr>
          <w:ilvl w:val="0"/>
          <w:numId w:val="27"/>
        </w:numPr>
        <w:spacing w:before="60" w:beforeAutospacing="0" w:after="60" w:afterAutospacing="0" w:line="276" w:lineRule="auto"/>
        <w:contextualSpacing/>
        <w:jc w:val="both"/>
        <w:rPr>
          <w:rFonts w:ascii="TimesNewRoman" w:hAnsi="TimesNewRoman" w:cs="TimesNewRoman"/>
          <w:sz w:val="24"/>
          <w:szCs w:val="24"/>
        </w:rPr>
      </w:pPr>
      <w:r w:rsidRPr="002A3F16">
        <w:rPr>
          <w:rFonts w:ascii="TimesNewRoman" w:hAnsi="TimesNewRoman" w:cs="TimesNewRoman"/>
          <w:sz w:val="24"/>
          <w:szCs w:val="24"/>
        </w:rPr>
        <w:t>Les surcoûts inévitables qui seront induits par le changement du Plan Comptable National et qui vont affecter la pratique comptable actuelle, l'enseignement et la formation en comptabilité et la reconversion des logiciels comptables.</w:t>
      </w:r>
    </w:p>
    <w:p w:rsidR="002A3F16" w:rsidRPr="002A3F16" w:rsidRDefault="002A3F16" w:rsidP="002A3F16">
      <w:pPr>
        <w:spacing w:before="60" w:beforeAutospacing="0" w:after="60" w:afterAutospacing="0" w:line="276" w:lineRule="auto"/>
        <w:ind w:firstLine="284"/>
        <w:jc w:val="both"/>
        <w:rPr>
          <w:rFonts w:ascii="TimesNewRoman" w:hAnsi="TimesNewRoman" w:cs="TimesNewRoman"/>
          <w:sz w:val="24"/>
          <w:szCs w:val="24"/>
        </w:rPr>
      </w:pPr>
      <w:r w:rsidRPr="002A3F16">
        <w:rPr>
          <w:rFonts w:ascii="TimesNewRoman" w:hAnsi="TimesNewRoman" w:cs="TimesNewRoman"/>
          <w:sz w:val="24"/>
          <w:szCs w:val="24"/>
        </w:rPr>
        <w:t>Par contre, l'adoption d'un nouveau cadre comptable se justifie par :</w:t>
      </w:r>
    </w:p>
    <w:p w:rsidR="002A3F16" w:rsidRPr="002A3F16" w:rsidRDefault="002A3F16" w:rsidP="002A3F16">
      <w:pPr>
        <w:numPr>
          <w:ilvl w:val="0"/>
          <w:numId w:val="27"/>
        </w:numPr>
        <w:autoSpaceDE w:val="0"/>
        <w:autoSpaceDN w:val="0"/>
        <w:adjustRightInd w:val="0"/>
        <w:spacing w:before="60" w:beforeAutospacing="0" w:after="60" w:afterAutospacing="0" w:line="276" w:lineRule="auto"/>
        <w:contextualSpacing/>
        <w:jc w:val="both"/>
        <w:rPr>
          <w:rFonts w:ascii="TimesNewRoman" w:hAnsi="TimesNewRoman" w:cs="TimesNewRoman"/>
          <w:sz w:val="24"/>
          <w:szCs w:val="24"/>
        </w:rPr>
      </w:pPr>
      <w:r w:rsidRPr="002A3F16">
        <w:rPr>
          <w:rFonts w:ascii="TimesNewRoman" w:hAnsi="TimesNewRoman" w:cs="TimesNewRoman"/>
          <w:sz w:val="24"/>
          <w:szCs w:val="24"/>
        </w:rPr>
        <w:t>L'élaboration d'un nouveau Plan Comptable conforme aux normes et pratiques comptables Internationales.</w:t>
      </w:r>
    </w:p>
    <w:p w:rsidR="002A3F16" w:rsidRPr="002A3F16" w:rsidRDefault="002A3F16" w:rsidP="002A3F16">
      <w:pPr>
        <w:numPr>
          <w:ilvl w:val="0"/>
          <w:numId w:val="27"/>
        </w:numPr>
        <w:autoSpaceDE w:val="0"/>
        <w:autoSpaceDN w:val="0"/>
        <w:adjustRightInd w:val="0"/>
        <w:spacing w:before="60" w:beforeAutospacing="0" w:after="60" w:afterAutospacing="0" w:line="276" w:lineRule="auto"/>
        <w:contextualSpacing/>
        <w:jc w:val="both"/>
        <w:rPr>
          <w:rFonts w:ascii="TimesNewRoman" w:hAnsi="TimesNewRoman" w:cs="TimesNewRoman"/>
          <w:sz w:val="24"/>
          <w:szCs w:val="24"/>
        </w:rPr>
      </w:pPr>
      <w:r w:rsidRPr="002A3F16">
        <w:rPr>
          <w:rFonts w:ascii="TimesNewRoman" w:hAnsi="TimesNewRoman" w:cs="TimesNewRoman"/>
          <w:sz w:val="24"/>
          <w:szCs w:val="24"/>
        </w:rPr>
        <w:t>L'arrimage à une pratique comptable usitée dans de nombreux pays Européens et Africains.</w:t>
      </w:r>
    </w:p>
    <w:p w:rsidR="002A3F16" w:rsidRPr="002A3F16" w:rsidRDefault="002A3F16" w:rsidP="002A3F16">
      <w:pPr>
        <w:spacing w:before="60" w:beforeAutospacing="0" w:after="60" w:afterAutospacing="0" w:line="276" w:lineRule="auto"/>
        <w:ind w:firstLine="284"/>
        <w:jc w:val="both"/>
        <w:rPr>
          <w:rFonts w:ascii="TimesNewRoman" w:hAnsi="TimesNewRoman" w:cs="TimesNewRoman"/>
          <w:sz w:val="24"/>
          <w:szCs w:val="24"/>
        </w:rPr>
      </w:pPr>
      <w:r w:rsidRPr="002A3F16">
        <w:rPr>
          <w:rFonts w:ascii="TimesNewRoman" w:hAnsi="TimesNewRoman" w:cs="TimesNewRoman"/>
          <w:sz w:val="24"/>
          <w:szCs w:val="24"/>
        </w:rPr>
        <w:t>Les travaux de modernisation du Plan Comptable financés par un don de la Banque Mondiale ont été lancés en Avril 2001. Le délai de réalisation était de 12 mois. L'</w:t>
      </w:r>
      <w:proofErr w:type="spellStart"/>
      <w:r w:rsidRPr="002A3F16">
        <w:rPr>
          <w:rFonts w:ascii="TimesNewRoman" w:hAnsi="TimesNewRoman" w:cs="TimesNewRoman"/>
          <w:sz w:val="24"/>
          <w:szCs w:val="24"/>
        </w:rPr>
        <w:t>avant projet</w:t>
      </w:r>
      <w:proofErr w:type="spellEnd"/>
      <w:r w:rsidRPr="002A3F16">
        <w:rPr>
          <w:rFonts w:ascii="TimesNewRoman" w:hAnsi="TimesNewRoman" w:cs="TimesNewRoman"/>
          <w:sz w:val="24"/>
          <w:szCs w:val="24"/>
        </w:rPr>
        <w:t xml:space="preserve"> du Plan Comptable largement inspiré des normes internationales et du Plan Comptable Français de 1999, a été diffusé en décembre 2005 et promulgué par la loi 07-11.</w:t>
      </w:r>
    </w:p>
    <w:p w:rsidR="002A3F16" w:rsidRPr="002A3F16" w:rsidRDefault="002A3F16" w:rsidP="002A3F16">
      <w:pPr>
        <w:spacing w:before="60" w:beforeAutospacing="0" w:after="60" w:afterAutospacing="0" w:line="276" w:lineRule="auto"/>
        <w:ind w:firstLine="284"/>
        <w:jc w:val="both"/>
        <w:rPr>
          <w:rFonts w:ascii="TimesNewRoman" w:hAnsi="TimesNewRoman" w:cs="TimesNewRoman"/>
          <w:sz w:val="24"/>
          <w:szCs w:val="24"/>
        </w:rPr>
      </w:pPr>
      <w:r w:rsidRPr="002A3F16">
        <w:rPr>
          <w:rFonts w:ascii="TimesNewRoman" w:hAnsi="TimesNewRoman" w:cs="TimesNewRoman"/>
          <w:sz w:val="24"/>
          <w:szCs w:val="24"/>
        </w:rPr>
        <w:t>D’autre part, la réglementation comptable en Algérie a vu s’instaurer une nouvelle loi qui concerne le traitement  automatisé de l’information comptable. Effectivement, en 2009 le décret exécutif n° 09-110 fixant les conditions et modalités de tenue de la comptabilité au moyen de systèmes informatiques, a vu le jour. Nous notons qu’au pare avant aucune réglementation concernant la tenue de la comptabilité au moyen de systèmes informatiques n’était mise en place malgré que la plupart des entreprises algériennes disposées de systèmes comptables informatisés.</w:t>
      </w:r>
    </w:p>
    <w:p w:rsidR="002A3F16" w:rsidRPr="002A3F16" w:rsidRDefault="002A3F16" w:rsidP="002A3F16">
      <w:pPr>
        <w:spacing w:before="60" w:beforeAutospacing="0" w:after="60" w:afterAutospacing="0" w:line="276" w:lineRule="auto"/>
        <w:ind w:firstLine="284"/>
        <w:jc w:val="both"/>
        <w:rPr>
          <w:rFonts w:ascii="TimesNewRoman" w:hAnsi="TimesNewRoman" w:cs="TimesNewRoman"/>
          <w:sz w:val="24"/>
          <w:szCs w:val="24"/>
        </w:rPr>
      </w:pPr>
      <w:r w:rsidRPr="002A3F16">
        <w:rPr>
          <w:rFonts w:ascii="TimesNewRoman" w:hAnsi="TimesNewRoman" w:cs="TimesNewRoman"/>
          <w:sz w:val="24"/>
          <w:szCs w:val="24"/>
        </w:rPr>
        <w:t xml:space="preserve">En conclusion, cette période n’a connue aucun effort de normalisation depuis la promulgation du Plan Comptable National, jusqu’à l’adoption du nouveau référentiel comptable. Dès lors, les professionnels, procédaient de façon volontariste, à l'application stricte des règles fiscales et de façon implicite recourent aux principes comptables généralement admis pour traduire </w:t>
      </w:r>
      <w:proofErr w:type="spellStart"/>
      <w:r w:rsidRPr="002A3F16">
        <w:rPr>
          <w:rFonts w:ascii="TimesNewRoman" w:hAnsi="TimesNewRoman" w:cs="TimesNewRoman"/>
          <w:sz w:val="24"/>
          <w:szCs w:val="24"/>
        </w:rPr>
        <w:t>comptablement</w:t>
      </w:r>
      <w:proofErr w:type="spellEnd"/>
      <w:r w:rsidRPr="002A3F16">
        <w:rPr>
          <w:rFonts w:ascii="TimesNewRoman" w:hAnsi="TimesNewRoman" w:cs="TimesNewRoman"/>
          <w:sz w:val="24"/>
          <w:szCs w:val="24"/>
        </w:rPr>
        <w:t xml:space="preserve"> tout fait économique de nature exceptionnelle. L’arrivée du SCF est supposée donc résoudre les problèmes des praticiens et des analystes en favorisant la production d’une information financière plus complète. </w:t>
      </w:r>
    </w:p>
    <w:p w:rsidR="002A3F16" w:rsidRPr="002A3F16" w:rsidRDefault="002A3F16" w:rsidP="002A3F16">
      <w:pPr>
        <w:spacing w:before="120" w:beforeAutospacing="0" w:after="120" w:afterAutospacing="0" w:line="276" w:lineRule="auto"/>
        <w:jc w:val="both"/>
        <w:rPr>
          <w:rFonts w:ascii="Times New Roman" w:hAnsi="Times New Roman" w:cs="Times New Roman"/>
          <w:b/>
          <w:sz w:val="26"/>
          <w:szCs w:val="26"/>
        </w:rPr>
      </w:pPr>
      <w:r w:rsidRPr="002A3F16">
        <w:rPr>
          <w:rFonts w:ascii="Times New Roman" w:hAnsi="Times New Roman" w:cs="Times New Roman"/>
          <w:b/>
          <w:sz w:val="26"/>
          <w:szCs w:val="26"/>
        </w:rPr>
        <w:t>1.2. Autorités de réglementation comptable en Algérie</w:t>
      </w:r>
    </w:p>
    <w:p w:rsidR="002A3F16" w:rsidRPr="002A3F16" w:rsidRDefault="002A3F16" w:rsidP="002A3F16">
      <w:pPr>
        <w:spacing w:before="60" w:beforeAutospacing="0" w:after="60" w:afterAutospacing="0" w:line="276" w:lineRule="auto"/>
        <w:ind w:firstLine="284"/>
        <w:jc w:val="both"/>
        <w:rPr>
          <w:rFonts w:ascii="TimesNewRoman" w:hAnsi="TimesNewRoman" w:cs="TimesNewRoman"/>
          <w:sz w:val="24"/>
          <w:szCs w:val="24"/>
        </w:rPr>
      </w:pPr>
      <w:r w:rsidRPr="002A3F16">
        <w:rPr>
          <w:rFonts w:ascii="TimesNewRoman" w:hAnsi="TimesNewRoman" w:cs="TimesNewRoman"/>
          <w:sz w:val="24"/>
          <w:szCs w:val="24"/>
        </w:rPr>
        <w:t xml:space="preserve">La tâche d’élaborer le Plan comptable de 1975 a été confiée au Conseil Supérieur de la Technique Comptable en décembre 1971. A cette époque ce conseil était considéré comme le premier concepteur de la régulation comptable en Algérie. En revanche, depuis 1996, l’organe officiel de la normalisation comptable en Algérie est le Conseil National de Comptabilité. </w:t>
      </w:r>
    </w:p>
    <w:p w:rsidR="002A3F16" w:rsidRPr="002A3F16" w:rsidRDefault="002A3F16" w:rsidP="002A3F16">
      <w:pPr>
        <w:numPr>
          <w:ilvl w:val="0"/>
          <w:numId w:val="28"/>
        </w:numPr>
        <w:spacing w:before="60" w:beforeAutospacing="0" w:after="60" w:afterAutospacing="0" w:line="276" w:lineRule="auto"/>
        <w:contextualSpacing/>
        <w:jc w:val="both"/>
        <w:rPr>
          <w:rFonts w:ascii="TimesNewRoman" w:hAnsi="TimesNewRoman" w:cs="TimesNewRoman"/>
          <w:b/>
          <w:sz w:val="24"/>
          <w:szCs w:val="24"/>
        </w:rPr>
      </w:pPr>
      <w:r w:rsidRPr="002A3F16">
        <w:rPr>
          <w:rFonts w:ascii="TimesNewRoman" w:hAnsi="TimesNewRoman" w:cs="TimesNewRoman"/>
          <w:b/>
          <w:sz w:val="24"/>
          <w:szCs w:val="24"/>
        </w:rPr>
        <w:lastRenderedPageBreak/>
        <w:t>Le Conseil National de Comptabilité</w:t>
      </w:r>
    </w:p>
    <w:p w:rsidR="002A3F16" w:rsidRPr="002A3F16" w:rsidRDefault="002A3F16" w:rsidP="002A3F16">
      <w:pPr>
        <w:spacing w:before="60" w:beforeAutospacing="0" w:after="60" w:afterAutospacing="0" w:line="276" w:lineRule="auto"/>
        <w:ind w:firstLine="284"/>
        <w:jc w:val="both"/>
        <w:rPr>
          <w:rFonts w:ascii="TimesNewRoman" w:hAnsi="TimesNewRoman" w:cs="TimesNewRoman"/>
          <w:sz w:val="24"/>
          <w:szCs w:val="24"/>
        </w:rPr>
      </w:pPr>
      <w:r w:rsidRPr="002A3F16">
        <w:rPr>
          <w:rFonts w:ascii="TimesNewRoman" w:hAnsi="TimesNewRoman" w:cs="TimesNewRoman"/>
          <w:sz w:val="24"/>
          <w:szCs w:val="24"/>
        </w:rPr>
        <w:t xml:space="preserve">Le CNC est un organe interministériel et interprofessionnel créé auprès du ministère des Finances par décret exécutif n° 96-318 du 25 septembre 1996. Il a pour mission de prendre en charge les travaux de coordination et de synthèse dans le domaine de la recherche et de la normalisation comptable et des applications y afférentes. </w:t>
      </w:r>
    </w:p>
    <w:p w:rsidR="002A3F16" w:rsidRPr="002A3F16" w:rsidRDefault="002A3F16" w:rsidP="002A3F16">
      <w:pPr>
        <w:spacing w:before="60" w:beforeAutospacing="0" w:after="60" w:afterAutospacing="0" w:line="276" w:lineRule="auto"/>
        <w:ind w:firstLine="284"/>
        <w:jc w:val="both"/>
        <w:rPr>
          <w:rFonts w:ascii="TimesNewRoman" w:hAnsi="TimesNewRoman" w:cs="TimesNewRoman"/>
          <w:sz w:val="24"/>
          <w:szCs w:val="24"/>
        </w:rPr>
      </w:pPr>
      <w:r w:rsidRPr="002A3F16">
        <w:rPr>
          <w:rFonts w:ascii="TimesNewRoman" w:hAnsi="TimesNewRoman" w:cs="TimesNewRoman"/>
          <w:sz w:val="24"/>
          <w:szCs w:val="24"/>
        </w:rPr>
        <w:t>Dans le cadre de ses prérogatives, le CNC doit notamment :</w:t>
      </w:r>
    </w:p>
    <w:p w:rsidR="002A3F16" w:rsidRPr="002A3F16" w:rsidRDefault="002A3F16" w:rsidP="002A3F16">
      <w:pPr>
        <w:numPr>
          <w:ilvl w:val="0"/>
          <w:numId w:val="28"/>
        </w:numPr>
        <w:spacing w:before="60" w:beforeAutospacing="0" w:after="60" w:afterAutospacing="0" w:line="276" w:lineRule="auto"/>
        <w:contextualSpacing/>
        <w:jc w:val="both"/>
        <w:rPr>
          <w:rFonts w:ascii="TimesNewRoman" w:hAnsi="TimesNewRoman" w:cs="TimesNewRoman"/>
          <w:sz w:val="24"/>
          <w:szCs w:val="24"/>
        </w:rPr>
      </w:pPr>
      <w:r w:rsidRPr="002A3F16">
        <w:rPr>
          <w:rFonts w:ascii="TimesNewRoman" w:hAnsi="TimesNewRoman" w:cs="TimesNewRoman"/>
          <w:sz w:val="24"/>
          <w:szCs w:val="24"/>
        </w:rPr>
        <w:t xml:space="preserve">Réunir et exploiter toutes informations et documentations relatives à la comptabilité et à son enseignement ; </w:t>
      </w:r>
    </w:p>
    <w:p w:rsidR="002A3F16" w:rsidRPr="002A3F16" w:rsidRDefault="002A3F16" w:rsidP="002A3F16">
      <w:pPr>
        <w:numPr>
          <w:ilvl w:val="0"/>
          <w:numId w:val="28"/>
        </w:numPr>
        <w:spacing w:before="60" w:beforeAutospacing="0" w:after="60" w:afterAutospacing="0" w:line="276" w:lineRule="auto"/>
        <w:contextualSpacing/>
        <w:jc w:val="both"/>
        <w:rPr>
          <w:rFonts w:ascii="TimesNewRoman" w:hAnsi="TimesNewRoman" w:cs="TimesNewRoman"/>
          <w:sz w:val="24"/>
          <w:szCs w:val="24"/>
        </w:rPr>
      </w:pPr>
      <w:r w:rsidRPr="002A3F16">
        <w:rPr>
          <w:rFonts w:ascii="TimesNewRoman" w:hAnsi="TimesNewRoman" w:cs="TimesNewRoman"/>
          <w:sz w:val="24"/>
          <w:szCs w:val="24"/>
        </w:rPr>
        <w:t xml:space="preserve">Proposer toutes les mesures visant la normalisation des comptabilités et leur exploitation rationnelle ; </w:t>
      </w:r>
    </w:p>
    <w:p w:rsidR="002A3F16" w:rsidRPr="002A3F16" w:rsidRDefault="002A3F16" w:rsidP="002A3F16">
      <w:pPr>
        <w:numPr>
          <w:ilvl w:val="0"/>
          <w:numId w:val="28"/>
        </w:numPr>
        <w:spacing w:before="60" w:beforeAutospacing="0" w:after="60" w:afterAutospacing="0" w:line="276" w:lineRule="auto"/>
        <w:contextualSpacing/>
        <w:jc w:val="both"/>
        <w:rPr>
          <w:rFonts w:ascii="TimesNewRoman" w:hAnsi="TimesNewRoman" w:cs="TimesNewRoman"/>
          <w:sz w:val="24"/>
          <w:szCs w:val="24"/>
        </w:rPr>
      </w:pPr>
      <w:r w:rsidRPr="002A3F16">
        <w:rPr>
          <w:rFonts w:ascii="TimesNewRoman" w:hAnsi="TimesNewRoman" w:cs="TimesNewRoman"/>
          <w:sz w:val="24"/>
          <w:szCs w:val="24"/>
        </w:rPr>
        <w:t>Examiner et donner son avis et ses recommandations sur tous les projets de textes juridiques se rapportant à la comptabilité ;</w:t>
      </w:r>
    </w:p>
    <w:p w:rsidR="002A3F16" w:rsidRPr="002A3F16" w:rsidRDefault="002A3F16" w:rsidP="002A3F16">
      <w:pPr>
        <w:numPr>
          <w:ilvl w:val="0"/>
          <w:numId w:val="28"/>
        </w:numPr>
        <w:spacing w:before="60" w:beforeAutospacing="0" w:after="60" w:afterAutospacing="0" w:line="276" w:lineRule="auto"/>
        <w:contextualSpacing/>
        <w:jc w:val="both"/>
        <w:rPr>
          <w:rFonts w:ascii="TimesNewRoman" w:hAnsi="TimesNewRoman" w:cs="TimesNewRoman"/>
          <w:sz w:val="24"/>
          <w:szCs w:val="24"/>
        </w:rPr>
      </w:pPr>
      <w:r w:rsidRPr="002A3F16">
        <w:rPr>
          <w:rFonts w:ascii="TimesNewRoman" w:hAnsi="TimesNewRoman" w:cs="TimesNewRoman"/>
          <w:sz w:val="24"/>
          <w:szCs w:val="24"/>
        </w:rPr>
        <w:t>Suivre à l’évolution au plan international des méthodes, organisations et instruments se rapportant à la comptabilité ;</w:t>
      </w:r>
    </w:p>
    <w:p w:rsidR="002A3F16" w:rsidRPr="002A3F16" w:rsidRDefault="002A3F16" w:rsidP="002A3F16">
      <w:pPr>
        <w:numPr>
          <w:ilvl w:val="0"/>
          <w:numId w:val="28"/>
        </w:numPr>
        <w:spacing w:before="60" w:beforeAutospacing="0" w:after="60" w:afterAutospacing="0" w:line="276" w:lineRule="auto"/>
        <w:contextualSpacing/>
        <w:jc w:val="both"/>
        <w:rPr>
          <w:rFonts w:ascii="TimesNewRoman" w:hAnsi="TimesNewRoman" w:cs="TimesNewRoman"/>
          <w:sz w:val="24"/>
          <w:szCs w:val="24"/>
        </w:rPr>
      </w:pPr>
      <w:r w:rsidRPr="002A3F16">
        <w:rPr>
          <w:rFonts w:ascii="TimesNewRoman" w:hAnsi="TimesNewRoman" w:cs="TimesNewRoman"/>
          <w:sz w:val="24"/>
          <w:szCs w:val="24"/>
        </w:rPr>
        <w:t>Organiser toutes manifestations et rencontres à caractère technique entrant dans le champ de ces compétences ;</w:t>
      </w:r>
    </w:p>
    <w:p w:rsidR="002A3F16" w:rsidRPr="002A3F16" w:rsidRDefault="002A3F16" w:rsidP="002A3F16">
      <w:pPr>
        <w:spacing w:before="60" w:beforeAutospacing="0" w:after="60" w:afterAutospacing="0" w:line="276" w:lineRule="auto"/>
        <w:ind w:firstLine="284"/>
        <w:jc w:val="both"/>
        <w:rPr>
          <w:rFonts w:ascii="TimesNewRoman" w:hAnsi="TimesNewRoman" w:cs="TimesNewRoman"/>
          <w:sz w:val="24"/>
          <w:szCs w:val="24"/>
        </w:rPr>
      </w:pPr>
      <w:r w:rsidRPr="002A3F16">
        <w:rPr>
          <w:rFonts w:ascii="TimesNewRoman" w:hAnsi="TimesNewRoman" w:cs="TimesNewRoman"/>
          <w:sz w:val="24"/>
          <w:szCs w:val="24"/>
        </w:rPr>
        <w:t>Le CNC est composé de 24 membres représentants divers secteurs. Et est constitué de 4 instances :</w:t>
      </w:r>
    </w:p>
    <w:p w:rsidR="002A3F16" w:rsidRPr="002A3F16" w:rsidRDefault="002A3F16" w:rsidP="002A3F16">
      <w:pPr>
        <w:numPr>
          <w:ilvl w:val="0"/>
          <w:numId w:val="29"/>
        </w:numPr>
        <w:spacing w:before="60" w:beforeAutospacing="0" w:after="60" w:afterAutospacing="0" w:line="276" w:lineRule="auto"/>
        <w:contextualSpacing/>
        <w:jc w:val="both"/>
        <w:rPr>
          <w:rFonts w:ascii="TimesNewRoman" w:hAnsi="TimesNewRoman" w:cs="TimesNewRoman"/>
          <w:sz w:val="24"/>
          <w:szCs w:val="24"/>
        </w:rPr>
      </w:pPr>
      <w:r w:rsidRPr="002A3F16">
        <w:rPr>
          <w:rFonts w:ascii="TimesNewRoman" w:hAnsi="TimesNewRoman" w:cs="TimesNewRoman"/>
          <w:sz w:val="24"/>
          <w:szCs w:val="24"/>
        </w:rPr>
        <w:t>L’assemblée plénière ;</w:t>
      </w:r>
    </w:p>
    <w:p w:rsidR="002A3F16" w:rsidRPr="002A3F16" w:rsidRDefault="002A3F16" w:rsidP="002A3F16">
      <w:pPr>
        <w:numPr>
          <w:ilvl w:val="0"/>
          <w:numId w:val="29"/>
        </w:numPr>
        <w:spacing w:before="60" w:beforeAutospacing="0" w:after="60" w:afterAutospacing="0" w:line="276" w:lineRule="auto"/>
        <w:contextualSpacing/>
        <w:jc w:val="both"/>
        <w:rPr>
          <w:rFonts w:ascii="TimesNewRoman" w:hAnsi="TimesNewRoman" w:cs="TimesNewRoman"/>
          <w:sz w:val="24"/>
          <w:szCs w:val="24"/>
        </w:rPr>
      </w:pPr>
      <w:r w:rsidRPr="002A3F16">
        <w:rPr>
          <w:rFonts w:ascii="TimesNewRoman" w:hAnsi="TimesNewRoman" w:cs="TimesNewRoman"/>
          <w:sz w:val="24"/>
          <w:szCs w:val="24"/>
        </w:rPr>
        <w:t>Le bureau ;</w:t>
      </w:r>
    </w:p>
    <w:p w:rsidR="002A3F16" w:rsidRPr="002A3F16" w:rsidRDefault="002A3F16" w:rsidP="002A3F16">
      <w:pPr>
        <w:numPr>
          <w:ilvl w:val="0"/>
          <w:numId w:val="29"/>
        </w:numPr>
        <w:spacing w:before="60" w:beforeAutospacing="0" w:after="60" w:afterAutospacing="0" w:line="276" w:lineRule="auto"/>
        <w:contextualSpacing/>
        <w:jc w:val="both"/>
        <w:rPr>
          <w:rFonts w:ascii="TimesNewRoman" w:hAnsi="TimesNewRoman" w:cs="TimesNewRoman"/>
          <w:sz w:val="24"/>
          <w:szCs w:val="24"/>
        </w:rPr>
      </w:pPr>
      <w:r w:rsidRPr="002A3F16">
        <w:rPr>
          <w:rFonts w:ascii="TimesNewRoman" w:hAnsi="TimesNewRoman" w:cs="TimesNewRoman"/>
          <w:sz w:val="24"/>
          <w:szCs w:val="24"/>
        </w:rPr>
        <w:t>Le comité des applications comptables ;</w:t>
      </w:r>
    </w:p>
    <w:p w:rsidR="002A3F16" w:rsidRPr="002A3F16" w:rsidRDefault="002A3F16" w:rsidP="002A3F16">
      <w:pPr>
        <w:numPr>
          <w:ilvl w:val="0"/>
          <w:numId w:val="29"/>
        </w:numPr>
        <w:spacing w:before="60" w:beforeAutospacing="0" w:after="60" w:afterAutospacing="0" w:line="276" w:lineRule="auto"/>
        <w:contextualSpacing/>
        <w:jc w:val="both"/>
        <w:rPr>
          <w:rFonts w:ascii="TimesNewRoman" w:hAnsi="TimesNewRoman" w:cs="TimesNewRoman"/>
          <w:sz w:val="24"/>
          <w:szCs w:val="24"/>
        </w:rPr>
      </w:pPr>
      <w:r w:rsidRPr="002A3F16">
        <w:rPr>
          <w:rFonts w:ascii="TimesNewRoman" w:hAnsi="TimesNewRoman" w:cs="TimesNewRoman"/>
          <w:sz w:val="24"/>
          <w:szCs w:val="24"/>
        </w:rPr>
        <w:t>Et huit commissions techniques.</w:t>
      </w:r>
    </w:p>
    <w:p w:rsidR="002A3F16" w:rsidRPr="002A3F16" w:rsidRDefault="002A3F16" w:rsidP="002A3F16">
      <w:pPr>
        <w:spacing w:before="60" w:beforeAutospacing="0" w:after="60" w:afterAutospacing="0" w:line="276" w:lineRule="auto"/>
        <w:ind w:firstLine="284"/>
        <w:jc w:val="both"/>
        <w:rPr>
          <w:rFonts w:ascii="TimesNewRoman" w:hAnsi="TimesNewRoman" w:cs="TimesNewRoman"/>
          <w:sz w:val="24"/>
          <w:szCs w:val="24"/>
        </w:rPr>
      </w:pPr>
      <w:r w:rsidRPr="002A3F16">
        <w:rPr>
          <w:rFonts w:ascii="TimesNewRoman" w:hAnsi="TimesNewRoman" w:cs="TimesNewRoman"/>
          <w:sz w:val="24"/>
          <w:szCs w:val="24"/>
        </w:rPr>
        <w:t xml:space="preserve">Le CNC peut connaître de toutes les questions se rapportant à son domaine de compétence à la demande du Ministre des Finances ou de sa propre initiative. Il peut être consulté par les commissions des assemblées élues, organismes, sociétés ou personnes intéressée par ses travaux.  </w:t>
      </w:r>
    </w:p>
    <w:p w:rsidR="002A3F16" w:rsidRPr="002A3F16" w:rsidRDefault="002A3F16" w:rsidP="002A3F16">
      <w:pPr>
        <w:numPr>
          <w:ilvl w:val="0"/>
          <w:numId w:val="28"/>
        </w:numPr>
        <w:spacing w:before="60" w:beforeAutospacing="0" w:after="60" w:afterAutospacing="0" w:line="276" w:lineRule="auto"/>
        <w:contextualSpacing/>
        <w:jc w:val="both"/>
        <w:rPr>
          <w:rFonts w:ascii="TimesNewRoman" w:hAnsi="TimesNewRoman" w:cs="TimesNewRoman"/>
          <w:b/>
          <w:sz w:val="24"/>
          <w:szCs w:val="24"/>
        </w:rPr>
      </w:pPr>
      <w:r w:rsidRPr="002A3F16">
        <w:rPr>
          <w:rFonts w:ascii="TimesNewRoman" w:hAnsi="TimesNewRoman" w:cs="TimesNewRoman"/>
          <w:b/>
          <w:sz w:val="24"/>
          <w:szCs w:val="24"/>
        </w:rPr>
        <w:t xml:space="preserve">Ordre national des experts comptables, commissaires aux comptes et comptables agrées  </w:t>
      </w:r>
    </w:p>
    <w:p w:rsidR="002A3F16" w:rsidRPr="002A3F16" w:rsidRDefault="002A3F16" w:rsidP="002A3F16">
      <w:pPr>
        <w:spacing w:before="60" w:beforeAutospacing="0" w:after="60" w:afterAutospacing="0" w:line="276" w:lineRule="auto"/>
        <w:ind w:firstLine="284"/>
        <w:jc w:val="both"/>
        <w:rPr>
          <w:rFonts w:ascii="TimesNewRoman" w:hAnsi="TimesNewRoman" w:cs="TimesNewRoman"/>
          <w:sz w:val="24"/>
          <w:szCs w:val="24"/>
        </w:rPr>
      </w:pPr>
      <w:r w:rsidRPr="002A3F16">
        <w:rPr>
          <w:rFonts w:ascii="TimesNewRoman" w:hAnsi="TimesNewRoman" w:cs="TimesNewRoman"/>
          <w:sz w:val="24"/>
          <w:szCs w:val="24"/>
        </w:rPr>
        <w:t>L’ordre national des experts comptables, commissaires aux comptes et comptables agrées a été créé conformément à l’article 5 de la loi n° 91-08 du 27 Avril 1991. Il est doté de la personnalité civile, regroupant les personnes physiques ou morales habilitées à exercer la profession d’expert-comptable, de commissaire aux comptes et de comptable agréé. Il est chargé :</w:t>
      </w:r>
    </w:p>
    <w:p w:rsidR="002A3F16" w:rsidRPr="002A3F16" w:rsidRDefault="002A3F16" w:rsidP="002A3F16">
      <w:pPr>
        <w:numPr>
          <w:ilvl w:val="0"/>
          <w:numId w:val="28"/>
        </w:numPr>
        <w:spacing w:before="60" w:beforeAutospacing="0" w:after="60" w:afterAutospacing="0" w:line="276" w:lineRule="auto"/>
        <w:contextualSpacing/>
        <w:jc w:val="both"/>
        <w:rPr>
          <w:rFonts w:ascii="TimesNewRoman" w:hAnsi="TimesNewRoman" w:cs="TimesNewRoman"/>
          <w:sz w:val="24"/>
          <w:szCs w:val="24"/>
        </w:rPr>
      </w:pPr>
      <w:r w:rsidRPr="002A3F16">
        <w:rPr>
          <w:rFonts w:ascii="TimesNewRoman" w:hAnsi="TimesNewRoman" w:cs="TimesNewRoman"/>
          <w:sz w:val="24"/>
          <w:szCs w:val="24"/>
        </w:rPr>
        <w:t>De veiller à l’organisation et au bon exercice de la profession ;</w:t>
      </w:r>
    </w:p>
    <w:p w:rsidR="002A3F16" w:rsidRPr="002A3F16" w:rsidRDefault="002A3F16" w:rsidP="002A3F16">
      <w:pPr>
        <w:numPr>
          <w:ilvl w:val="0"/>
          <w:numId w:val="28"/>
        </w:numPr>
        <w:spacing w:before="60" w:beforeAutospacing="0" w:after="60" w:afterAutospacing="0" w:line="276" w:lineRule="auto"/>
        <w:contextualSpacing/>
        <w:jc w:val="both"/>
        <w:rPr>
          <w:rFonts w:ascii="TimesNewRoman" w:hAnsi="TimesNewRoman" w:cs="TimesNewRoman"/>
          <w:sz w:val="24"/>
          <w:szCs w:val="24"/>
        </w:rPr>
      </w:pPr>
      <w:r w:rsidRPr="002A3F16">
        <w:rPr>
          <w:rFonts w:ascii="TimesNewRoman" w:hAnsi="TimesNewRoman" w:cs="TimesNewRoman"/>
          <w:sz w:val="24"/>
          <w:szCs w:val="24"/>
        </w:rPr>
        <w:t>De défendre l’honneur et l’indépendance de ses membres ;</w:t>
      </w:r>
    </w:p>
    <w:p w:rsidR="002A3F16" w:rsidRPr="002A3F16" w:rsidRDefault="002A3F16" w:rsidP="002A3F16">
      <w:pPr>
        <w:numPr>
          <w:ilvl w:val="0"/>
          <w:numId w:val="28"/>
        </w:numPr>
        <w:spacing w:before="60" w:beforeAutospacing="0" w:after="60" w:afterAutospacing="0" w:line="276" w:lineRule="auto"/>
        <w:contextualSpacing/>
        <w:jc w:val="both"/>
        <w:rPr>
          <w:rFonts w:ascii="TimesNewRoman" w:hAnsi="TimesNewRoman" w:cs="TimesNewRoman"/>
          <w:sz w:val="24"/>
          <w:szCs w:val="24"/>
        </w:rPr>
      </w:pPr>
      <w:r w:rsidRPr="002A3F16">
        <w:rPr>
          <w:rFonts w:ascii="TimesNewRoman" w:hAnsi="TimesNewRoman" w:cs="TimesNewRoman"/>
          <w:sz w:val="24"/>
          <w:szCs w:val="24"/>
        </w:rPr>
        <w:t xml:space="preserve">D’élaborer le règlement intérieur qui détermine notamment les conditions d’inscription, de suppression ou de radiation du tableau de l’ordre. </w:t>
      </w:r>
    </w:p>
    <w:p w:rsidR="002A3F16" w:rsidRPr="002A3F16" w:rsidRDefault="002A3F16" w:rsidP="002A3F16">
      <w:pPr>
        <w:spacing w:before="60" w:beforeAutospacing="0" w:after="60" w:afterAutospacing="0" w:line="276" w:lineRule="auto"/>
        <w:ind w:firstLine="284"/>
        <w:jc w:val="both"/>
        <w:rPr>
          <w:rFonts w:ascii="TimesNewRoman" w:hAnsi="TimesNewRoman" w:cs="TimesNewRoman"/>
          <w:sz w:val="24"/>
          <w:szCs w:val="24"/>
        </w:rPr>
      </w:pPr>
      <w:r w:rsidRPr="002A3F16">
        <w:rPr>
          <w:rFonts w:ascii="TimesNewRoman" w:hAnsi="TimesNewRoman" w:cs="TimesNewRoman"/>
          <w:sz w:val="24"/>
          <w:szCs w:val="24"/>
        </w:rPr>
        <w:lastRenderedPageBreak/>
        <w:t>L’ordre national est administré par un conseil dont les attributions, la composition et les règles de fonctionnement de l’ordre sont définies par le décret exécutif n° 92-20 du 13 Janvier 1992. Ce conseil est chargé :</w:t>
      </w:r>
    </w:p>
    <w:p w:rsidR="002A3F16" w:rsidRPr="002A3F16" w:rsidRDefault="002A3F16" w:rsidP="002A3F16">
      <w:pPr>
        <w:numPr>
          <w:ilvl w:val="0"/>
          <w:numId w:val="37"/>
        </w:numPr>
        <w:spacing w:before="60" w:beforeAutospacing="0" w:after="60" w:afterAutospacing="0" w:line="276" w:lineRule="auto"/>
        <w:contextualSpacing/>
        <w:jc w:val="both"/>
        <w:rPr>
          <w:rFonts w:ascii="TimesNewRoman" w:hAnsi="TimesNewRoman" w:cs="TimesNewRoman"/>
          <w:sz w:val="24"/>
          <w:szCs w:val="24"/>
        </w:rPr>
      </w:pPr>
      <w:r w:rsidRPr="002A3F16">
        <w:rPr>
          <w:rFonts w:ascii="TimesNewRoman" w:hAnsi="TimesNewRoman" w:cs="TimesNewRoman"/>
          <w:sz w:val="24"/>
          <w:szCs w:val="24"/>
        </w:rPr>
        <w:t>D’apporter son concours aux travaux initié par les autorités publiques compétentes en matières de normalisation comptable, de diligence professionnelle et de tarification ;</w:t>
      </w:r>
    </w:p>
    <w:p w:rsidR="002A3F16" w:rsidRPr="002A3F16" w:rsidRDefault="002A3F16" w:rsidP="002A3F16">
      <w:pPr>
        <w:numPr>
          <w:ilvl w:val="0"/>
          <w:numId w:val="37"/>
        </w:numPr>
        <w:spacing w:before="60" w:beforeAutospacing="0" w:after="60" w:afterAutospacing="0" w:line="276" w:lineRule="auto"/>
        <w:contextualSpacing/>
        <w:jc w:val="both"/>
        <w:rPr>
          <w:rFonts w:ascii="TimesNewRoman" w:hAnsi="TimesNewRoman" w:cs="TimesNewRoman"/>
          <w:sz w:val="24"/>
          <w:szCs w:val="24"/>
        </w:rPr>
      </w:pPr>
      <w:r w:rsidRPr="002A3F16">
        <w:rPr>
          <w:rFonts w:ascii="TimesNewRoman" w:hAnsi="TimesNewRoman" w:cs="TimesNewRoman"/>
          <w:sz w:val="24"/>
          <w:szCs w:val="24"/>
        </w:rPr>
        <w:t xml:space="preserve">De représenter les intérêts de la profession à l’égard des autorités compétentes, des tiers et des ordres étrangers similaires. </w:t>
      </w:r>
    </w:p>
    <w:p w:rsidR="002A3F16" w:rsidRPr="002A3F16" w:rsidRDefault="002A3F16" w:rsidP="002A3F16">
      <w:pPr>
        <w:spacing w:before="60" w:beforeAutospacing="0" w:after="60" w:afterAutospacing="0" w:line="276" w:lineRule="auto"/>
        <w:ind w:firstLine="284"/>
        <w:jc w:val="both"/>
        <w:rPr>
          <w:rFonts w:ascii="TimesNewRoman" w:hAnsi="TimesNewRoman" w:cs="TimesNewRoman"/>
          <w:sz w:val="24"/>
          <w:szCs w:val="24"/>
        </w:rPr>
      </w:pPr>
      <w:r w:rsidRPr="002A3F16">
        <w:rPr>
          <w:rFonts w:ascii="TimesNewRoman" w:hAnsi="TimesNewRoman" w:cs="TimesNewRoman"/>
          <w:sz w:val="24"/>
          <w:szCs w:val="24"/>
        </w:rPr>
        <w:t>Une nouvelle loi régissant la profession d’experts comptables et de commissaires aux comptes est en cours d’élaboration.</w:t>
      </w:r>
    </w:p>
    <w:p w:rsidR="002A3F16" w:rsidRPr="002A3F16" w:rsidRDefault="002A3F16" w:rsidP="002A3F16">
      <w:pPr>
        <w:spacing w:before="120" w:beforeAutospacing="0" w:after="120" w:afterAutospacing="0" w:line="276" w:lineRule="auto"/>
        <w:jc w:val="both"/>
        <w:rPr>
          <w:rFonts w:ascii="Times New Roman" w:hAnsi="Times New Roman" w:cs="Times New Roman"/>
          <w:b/>
          <w:sz w:val="26"/>
          <w:szCs w:val="26"/>
        </w:rPr>
      </w:pPr>
      <w:r w:rsidRPr="002A3F16">
        <w:rPr>
          <w:rFonts w:ascii="Times New Roman" w:hAnsi="Times New Roman" w:cs="Times New Roman"/>
          <w:b/>
          <w:sz w:val="26"/>
          <w:szCs w:val="26"/>
        </w:rPr>
        <w:t>1.3. Le passage au Système Comptable et Financier : opportunités et obstacles de mise en place</w:t>
      </w:r>
    </w:p>
    <w:p w:rsidR="002A3F16" w:rsidRPr="002A3F16" w:rsidRDefault="002A3F16" w:rsidP="002A3F16">
      <w:pPr>
        <w:spacing w:before="60" w:beforeAutospacing="0" w:after="60" w:afterAutospacing="0" w:line="276" w:lineRule="auto"/>
        <w:ind w:firstLine="284"/>
        <w:jc w:val="both"/>
        <w:rPr>
          <w:rFonts w:ascii="Times New Roman" w:hAnsi="Times New Roman" w:cs="Times New Roman"/>
          <w:sz w:val="24"/>
          <w:szCs w:val="24"/>
        </w:rPr>
      </w:pPr>
      <w:r w:rsidRPr="002A3F16">
        <w:rPr>
          <w:rFonts w:ascii="TimesNewRoman" w:hAnsi="TimesNewRoman" w:cs="TimesNewRoman"/>
          <w:sz w:val="24"/>
          <w:szCs w:val="24"/>
        </w:rPr>
        <w:t>En</w:t>
      </w:r>
      <w:r w:rsidRPr="002A3F16">
        <w:rPr>
          <w:rFonts w:ascii="Times New Roman" w:hAnsi="Times New Roman" w:cs="Times New Roman"/>
          <w:sz w:val="24"/>
          <w:szCs w:val="24"/>
        </w:rPr>
        <w:t xml:space="preserve"> Algérie, la mise en place du Système Comptable Financier (SCF) est supposée apporter de profondes modifications pour la doctrine et la conception comptable. Il apparait claire que les normalisateurs en Algérie cherchaient, à travers l’adoption d’un système comptable conforme aux normes internationales, à s’introduire dans le contexte de la globalisation et de l’harmonisation comptable internationale. Mais d’un autre côté, cette transition peut avoir d’autres opportunités pour les entreprises ainsi que l’économie algérienne. Cependant, des obstacles peuvent être confrontés lors du processus de transition. A cet effet, nous présenterons dans ce point les obstacles les plus importants et les opportunités afin d’apprécier au mieux le processus de transition à ce nouveau système. </w:t>
      </w:r>
    </w:p>
    <w:p w:rsidR="002A3F16" w:rsidRPr="002A3F16" w:rsidRDefault="002A3F16" w:rsidP="002A3F16">
      <w:pPr>
        <w:spacing w:before="120" w:beforeAutospacing="0" w:after="120" w:afterAutospacing="0" w:line="276" w:lineRule="auto"/>
        <w:jc w:val="both"/>
        <w:rPr>
          <w:rFonts w:ascii="Times New Roman" w:hAnsi="Times New Roman" w:cs="Times New Roman"/>
          <w:sz w:val="24"/>
          <w:szCs w:val="24"/>
        </w:rPr>
      </w:pPr>
      <w:r w:rsidRPr="002A3F16">
        <w:rPr>
          <w:rFonts w:ascii="TimesNewRoman" w:hAnsi="TimesNewRoman" w:cs="TimesNewRoman"/>
          <w:b/>
          <w:sz w:val="24"/>
          <w:szCs w:val="24"/>
        </w:rPr>
        <w:t>1.3.1. Opportunités et enjeux de la mise en place du SCF pour les entreprises</w:t>
      </w:r>
    </w:p>
    <w:p w:rsidR="002A3F16" w:rsidRPr="002A3F16" w:rsidRDefault="002A3F16" w:rsidP="002A3F16">
      <w:pPr>
        <w:spacing w:before="60" w:beforeAutospacing="0" w:after="60" w:afterAutospacing="0" w:line="276" w:lineRule="auto"/>
        <w:jc w:val="both"/>
        <w:rPr>
          <w:rFonts w:ascii="TimesNewRoman" w:hAnsi="TimesNewRoman" w:cs="TimesNewRoman"/>
          <w:sz w:val="24"/>
          <w:szCs w:val="24"/>
        </w:rPr>
      </w:pPr>
      <w:r w:rsidRPr="002A3F16">
        <w:rPr>
          <w:rFonts w:ascii="TimesNewRoman" w:hAnsi="TimesNewRoman" w:cs="TimesNewRoman"/>
          <w:sz w:val="24"/>
          <w:szCs w:val="24"/>
        </w:rPr>
        <w:t>A ce titre, il convient de noter que le nouveau système comptable financier peut comporter des implications positives sur les entreprises algériennes, du fait qu’il :</w:t>
      </w:r>
    </w:p>
    <w:p w:rsidR="002A3F16" w:rsidRPr="002A3F16" w:rsidRDefault="002A3F16" w:rsidP="002A3F16">
      <w:pPr>
        <w:numPr>
          <w:ilvl w:val="0"/>
          <w:numId w:val="38"/>
        </w:numPr>
        <w:autoSpaceDE w:val="0"/>
        <w:autoSpaceDN w:val="0"/>
        <w:adjustRightInd w:val="0"/>
        <w:spacing w:before="60" w:beforeAutospacing="0" w:after="60" w:afterAutospacing="0" w:line="276" w:lineRule="auto"/>
        <w:contextualSpacing/>
        <w:jc w:val="both"/>
        <w:rPr>
          <w:rFonts w:ascii="TimesNewRoman" w:hAnsi="TimesNewRoman" w:cs="TimesNewRoman"/>
          <w:sz w:val="24"/>
          <w:szCs w:val="24"/>
        </w:rPr>
      </w:pPr>
      <w:r w:rsidRPr="002A3F16">
        <w:rPr>
          <w:rFonts w:ascii="TimesNewRoman" w:hAnsi="TimesNewRoman" w:cs="TimesNewRoman"/>
          <w:sz w:val="24"/>
          <w:szCs w:val="24"/>
        </w:rPr>
        <w:t>Propose des solutions techniques à l’enregistrement comptable d’opérations ou de transactions non traitées par le PCN ;</w:t>
      </w:r>
    </w:p>
    <w:p w:rsidR="002A3F16" w:rsidRPr="002A3F16" w:rsidRDefault="002A3F16" w:rsidP="002A3F16">
      <w:pPr>
        <w:numPr>
          <w:ilvl w:val="0"/>
          <w:numId w:val="38"/>
        </w:numPr>
        <w:autoSpaceDE w:val="0"/>
        <w:autoSpaceDN w:val="0"/>
        <w:adjustRightInd w:val="0"/>
        <w:spacing w:before="60" w:beforeAutospacing="0" w:after="60" w:afterAutospacing="0" w:line="276" w:lineRule="auto"/>
        <w:contextualSpacing/>
        <w:jc w:val="both"/>
        <w:rPr>
          <w:rFonts w:ascii="TimesNewRoman" w:hAnsi="TimesNewRoman" w:cs="TimesNewRoman"/>
          <w:sz w:val="24"/>
          <w:szCs w:val="24"/>
        </w:rPr>
      </w:pPr>
      <w:r w:rsidRPr="002A3F16">
        <w:rPr>
          <w:rFonts w:ascii="TimesNewRoman" w:hAnsi="TimesNewRoman" w:cs="TimesNewRoman"/>
          <w:sz w:val="24"/>
          <w:szCs w:val="24"/>
        </w:rPr>
        <w:t>Egalement ce système constitue une occasion pour les entreprises, du fait qu’il leur permet d’améliorer leurs organisations internes et la qualité de leurs communications avec les parties prenantes à l’information financière ;</w:t>
      </w:r>
    </w:p>
    <w:p w:rsidR="002A3F16" w:rsidRPr="002A3F16" w:rsidRDefault="002A3F16" w:rsidP="002A3F16">
      <w:pPr>
        <w:numPr>
          <w:ilvl w:val="0"/>
          <w:numId w:val="38"/>
        </w:numPr>
        <w:autoSpaceDE w:val="0"/>
        <w:autoSpaceDN w:val="0"/>
        <w:adjustRightInd w:val="0"/>
        <w:spacing w:before="60" w:beforeAutospacing="0" w:after="60" w:afterAutospacing="0" w:line="276" w:lineRule="auto"/>
        <w:contextualSpacing/>
        <w:jc w:val="both"/>
        <w:rPr>
          <w:rFonts w:ascii="TimesNewRoman" w:hAnsi="TimesNewRoman" w:cs="TimesNewRoman"/>
          <w:sz w:val="24"/>
          <w:szCs w:val="24"/>
        </w:rPr>
      </w:pPr>
      <w:r w:rsidRPr="002A3F16">
        <w:rPr>
          <w:rFonts w:ascii="TimesNewRoman" w:hAnsi="TimesNewRoman" w:cs="TimesNewRoman"/>
          <w:sz w:val="24"/>
          <w:szCs w:val="24"/>
        </w:rPr>
        <w:t>Il permet encore, de faciliter le contrôle des comptes qui s’appuiera désormais sur des concepts et des règles clairement définis ;</w:t>
      </w:r>
    </w:p>
    <w:p w:rsidR="002A3F16" w:rsidRPr="002A3F16" w:rsidRDefault="002A3F16" w:rsidP="002A3F16">
      <w:pPr>
        <w:numPr>
          <w:ilvl w:val="0"/>
          <w:numId w:val="38"/>
        </w:numPr>
        <w:autoSpaceDE w:val="0"/>
        <w:autoSpaceDN w:val="0"/>
        <w:adjustRightInd w:val="0"/>
        <w:spacing w:before="60" w:beforeAutospacing="0" w:after="60" w:afterAutospacing="0" w:line="276" w:lineRule="auto"/>
        <w:contextualSpacing/>
        <w:jc w:val="both"/>
        <w:rPr>
          <w:rFonts w:ascii="TimesNewRoman" w:hAnsi="TimesNewRoman" w:cs="TimesNewRoman"/>
          <w:sz w:val="24"/>
          <w:szCs w:val="24"/>
        </w:rPr>
      </w:pPr>
      <w:r w:rsidRPr="002A3F16">
        <w:rPr>
          <w:rFonts w:ascii="TimesNewRoman" w:hAnsi="TimesNewRoman" w:cs="TimesNewRoman"/>
          <w:sz w:val="24"/>
          <w:szCs w:val="24"/>
        </w:rPr>
        <w:t xml:space="preserve">En outre, l’application par les entreprises de normes comptables reconnues à l’échelle internationale, obligeant à une meilleure transparence des comptes, constitue une mesure de sécurité financière participant à l’instauration (ou la restauration) de la confiance. Ainsi, les entreprises pourront assurer leurs ressources de financement plus aisément.  </w:t>
      </w:r>
    </w:p>
    <w:p w:rsidR="002A3F16" w:rsidRPr="002A3F16" w:rsidRDefault="002A3F16" w:rsidP="002A3F16">
      <w:pPr>
        <w:numPr>
          <w:ilvl w:val="0"/>
          <w:numId w:val="38"/>
        </w:numPr>
        <w:autoSpaceDE w:val="0"/>
        <w:autoSpaceDN w:val="0"/>
        <w:adjustRightInd w:val="0"/>
        <w:spacing w:before="60" w:beforeAutospacing="0" w:after="60" w:afterAutospacing="0" w:line="276" w:lineRule="auto"/>
        <w:contextualSpacing/>
        <w:jc w:val="both"/>
        <w:rPr>
          <w:rFonts w:ascii="TimesNewRoman" w:hAnsi="TimesNewRoman" w:cs="TimesNewRoman"/>
          <w:sz w:val="24"/>
          <w:szCs w:val="24"/>
        </w:rPr>
      </w:pPr>
      <w:r w:rsidRPr="002A3F16">
        <w:rPr>
          <w:rFonts w:ascii="TimesNewRoman" w:hAnsi="TimesNewRoman" w:cs="TimesNewRoman"/>
          <w:sz w:val="24"/>
          <w:szCs w:val="24"/>
        </w:rPr>
        <w:lastRenderedPageBreak/>
        <w:t>De leur côté, les institutions financières amélioreront leur portefeuille du fait de la production par les entreprises de situations plus transparentes.</w:t>
      </w:r>
    </w:p>
    <w:p w:rsidR="002A3F16" w:rsidRPr="002A3F16" w:rsidRDefault="002A3F16" w:rsidP="002A3F16">
      <w:pPr>
        <w:spacing w:before="60" w:beforeAutospacing="0" w:after="60" w:afterAutospacing="0" w:line="276" w:lineRule="auto"/>
        <w:ind w:firstLine="284"/>
        <w:jc w:val="both"/>
        <w:rPr>
          <w:rFonts w:ascii="TimesNewRoman" w:hAnsi="TimesNewRoman" w:cs="TimesNewRoman"/>
          <w:sz w:val="24"/>
          <w:szCs w:val="24"/>
        </w:rPr>
      </w:pPr>
      <w:r w:rsidRPr="002A3F16">
        <w:rPr>
          <w:rFonts w:ascii="TimesNewRoman" w:hAnsi="TimesNewRoman" w:cs="TimesNewRoman"/>
          <w:sz w:val="24"/>
          <w:szCs w:val="24"/>
        </w:rPr>
        <w:t>Cependant, ces opportunités restent hypothéquées par la capacité des entreprises à surmonter des enjeux majeurs, qui concernent essentiellement deux grands axes :</w:t>
      </w:r>
    </w:p>
    <w:p w:rsidR="002A3F16" w:rsidRPr="002A3F16" w:rsidRDefault="002A3F16" w:rsidP="002A3F16">
      <w:pPr>
        <w:numPr>
          <w:ilvl w:val="0"/>
          <w:numId w:val="40"/>
        </w:numPr>
        <w:autoSpaceDE w:val="0"/>
        <w:autoSpaceDN w:val="0"/>
        <w:adjustRightInd w:val="0"/>
        <w:spacing w:before="60" w:beforeAutospacing="0" w:after="60" w:afterAutospacing="0" w:line="276" w:lineRule="auto"/>
        <w:jc w:val="both"/>
        <w:rPr>
          <w:rFonts w:ascii="TimesNewRoman" w:hAnsi="TimesNewRoman" w:cs="TimesNewRoman"/>
          <w:b/>
          <w:sz w:val="24"/>
          <w:szCs w:val="24"/>
        </w:rPr>
      </w:pPr>
      <w:r w:rsidRPr="002A3F16">
        <w:rPr>
          <w:rFonts w:ascii="TimesNewRoman" w:hAnsi="TimesNewRoman" w:cs="TimesNewRoman"/>
          <w:b/>
          <w:sz w:val="24"/>
          <w:szCs w:val="24"/>
        </w:rPr>
        <w:t>Les systèmes d’information</w:t>
      </w:r>
    </w:p>
    <w:p w:rsidR="002A3F16" w:rsidRPr="002A3F16" w:rsidRDefault="002A3F16" w:rsidP="002A3F16">
      <w:pPr>
        <w:spacing w:before="60" w:beforeAutospacing="0" w:after="60" w:afterAutospacing="0" w:line="276" w:lineRule="auto"/>
        <w:ind w:firstLine="284"/>
        <w:jc w:val="both"/>
        <w:rPr>
          <w:rFonts w:ascii="TimesNewRoman" w:hAnsi="TimesNewRoman" w:cs="TimesNewRoman"/>
          <w:sz w:val="24"/>
          <w:szCs w:val="24"/>
        </w:rPr>
      </w:pPr>
      <w:r w:rsidRPr="002A3F16">
        <w:rPr>
          <w:rFonts w:ascii="TimesNewRoman" w:hAnsi="TimesNewRoman" w:cs="TimesNewRoman"/>
          <w:sz w:val="24"/>
          <w:szCs w:val="24"/>
        </w:rPr>
        <w:t xml:space="preserve">La mise en place du </w:t>
      </w:r>
      <w:r w:rsidRPr="002A3F16">
        <w:rPr>
          <w:rFonts w:ascii="TimesNewRoman" w:hAnsi="TimesNewRoman" w:cs="TimesNewRoman"/>
          <w:szCs w:val="24"/>
        </w:rPr>
        <w:t>SCF</w:t>
      </w:r>
      <w:r w:rsidRPr="002A3F16">
        <w:rPr>
          <w:rFonts w:ascii="TimesNewRoman" w:hAnsi="TimesNewRoman" w:cs="TimesNewRoman"/>
          <w:sz w:val="24"/>
          <w:szCs w:val="24"/>
        </w:rPr>
        <w:t xml:space="preserve"> nécessite un changement radical concernant la conception des systèmes d’information des entreprises. En effet, pour être performant, il est indispensable de :</w:t>
      </w:r>
    </w:p>
    <w:p w:rsidR="002A3F16" w:rsidRPr="002A3F16" w:rsidRDefault="002A3F16" w:rsidP="002A3F16">
      <w:pPr>
        <w:numPr>
          <w:ilvl w:val="0"/>
          <w:numId w:val="39"/>
        </w:numPr>
        <w:autoSpaceDE w:val="0"/>
        <w:autoSpaceDN w:val="0"/>
        <w:adjustRightInd w:val="0"/>
        <w:spacing w:before="60" w:beforeAutospacing="0" w:after="60" w:afterAutospacing="0" w:line="276" w:lineRule="auto"/>
        <w:contextualSpacing/>
        <w:jc w:val="both"/>
        <w:rPr>
          <w:rFonts w:ascii="TimesNewRoman" w:hAnsi="TimesNewRoman" w:cs="TimesNewRoman"/>
          <w:sz w:val="24"/>
          <w:szCs w:val="24"/>
        </w:rPr>
      </w:pPr>
      <w:r w:rsidRPr="002A3F16">
        <w:rPr>
          <w:rFonts w:ascii="TimesNewRoman" w:hAnsi="TimesNewRoman" w:cs="TimesNewRoman"/>
          <w:sz w:val="24"/>
          <w:szCs w:val="24"/>
        </w:rPr>
        <w:t xml:space="preserve">Revoir l’organisation de la production de données financières, en rapprochant les éléments de gestion et de </w:t>
      </w:r>
      <w:proofErr w:type="spellStart"/>
      <w:r w:rsidRPr="002A3F16">
        <w:rPr>
          <w:rFonts w:ascii="TimesNewRoman" w:hAnsi="TimesNewRoman" w:cs="TimesNewRoman"/>
          <w:sz w:val="24"/>
          <w:szCs w:val="24"/>
        </w:rPr>
        <w:t>reporting</w:t>
      </w:r>
      <w:proofErr w:type="spellEnd"/>
      <w:r w:rsidRPr="002A3F16">
        <w:rPr>
          <w:rFonts w:ascii="TimesNewRoman" w:hAnsi="TimesNewRoman" w:cs="TimesNewRoman"/>
          <w:sz w:val="24"/>
          <w:szCs w:val="24"/>
        </w:rPr>
        <w:t xml:space="preserve"> interne des états financiers traditionnels ;</w:t>
      </w:r>
    </w:p>
    <w:p w:rsidR="002A3F16" w:rsidRPr="002A3F16" w:rsidRDefault="002A3F16" w:rsidP="002A3F16">
      <w:pPr>
        <w:numPr>
          <w:ilvl w:val="0"/>
          <w:numId w:val="39"/>
        </w:numPr>
        <w:autoSpaceDE w:val="0"/>
        <w:autoSpaceDN w:val="0"/>
        <w:adjustRightInd w:val="0"/>
        <w:spacing w:before="60" w:beforeAutospacing="0" w:after="60" w:afterAutospacing="0" w:line="276" w:lineRule="auto"/>
        <w:contextualSpacing/>
        <w:jc w:val="both"/>
        <w:rPr>
          <w:rFonts w:ascii="TimesNewRoman" w:hAnsi="TimesNewRoman" w:cs="TimesNewRoman"/>
          <w:sz w:val="24"/>
          <w:szCs w:val="24"/>
        </w:rPr>
      </w:pPr>
      <w:r w:rsidRPr="002A3F16">
        <w:rPr>
          <w:rFonts w:ascii="TimesNewRoman" w:hAnsi="TimesNewRoman" w:cs="TimesNewRoman"/>
          <w:sz w:val="24"/>
          <w:szCs w:val="24"/>
        </w:rPr>
        <w:t>Revaloriser la fonction comptable ;</w:t>
      </w:r>
    </w:p>
    <w:p w:rsidR="002A3F16" w:rsidRPr="002A3F16" w:rsidRDefault="002A3F16" w:rsidP="002A3F16">
      <w:pPr>
        <w:numPr>
          <w:ilvl w:val="0"/>
          <w:numId w:val="39"/>
        </w:numPr>
        <w:autoSpaceDE w:val="0"/>
        <w:autoSpaceDN w:val="0"/>
        <w:adjustRightInd w:val="0"/>
        <w:spacing w:before="60" w:beforeAutospacing="0" w:after="60" w:afterAutospacing="0" w:line="276" w:lineRule="auto"/>
        <w:contextualSpacing/>
        <w:jc w:val="both"/>
        <w:rPr>
          <w:rFonts w:ascii="TimesNewRoman" w:hAnsi="TimesNewRoman" w:cs="TimesNewRoman"/>
          <w:sz w:val="24"/>
          <w:szCs w:val="24"/>
        </w:rPr>
      </w:pPr>
      <w:r w:rsidRPr="002A3F16">
        <w:rPr>
          <w:rFonts w:ascii="TimesNewRoman" w:hAnsi="TimesNewRoman" w:cs="TimesNewRoman"/>
          <w:sz w:val="24"/>
          <w:szCs w:val="24"/>
        </w:rPr>
        <w:t>Ainsi que la nécessité du Changement de logiciels comptables.</w:t>
      </w:r>
    </w:p>
    <w:p w:rsidR="002A3F16" w:rsidRPr="002A3F16" w:rsidRDefault="002A3F16" w:rsidP="002A3F16">
      <w:pPr>
        <w:numPr>
          <w:ilvl w:val="0"/>
          <w:numId w:val="40"/>
        </w:numPr>
        <w:autoSpaceDE w:val="0"/>
        <w:autoSpaceDN w:val="0"/>
        <w:adjustRightInd w:val="0"/>
        <w:spacing w:before="60" w:beforeAutospacing="0" w:after="60" w:afterAutospacing="0" w:line="276" w:lineRule="auto"/>
        <w:jc w:val="both"/>
        <w:rPr>
          <w:rFonts w:ascii="TimesNewRoman" w:hAnsi="TimesNewRoman" w:cs="TimesNewRoman"/>
          <w:b/>
          <w:sz w:val="24"/>
          <w:szCs w:val="24"/>
        </w:rPr>
      </w:pPr>
      <w:r w:rsidRPr="002A3F16">
        <w:rPr>
          <w:rFonts w:ascii="TimesNewRoman" w:hAnsi="TimesNewRoman" w:cs="TimesNewRoman"/>
          <w:b/>
          <w:sz w:val="24"/>
          <w:szCs w:val="24"/>
        </w:rPr>
        <w:t>La communication de l’information financière :</w:t>
      </w:r>
    </w:p>
    <w:p w:rsidR="002A3F16" w:rsidRPr="002A3F16" w:rsidRDefault="002A3F16" w:rsidP="002A3F16">
      <w:pPr>
        <w:spacing w:before="60" w:beforeAutospacing="0" w:after="60" w:afterAutospacing="0" w:line="276" w:lineRule="auto"/>
        <w:ind w:firstLine="284"/>
        <w:jc w:val="both"/>
        <w:rPr>
          <w:rFonts w:ascii="TimesNewRoman" w:hAnsi="TimesNewRoman" w:cs="TimesNewRoman"/>
          <w:sz w:val="24"/>
          <w:szCs w:val="24"/>
        </w:rPr>
      </w:pPr>
      <w:r w:rsidRPr="002A3F16">
        <w:rPr>
          <w:rFonts w:ascii="TimesNewRoman" w:hAnsi="TimesNewRoman" w:cs="TimesNewRoman"/>
          <w:sz w:val="24"/>
          <w:szCs w:val="24"/>
        </w:rPr>
        <w:t>La communication de l’information financière doit être repensée en fonction des nouvelles exigences introduites par le SCF, à savoir :</w:t>
      </w:r>
    </w:p>
    <w:p w:rsidR="002A3F16" w:rsidRPr="002A3F16" w:rsidRDefault="002A3F16" w:rsidP="002A3F16">
      <w:pPr>
        <w:numPr>
          <w:ilvl w:val="0"/>
          <w:numId w:val="38"/>
        </w:numPr>
        <w:autoSpaceDE w:val="0"/>
        <w:autoSpaceDN w:val="0"/>
        <w:adjustRightInd w:val="0"/>
        <w:spacing w:before="60" w:beforeAutospacing="0" w:after="60" w:afterAutospacing="0" w:line="276" w:lineRule="auto"/>
        <w:contextualSpacing/>
        <w:jc w:val="both"/>
        <w:rPr>
          <w:rFonts w:ascii="TimesNewRoman" w:hAnsi="TimesNewRoman" w:cs="TimesNewRoman"/>
          <w:sz w:val="24"/>
          <w:szCs w:val="24"/>
        </w:rPr>
      </w:pPr>
      <w:r w:rsidRPr="002A3F16">
        <w:rPr>
          <w:rFonts w:ascii="TimesNewRoman" w:hAnsi="TimesNewRoman" w:cs="TimesNewRoman"/>
          <w:sz w:val="24"/>
          <w:szCs w:val="24"/>
        </w:rPr>
        <w:t>Etats financiers de synthèse,</w:t>
      </w:r>
    </w:p>
    <w:p w:rsidR="002A3F16" w:rsidRPr="002A3F16" w:rsidRDefault="002A3F16" w:rsidP="002A3F16">
      <w:pPr>
        <w:numPr>
          <w:ilvl w:val="0"/>
          <w:numId w:val="38"/>
        </w:numPr>
        <w:autoSpaceDE w:val="0"/>
        <w:autoSpaceDN w:val="0"/>
        <w:adjustRightInd w:val="0"/>
        <w:spacing w:before="60" w:beforeAutospacing="0" w:after="60" w:afterAutospacing="0" w:line="276" w:lineRule="auto"/>
        <w:contextualSpacing/>
        <w:jc w:val="both"/>
        <w:rPr>
          <w:rFonts w:ascii="TimesNewRoman" w:hAnsi="TimesNewRoman" w:cs="TimesNewRoman"/>
          <w:sz w:val="24"/>
          <w:szCs w:val="24"/>
        </w:rPr>
      </w:pPr>
      <w:r w:rsidRPr="002A3F16">
        <w:rPr>
          <w:rFonts w:ascii="TimesNewRoman" w:hAnsi="TimesNewRoman" w:cs="TimesNewRoman"/>
          <w:sz w:val="24"/>
          <w:szCs w:val="24"/>
        </w:rPr>
        <w:t>Information de type sectorielle,</w:t>
      </w:r>
    </w:p>
    <w:p w:rsidR="002A3F16" w:rsidRPr="002A3F16" w:rsidRDefault="002A3F16" w:rsidP="002A3F16">
      <w:pPr>
        <w:numPr>
          <w:ilvl w:val="0"/>
          <w:numId w:val="38"/>
        </w:numPr>
        <w:autoSpaceDE w:val="0"/>
        <w:autoSpaceDN w:val="0"/>
        <w:adjustRightInd w:val="0"/>
        <w:spacing w:before="60" w:beforeAutospacing="0" w:after="60" w:afterAutospacing="0" w:line="276" w:lineRule="auto"/>
        <w:contextualSpacing/>
        <w:jc w:val="both"/>
        <w:rPr>
          <w:rFonts w:ascii="TimesNewRoman" w:hAnsi="TimesNewRoman" w:cs="TimesNewRoman"/>
          <w:sz w:val="24"/>
          <w:szCs w:val="24"/>
        </w:rPr>
      </w:pPr>
      <w:r w:rsidRPr="002A3F16">
        <w:rPr>
          <w:rFonts w:ascii="TimesNewRoman" w:hAnsi="TimesNewRoman" w:cs="TimesNewRoman"/>
          <w:sz w:val="24"/>
          <w:szCs w:val="24"/>
        </w:rPr>
        <w:t>Annexes détaillées et qualitatives,</w:t>
      </w:r>
    </w:p>
    <w:p w:rsidR="002A3F16" w:rsidRPr="002A3F16" w:rsidRDefault="002A3F16" w:rsidP="002A3F16">
      <w:pPr>
        <w:numPr>
          <w:ilvl w:val="0"/>
          <w:numId w:val="38"/>
        </w:numPr>
        <w:autoSpaceDE w:val="0"/>
        <w:autoSpaceDN w:val="0"/>
        <w:adjustRightInd w:val="0"/>
        <w:spacing w:before="60" w:beforeAutospacing="0" w:after="60" w:afterAutospacing="0" w:line="276" w:lineRule="auto"/>
        <w:contextualSpacing/>
        <w:jc w:val="both"/>
        <w:rPr>
          <w:rFonts w:ascii="TimesNewRoman" w:hAnsi="TimesNewRoman" w:cs="TimesNewRoman"/>
          <w:sz w:val="24"/>
          <w:szCs w:val="24"/>
        </w:rPr>
      </w:pPr>
      <w:r w:rsidRPr="002A3F16">
        <w:rPr>
          <w:rFonts w:ascii="TimesNewRoman" w:hAnsi="TimesNewRoman" w:cs="TimesNewRoman"/>
          <w:sz w:val="24"/>
          <w:szCs w:val="24"/>
        </w:rPr>
        <w:t>Améliorer les délais d’élaboration et de fréquence de la communication financière.</w:t>
      </w:r>
    </w:p>
    <w:p w:rsidR="002A3F16" w:rsidRPr="002A3F16" w:rsidRDefault="002A3F16" w:rsidP="002A3F16">
      <w:pPr>
        <w:numPr>
          <w:ilvl w:val="0"/>
          <w:numId w:val="38"/>
        </w:numPr>
        <w:autoSpaceDE w:val="0"/>
        <w:autoSpaceDN w:val="0"/>
        <w:adjustRightInd w:val="0"/>
        <w:spacing w:before="60" w:beforeAutospacing="0" w:after="60" w:afterAutospacing="0" w:line="276" w:lineRule="auto"/>
        <w:contextualSpacing/>
        <w:jc w:val="both"/>
        <w:rPr>
          <w:rFonts w:ascii="TimesNewRoman" w:hAnsi="TimesNewRoman" w:cs="TimesNewRoman"/>
          <w:sz w:val="24"/>
          <w:szCs w:val="24"/>
        </w:rPr>
      </w:pPr>
      <w:r w:rsidRPr="002A3F16">
        <w:rPr>
          <w:rFonts w:ascii="TimesNewRoman" w:hAnsi="TimesNewRoman" w:cs="TimesNewRoman"/>
          <w:sz w:val="24"/>
          <w:szCs w:val="24"/>
        </w:rPr>
        <w:t>Adapter les systèmes de gestion et d’organisation de l’entreprise pour qu’ils permettent de répondre aux besoins liés à la communication financière.</w:t>
      </w:r>
    </w:p>
    <w:p w:rsidR="002A3F16" w:rsidRPr="002A3F16" w:rsidRDefault="002A3F16" w:rsidP="002A3F16">
      <w:pPr>
        <w:spacing w:before="120" w:beforeAutospacing="0" w:after="120" w:afterAutospacing="0" w:line="276" w:lineRule="auto"/>
        <w:jc w:val="both"/>
        <w:rPr>
          <w:rFonts w:ascii="TimesNewRoman" w:hAnsi="TimesNewRoman" w:cs="TimesNewRoman"/>
          <w:b/>
          <w:sz w:val="24"/>
          <w:szCs w:val="24"/>
        </w:rPr>
      </w:pPr>
      <w:r w:rsidRPr="002A3F16">
        <w:rPr>
          <w:rFonts w:ascii="TimesNewRoman" w:hAnsi="TimesNewRoman" w:cs="TimesNewRoman"/>
          <w:b/>
          <w:sz w:val="24"/>
          <w:szCs w:val="24"/>
        </w:rPr>
        <w:t>1.3.2. Opportunités pour l’économie nationale</w:t>
      </w:r>
    </w:p>
    <w:p w:rsidR="002A3F16" w:rsidRPr="002A3F16" w:rsidRDefault="002A3F16" w:rsidP="002A3F16">
      <w:pPr>
        <w:spacing w:before="60" w:beforeAutospacing="0" w:after="60" w:afterAutospacing="0" w:line="276" w:lineRule="auto"/>
        <w:ind w:firstLine="284"/>
        <w:jc w:val="both"/>
        <w:rPr>
          <w:rFonts w:ascii="TimesNewRoman" w:hAnsi="TimesNewRoman" w:cs="TimesNewRoman"/>
          <w:sz w:val="24"/>
          <w:szCs w:val="24"/>
        </w:rPr>
      </w:pPr>
      <w:r w:rsidRPr="002A3F16">
        <w:rPr>
          <w:rFonts w:ascii="TimesNewRoman" w:hAnsi="TimesNewRoman" w:cs="TimesNewRoman"/>
          <w:sz w:val="24"/>
          <w:szCs w:val="24"/>
        </w:rPr>
        <w:t>La transition vers un tel système comptable revêt pour certains, d’une importance fondamentale pour l’économie nationale. Leurs arguments sont concentrés sur les changements économiques que connait notre pays. En effet, au niveau de l’économie nous notons que :</w:t>
      </w:r>
    </w:p>
    <w:p w:rsidR="002A3F16" w:rsidRPr="002A3F16" w:rsidRDefault="002A3F16" w:rsidP="002A3F16">
      <w:pPr>
        <w:numPr>
          <w:ilvl w:val="0"/>
          <w:numId w:val="27"/>
        </w:numPr>
        <w:autoSpaceDE w:val="0"/>
        <w:autoSpaceDN w:val="0"/>
        <w:adjustRightInd w:val="0"/>
        <w:spacing w:before="60" w:beforeAutospacing="0" w:after="60" w:afterAutospacing="0" w:line="276" w:lineRule="auto"/>
        <w:contextualSpacing/>
        <w:jc w:val="both"/>
        <w:rPr>
          <w:rFonts w:ascii="TimesNewRoman" w:hAnsi="TimesNewRoman" w:cs="TimesNewRoman"/>
          <w:sz w:val="24"/>
          <w:szCs w:val="24"/>
        </w:rPr>
      </w:pPr>
      <w:r w:rsidRPr="002A3F16">
        <w:rPr>
          <w:rFonts w:ascii="TimesNewRoman" w:hAnsi="TimesNewRoman" w:cs="TimesNewRoman"/>
          <w:sz w:val="24"/>
          <w:szCs w:val="24"/>
        </w:rPr>
        <w:t>L'ouverture de l'économie est consacrée dans les faits.</w:t>
      </w:r>
    </w:p>
    <w:p w:rsidR="002A3F16" w:rsidRPr="002A3F16" w:rsidRDefault="002A3F16" w:rsidP="002A3F16">
      <w:pPr>
        <w:numPr>
          <w:ilvl w:val="0"/>
          <w:numId w:val="27"/>
        </w:numPr>
        <w:autoSpaceDE w:val="0"/>
        <w:autoSpaceDN w:val="0"/>
        <w:adjustRightInd w:val="0"/>
        <w:spacing w:before="60" w:beforeAutospacing="0" w:after="60" w:afterAutospacing="0" w:line="276" w:lineRule="auto"/>
        <w:contextualSpacing/>
        <w:jc w:val="both"/>
        <w:rPr>
          <w:rFonts w:ascii="TimesNewRoman" w:hAnsi="TimesNewRoman" w:cs="TimesNewRoman"/>
          <w:sz w:val="24"/>
          <w:szCs w:val="24"/>
        </w:rPr>
      </w:pPr>
      <w:r w:rsidRPr="002A3F16">
        <w:rPr>
          <w:rFonts w:ascii="TimesNewRoman" w:hAnsi="TimesNewRoman" w:cs="TimesNewRoman"/>
          <w:sz w:val="24"/>
          <w:szCs w:val="24"/>
        </w:rPr>
        <w:t>Libération totale du commerce extérieur.</w:t>
      </w:r>
    </w:p>
    <w:p w:rsidR="002A3F16" w:rsidRPr="002A3F16" w:rsidRDefault="002A3F16" w:rsidP="002A3F16">
      <w:pPr>
        <w:numPr>
          <w:ilvl w:val="0"/>
          <w:numId w:val="27"/>
        </w:numPr>
        <w:autoSpaceDE w:val="0"/>
        <w:autoSpaceDN w:val="0"/>
        <w:adjustRightInd w:val="0"/>
        <w:spacing w:before="60" w:beforeAutospacing="0" w:after="60" w:afterAutospacing="0" w:line="276" w:lineRule="auto"/>
        <w:contextualSpacing/>
        <w:jc w:val="both"/>
        <w:rPr>
          <w:rFonts w:ascii="TimesNewRoman" w:hAnsi="TimesNewRoman" w:cs="TimesNewRoman"/>
          <w:sz w:val="24"/>
          <w:szCs w:val="24"/>
        </w:rPr>
      </w:pPr>
      <w:r w:rsidRPr="002A3F16">
        <w:rPr>
          <w:rFonts w:ascii="TimesNewRoman" w:hAnsi="TimesNewRoman" w:cs="TimesNewRoman"/>
          <w:sz w:val="24"/>
          <w:szCs w:val="24"/>
        </w:rPr>
        <w:t>Installation de la Bourse.</w:t>
      </w:r>
    </w:p>
    <w:p w:rsidR="002A3F16" w:rsidRPr="002A3F16" w:rsidRDefault="002A3F16" w:rsidP="002A3F16">
      <w:pPr>
        <w:numPr>
          <w:ilvl w:val="0"/>
          <w:numId w:val="27"/>
        </w:numPr>
        <w:autoSpaceDE w:val="0"/>
        <w:autoSpaceDN w:val="0"/>
        <w:adjustRightInd w:val="0"/>
        <w:spacing w:before="60" w:beforeAutospacing="0" w:after="60" w:afterAutospacing="0" w:line="276" w:lineRule="auto"/>
        <w:contextualSpacing/>
        <w:jc w:val="both"/>
        <w:rPr>
          <w:rFonts w:ascii="TimesNewRoman" w:hAnsi="TimesNewRoman" w:cs="TimesNewRoman"/>
          <w:sz w:val="24"/>
          <w:szCs w:val="24"/>
        </w:rPr>
      </w:pPr>
      <w:r w:rsidRPr="002A3F16">
        <w:rPr>
          <w:rFonts w:ascii="TimesNewRoman" w:hAnsi="TimesNewRoman" w:cs="TimesNewRoman"/>
          <w:sz w:val="24"/>
          <w:szCs w:val="24"/>
        </w:rPr>
        <w:t>Accord d'association avec l'Union Européenne.</w:t>
      </w:r>
    </w:p>
    <w:p w:rsidR="002A3F16" w:rsidRPr="002A3F16" w:rsidRDefault="002A3F16" w:rsidP="002A3F16">
      <w:pPr>
        <w:numPr>
          <w:ilvl w:val="0"/>
          <w:numId w:val="27"/>
        </w:numPr>
        <w:autoSpaceDE w:val="0"/>
        <w:autoSpaceDN w:val="0"/>
        <w:adjustRightInd w:val="0"/>
        <w:spacing w:before="60" w:beforeAutospacing="0" w:after="60" w:afterAutospacing="0" w:line="276" w:lineRule="auto"/>
        <w:contextualSpacing/>
        <w:jc w:val="both"/>
        <w:rPr>
          <w:rFonts w:ascii="TimesNewRoman" w:hAnsi="TimesNewRoman" w:cs="TimesNewRoman"/>
          <w:sz w:val="24"/>
          <w:szCs w:val="24"/>
        </w:rPr>
      </w:pPr>
      <w:r w:rsidRPr="002A3F16">
        <w:rPr>
          <w:rFonts w:ascii="TimesNewRoman" w:hAnsi="TimesNewRoman" w:cs="TimesNewRoman"/>
          <w:sz w:val="24"/>
          <w:szCs w:val="24"/>
        </w:rPr>
        <w:t>Négociation en cours pour l'accession à l'O.M.C.</w:t>
      </w:r>
    </w:p>
    <w:p w:rsidR="002A3F16" w:rsidRPr="002A3F16" w:rsidRDefault="002A3F16" w:rsidP="002A3F16">
      <w:pPr>
        <w:numPr>
          <w:ilvl w:val="0"/>
          <w:numId w:val="27"/>
        </w:numPr>
        <w:autoSpaceDE w:val="0"/>
        <w:autoSpaceDN w:val="0"/>
        <w:adjustRightInd w:val="0"/>
        <w:spacing w:before="60" w:beforeAutospacing="0" w:after="60" w:afterAutospacing="0" w:line="276" w:lineRule="auto"/>
        <w:ind w:left="357" w:hanging="357"/>
        <w:contextualSpacing/>
        <w:jc w:val="both"/>
        <w:rPr>
          <w:rFonts w:ascii="TimesNewRoman" w:hAnsi="TimesNewRoman" w:cs="TimesNewRoman"/>
          <w:sz w:val="24"/>
          <w:szCs w:val="24"/>
        </w:rPr>
      </w:pPr>
      <w:r w:rsidRPr="002A3F16">
        <w:rPr>
          <w:rFonts w:ascii="TimesNewRoman" w:hAnsi="TimesNewRoman" w:cs="TimesNewRoman"/>
          <w:sz w:val="24"/>
          <w:szCs w:val="24"/>
        </w:rPr>
        <w:t>Désengagement de l'Etat de la sphère Economique et Commerciale.</w:t>
      </w:r>
    </w:p>
    <w:p w:rsidR="002A3F16" w:rsidRPr="002A3F16" w:rsidRDefault="002A3F16" w:rsidP="002A3F16">
      <w:pPr>
        <w:spacing w:before="60" w:beforeAutospacing="0" w:after="60" w:afterAutospacing="0" w:line="276" w:lineRule="auto"/>
        <w:ind w:firstLine="284"/>
        <w:jc w:val="both"/>
        <w:rPr>
          <w:rFonts w:ascii="TimesNewRoman" w:hAnsi="TimesNewRoman" w:cs="TimesNewRoman"/>
          <w:sz w:val="24"/>
          <w:szCs w:val="24"/>
        </w:rPr>
      </w:pPr>
      <w:r w:rsidRPr="002A3F16">
        <w:rPr>
          <w:rFonts w:ascii="TimesNewRoman" w:hAnsi="TimesNewRoman" w:cs="TimesNewRoman"/>
          <w:sz w:val="24"/>
          <w:szCs w:val="24"/>
        </w:rPr>
        <w:t xml:space="preserve">En revanche, le système comptable doit permettre aux acteurs économiques de se doter des outils qui leur permettent de réagir face à ces changements. </w:t>
      </w:r>
    </w:p>
    <w:p w:rsidR="002A3F16" w:rsidRPr="002A3F16" w:rsidRDefault="002A3F16" w:rsidP="002A3F16">
      <w:pPr>
        <w:autoSpaceDE w:val="0"/>
        <w:autoSpaceDN w:val="0"/>
        <w:adjustRightInd w:val="0"/>
        <w:spacing w:before="60" w:beforeAutospacing="0" w:after="60" w:afterAutospacing="0" w:line="276" w:lineRule="auto"/>
        <w:jc w:val="both"/>
        <w:rPr>
          <w:rFonts w:ascii="TimesNewRoman" w:hAnsi="TimesNewRoman" w:cs="TimesNewRoman"/>
          <w:sz w:val="24"/>
          <w:szCs w:val="24"/>
        </w:rPr>
      </w:pPr>
      <w:r w:rsidRPr="002A3F16">
        <w:rPr>
          <w:rFonts w:ascii="TimesNewRoman" w:hAnsi="TimesNewRoman" w:cs="TimesNewRoman"/>
          <w:sz w:val="24"/>
          <w:szCs w:val="24"/>
        </w:rPr>
        <w:t>A cet effet, l'introduction des Normes Internationales est supposée :</w:t>
      </w:r>
    </w:p>
    <w:p w:rsidR="002A3F16" w:rsidRPr="002A3F16" w:rsidRDefault="002A3F16" w:rsidP="002A3F16">
      <w:pPr>
        <w:numPr>
          <w:ilvl w:val="0"/>
          <w:numId w:val="27"/>
        </w:numPr>
        <w:autoSpaceDE w:val="0"/>
        <w:autoSpaceDN w:val="0"/>
        <w:adjustRightInd w:val="0"/>
        <w:spacing w:before="60" w:beforeAutospacing="0" w:after="60" w:afterAutospacing="0" w:line="276" w:lineRule="auto"/>
        <w:contextualSpacing/>
        <w:jc w:val="both"/>
        <w:rPr>
          <w:rFonts w:ascii="TimesNewRoman" w:hAnsi="TimesNewRoman" w:cs="TimesNewRoman"/>
          <w:sz w:val="24"/>
          <w:szCs w:val="24"/>
        </w:rPr>
      </w:pPr>
      <w:r w:rsidRPr="002A3F16">
        <w:rPr>
          <w:rFonts w:ascii="TimesNewRoman" w:hAnsi="TimesNewRoman" w:cs="TimesNewRoman"/>
          <w:sz w:val="24"/>
          <w:szCs w:val="24"/>
        </w:rPr>
        <w:t>Apporter plus de transparence et de fiabilité dans les comptes et dans l’information financière qu’ils véhiculent, ce qui renforcera la crédibilité des Entreprises ;</w:t>
      </w:r>
    </w:p>
    <w:p w:rsidR="002A3F16" w:rsidRPr="002A3F16" w:rsidRDefault="002A3F16" w:rsidP="002A3F16">
      <w:pPr>
        <w:numPr>
          <w:ilvl w:val="0"/>
          <w:numId w:val="27"/>
        </w:numPr>
        <w:autoSpaceDE w:val="0"/>
        <w:autoSpaceDN w:val="0"/>
        <w:adjustRightInd w:val="0"/>
        <w:spacing w:before="60" w:beforeAutospacing="0" w:after="60" w:afterAutospacing="0" w:line="276" w:lineRule="auto"/>
        <w:contextualSpacing/>
        <w:jc w:val="both"/>
        <w:rPr>
          <w:rFonts w:ascii="TimesNewRoman" w:hAnsi="TimesNewRoman" w:cs="TimesNewRoman"/>
          <w:sz w:val="24"/>
          <w:szCs w:val="24"/>
        </w:rPr>
      </w:pPr>
      <w:r w:rsidRPr="002A3F16">
        <w:rPr>
          <w:rFonts w:ascii="TimesNewRoman" w:hAnsi="TimesNewRoman" w:cs="TimesNewRoman"/>
          <w:sz w:val="24"/>
          <w:szCs w:val="24"/>
        </w:rPr>
        <w:lastRenderedPageBreak/>
        <w:t>Permettre une meilleure comparabilité dans le temps et dans l’espace des situations financières ;</w:t>
      </w:r>
    </w:p>
    <w:p w:rsidR="002A3F16" w:rsidRPr="002A3F16" w:rsidRDefault="002A3F16" w:rsidP="002A3F16">
      <w:pPr>
        <w:numPr>
          <w:ilvl w:val="0"/>
          <w:numId w:val="27"/>
        </w:numPr>
        <w:autoSpaceDE w:val="0"/>
        <w:autoSpaceDN w:val="0"/>
        <w:adjustRightInd w:val="0"/>
        <w:spacing w:before="60" w:beforeAutospacing="0" w:after="60" w:afterAutospacing="0" w:line="276" w:lineRule="auto"/>
        <w:contextualSpacing/>
        <w:jc w:val="both"/>
        <w:rPr>
          <w:rFonts w:ascii="TimesNewRoman" w:hAnsi="TimesNewRoman" w:cs="TimesNewRoman"/>
          <w:sz w:val="24"/>
          <w:szCs w:val="24"/>
        </w:rPr>
      </w:pPr>
      <w:r w:rsidRPr="002A3F16">
        <w:rPr>
          <w:rFonts w:ascii="TimesNewRoman" w:hAnsi="TimesNewRoman" w:cs="TimesNewRoman"/>
          <w:sz w:val="24"/>
          <w:szCs w:val="24"/>
        </w:rPr>
        <w:t>Encourager l’investissement du fait d’une meilleure lisibilité des comptes par les analystes financiers et les investisseurs ;</w:t>
      </w:r>
    </w:p>
    <w:p w:rsidR="002A3F16" w:rsidRPr="002A3F16" w:rsidRDefault="002A3F16" w:rsidP="002A3F16">
      <w:pPr>
        <w:numPr>
          <w:ilvl w:val="0"/>
          <w:numId w:val="27"/>
        </w:numPr>
        <w:autoSpaceDE w:val="0"/>
        <w:autoSpaceDN w:val="0"/>
        <w:adjustRightInd w:val="0"/>
        <w:spacing w:before="60" w:beforeAutospacing="0" w:after="60" w:afterAutospacing="0" w:line="276" w:lineRule="auto"/>
        <w:contextualSpacing/>
        <w:jc w:val="both"/>
        <w:rPr>
          <w:rFonts w:ascii="TimesNewRoman" w:hAnsi="TimesNewRoman" w:cs="TimesNewRoman"/>
          <w:sz w:val="24"/>
          <w:szCs w:val="24"/>
        </w:rPr>
      </w:pPr>
      <w:r w:rsidRPr="002A3F16">
        <w:rPr>
          <w:rFonts w:ascii="TimesNewRoman" w:hAnsi="TimesNewRoman" w:cs="TimesNewRoman"/>
          <w:sz w:val="24"/>
          <w:szCs w:val="24"/>
        </w:rPr>
        <w:t xml:space="preserve">Favoriser l’émergence d’un marché financier tout en assurant la fluidité des capitaux </w:t>
      </w:r>
    </w:p>
    <w:p w:rsidR="002A3F16" w:rsidRPr="002A3F16" w:rsidRDefault="002A3F16" w:rsidP="002A3F16">
      <w:pPr>
        <w:numPr>
          <w:ilvl w:val="0"/>
          <w:numId w:val="27"/>
        </w:numPr>
        <w:autoSpaceDE w:val="0"/>
        <w:autoSpaceDN w:val="0"/>
        <w:adjustRightInd w:val="0"/>
        <w:spacing w:before="60" w:beforeAutospacing="0" w:after="60" w:afterAutospacing="0" w:line="276" w:lineRule="auto"/>
        <w:contextualSpacing/>
        <w:jc w:val="both"/>
        <w:rPr>
          <w:rFonts w:ascii="TimesNewRoman" w:hAnsi="TimesNewRoman" w:cs="TimesNewRoman"/>
          <w:sz w:val="24"/>
          <w:szCs w:val="24"/>
        </w:rPr>
      </w:pPr>
      <w:r w:rsidRPr="002A3F16">
        <w:rPr>
          <w:rFonts w:ascii="TimesNewRoman" w:hAnsi="TimesNewRoman" w:cs="TimesNewRoman"/>
          <w:sz w:val="24"/>
          <w:szCs w:val="24"/>
        </w:rPr>
        <w:t>Rééquilibrer la présentation des comptes sociaux qui soient utiles aux dirigeants et notamment aux investisseurs.</w:t>
      </w:r>
    </w:p>
    <w:p w:rsidR="002A3F16" w:rsidRPr="002A3F16" w:rsidRDefault="002A3F16" w:rsidP="002A3F16">
      <w:pPr>
        <w:autoSpaceDE w:val="0"/>
        <w:autoSpaceDN w:val="0"/>
        <w:adjustRightInd w:val="0"/>
        <w:spacing w:before="60" w:beforeAutospacing="0" w:after="60" w:afterAutospacing="0" w:line="276" w:lineRule="auto"/>
        <w:jc w:val="both"/>
        <w:rPr>
          <w:rFonts w:ascii="TimesNewRoman" w:hAnsi="TimesNewRoman" w:cs="TimesNewRoman"/>
          <w:sz w:val="24"/>
          <w:szCs w:val="24"/>
        </w:rPr>
      </w:pPr>
    </w:p>
    <w:p w:rsidR="002A3F16" w:rsidRPr="002A3F16" w:rsidRDefault="002A3F16" w:rsidP="002A3F16">
      <w:pPr>
        <w:autoSpaceDE w:val="0"/>
        <w:autoSpaceDN w:val="0"/>
        <w:adjustRightInd w:val="0"/>
        <w:spacing w:before="60" w:beforeAutospacing="0" w:after="60" w:afterAutospacing="0" w:line="276" w:lineRule="auto"/>
        <w:jc w:val="both"/>
        <w:rPr>
          <w:rFonts w:ascii="TimesNewRoman" w:hAnsi="TimesNewRoman" w:cs="TimesNewRoman"/>
          <w:sz w:val="24"/>
          <w:szCs w:val="24"/>
        </w:rPr>
      </w:pPr>
    </w:p>
    <w:p w:rsidR="002A3F16" w:rsidRPr="002A3F16" w:rsidRDefault="002A3F16" w:rsidP="002A3F16">
      <w:pPr>
        <w:autoSpaceDE w:val="0"/>
        <w:autoSpaceDN w:val="0"/>
        <w:adjustRightInd w:val="0"/>
        <w:spacing w:before="60" w:beforeAutospacing="0" w:after="60" w:afterAutospacing="0" w:line="276" w:lineRule="auto"/>
        <w:jc w:val="both"/>
        <w:rPr>
          <w:rFonts w:ascii="TimesNewRoman" w:hAnsi="TimesNewRoman" w:cs="TimesNewRoman"/>
          <w:sz w:val="24"/>
          <w:szCs w:val="24"/>
        </w:rPr>
      </w:pPr>
    </w:p>
    <w:p w:rsidR="002A3F16" w:rsidRDefault="002A3F16" w:rsidP="002A3F16">
      <w:pPr>
        <w:autoSpaceDE w:val="0"/>
        <w:autoSpaceDN w:val="0"/>
        <w:adjustRightInd w:val="0"/>
        <w:spacing w:before="60" w:beforeAutospacing="0" w:after="60" w:afterAutospacing="0" w:line="276" w:lineRule="auto"/>
        <w:jc w:val="both"/>
        <w:rPr>
          <w:rFonts w:ascii="TimesNewRoman" w:hAnsi="TimesNewRoman" w:cs="TimesNewRoman"/>
          <w:sz w:val="24"/>
          <w:szCs w:val="24"/>
        </w:rPr>
      </w:pPr>
    </w:p>
    <w:p w:rsidR="002A3F16" w:rsidRDefault="002A3F16" w:rsidP="002A3F16">
      <w:pPr>
        <w:autoSpaceDE w:val="0"/>
        <w:autoSpaceDN w:val="0"/>
        <w:adjustRightInd w:val="0"/>
        <w:spacing w:before="60" w:beforeAutospacing="0" w:after="60" w:afterAutospacing="0" w:line="276" w:lineRule="auto"/>
        <w:jc w:val="both"/>
        <w:rPr>
          <w:rFonts w:ascii="TimesNewRoman" w:hAnsi="TimesNewRoman" w:cs="TimesNewRoman"/>
          <w:sz w:val="24"/>
          <w:szCs w:val="24"/>
        </w:rPr>
      </w:pPr>
    </w:p>
    <w:p w:rsidR="002A3F16" w:rsidRDefault="002A3F16" w:rsidP="002A3F16">
      <w:pPr>
        <w:autoSpaceDE w:val="0"/>
        <w:autoSpaceDN w:val="0"/>
        <w:adjustRightInd w:val="0"/>
        <w:spacing w:before="60" w:beforeAutospacing="0" w:after="60" w:afterAutospacing="0" w:line="276" w:lineRule="auto"/>
        <w:jc w:val="both"/>
        <w:rPr>
          <w:rFonts w:ascii="TimesNewRoman" w:hAnsi="TimesNewRoman" w:cs="TimesNewRoman"/>
          <w:sz w:val="24"/>
          <w:szCs w:val="24"/>
        </w:rPr>
      </w:pPr>
    </w:p>
    <w:p w:rsidR="002A3F16" w:rsidRDefault="002A3F16" w:rsidP="002A3F16">
      <w:pPr>
        <w:autoSpaceDE w:val="0"/>
        <w:autoSpaceDN w:val="0"/>
        <w:adjustRightInd w:val="0"/>
        <w:spacing w:before="60" w:beforeAutospacing="0" w:after="60" w:afterAutospacing="0" w:line="276" w:lineRule="auto"/>
        <w:jc w:val="both"/>
        <w:rPr>
          <w:rFonts w:ascii="TimesNewRoman" w:hAnsi="TimesNewRoman" w:cs="TimesNewRoman"/>
          <w:sz w:val="24"/>
          <w:szCs w:val="24"/>
        </w:rPr>
      </w:pPr>
    </w:p>
    <w:p w:rsidR="002A3F16" w:rsidRDefault="002A3F16" w:rsidP="002A3F16">
      <w:pPr>
        <w:autoSpaceDE w:val="0"/>
        <w:autoSpaceDN w:val="0"/>
        <w:adjustRightInd w:val="0"/>
        <w:spacing w:before="60" w:beforeAutospacing="0" w:after="60" w:afterAutospacing="0" w:line="276" w:lineRule="auto"/>
        <w:jc w:val="both"/>
        <w:rPr>
          <w:rFonts w:ascii="TimesNewRoman" w:hAnsi="TimesNewRoman" w:cs="TimesNewRoman"/>
          <w:sz w:val="24"/>
          <w:szCs w:val="24"/>
        </w:rPr>
      </w:pPr>
    </w:p>
    <w:p w:rsidR="002A3F16" w:rsidRDefault="002A3F16" w:rsidP="002A3F16">
      <w:pPr>
        <w:autoSpaceDE w:val="0"/>
        <w:autoSpaceDN w:val="0"/>
        <w:adjustRightInd w:val="0"/>
        <w:spacing w:before="60" w:beforeAutospacing="0" w:after="60" w:afterAutospacing="0" w:line="276" w:lineRule="auto"/>
        <w:jc w:val="both"/>
        <w:rPr>
          <w:rFonts w:ascii="TimesNewRoman" w:hAnsi="TimesNewRoman" w:cs="TimesNewRoman"/>
          <w:sz w:val="24"/>
          <w:szCs w:val="24"/>
        </w:rPr>
      </w:pPr>
    </w:p>
    <w:p w:rsidR="002A3F16" w:rsidRDefault="002A3F16" w:rsidP="002A3F16">
      <w:pPr>
        <w:autoSpaceDE w:val="0"/>
        <w:autoSpaceDN w:val="0"/>
        <w:adjustRightInd w:val="0"/>
        <w:spacing w:before="60" w:beforeAutospacing="0" w:after="60" w:afterAutospacing="0" w:line="276" w:lineRule="auto"/>
        <w:jc w:val="both"/>
        <w:rPr>
          <w:rFonts w:ascii="TimesNewRoman" w:hAnsi="TimesNewRoman" w:cs="TimesNewRoman"/>
          <w:sz w:val="24"/>
          <w:szCs w:val="24"/>
        </w:rPr>
      </w:pPr>
    </w:p>
    <w:p w:rsidR="002A3F16" w:rsidRPr="002A3F16" w:rsidRDefault="002A3F16" w:rsidP="002A3F16">
      <w:pPr>
        <w:autoSpaceDE w:val="0"/>
        <w:autoSpaceDN w:val="0"/>
        <w:adjustRightInd w:val="0"/>
        <w:spacing w:before="60" w:beforeAutospacing="0" w:after="60" w:afterAutospacing="0" w:line="276" w:lineRule="auto"/>
        <w:jc w:val="both"/>
        <w:rPr>
          <w:rFonts w:ascii="TimesNewRoman" w:hAnsi="TimesNewRoman" w:cs="TimesNewRoman"/>
          <w:sz w:val="24"/>
          <w:szCs w:val="24"/>
        </w:rPr>
      </w:pPr>
    </w:p>
    <w:p w:rsidR="002A3F16" w:rsidRPr="002A3F16" w:rsidRDefault="002A3F16" w:rsidP="002A3F16">
      <w:pPr>
        <w:autoSpaceDE w:val="0"/>
        <w:autoSpaceDN w:val="0"/>
        <w:adjustRightInd w:val="0"/>
        <w:spacing w:before="60" w:beforeAutospacing="0" w:after="60" w:afterAutospacing="0" w:line="276" w:lineRule="auto"/>
        <w:jc w:val="both"/>
        <w:rPr>
          <w:rFonts w:ascii="TimesNewRoman" w:hAnsi="TimesNewRoman" w:cs="TimesNewRoman"/>
          <w:sz w:val="24"/>
          <w:szCs w:val="24"/>
        </w:rPr>
      </w:pPr>
    </w:p>
    <w:p w:rsidR="002A3F16" w:rsidRPr="002A3F16" w:rsidRDefault="002A3F16" w:rsidP="002A3F16">
      <w:pPr>
        <w:autoSpaceDE w:val="0"/>
        <w:autoSpaceDN w:val="0"/>
        <w:adjustRightInd w:val="0"/>
        <w:spacing w:before="60" w:beforeAutospacing="0" w:after="60" w:afterAutospacing="0" w:line="276" w:lineRule="auto"/>
        <w:jc w:val="both"/>
        <w:rPr>
          <w:rFonts w:ascii="TimesNewRoman" w:hAnsi="TimesNewRoman" w:cs="TimesNewRoman"/>
          <w:sz w:val="24"/>
          <w:szCs w:val="24"/>
        </w:rPr>
      </w:pPr>
    </w:p>
    <w:p w:rsidR="002A3F16" w:rsidRPr="002A3F16" w:rsidRDefault="002A3F16" w:rsidP="002A3F16">
      <w:pPr>
        <w:autoSpaceDE w:val="0"/>
        <w:autoSpaceDN w:val="0"/>
        <w:adjustRightInd w:val="0"/>
        <w:spacing w:before="60" w:beforeAutospacing="0" w:after="60" w:afterAutospacing="0" w:line="276" w:lineRule="auto"/>
        <w:jc w:val="both"/>
        <w:rPr>
          <w:rFonts w:ascii="TimesNewRoman" w:hAnsi="TimesNewRoman" w:cs="TimesNewRoman"/>
          <w:sz w:val="24"/>
          <w:szCs w:val="24"/>
        </w:rPr>
      </w:pPr>
    </w:p>
    <w:p w:rsidR="002A3F16" w:rsidRDefault="002A3F16" w:rsidP="002A3F16">
      <w:pPr>
        <w:autoSpaceDE w:val="0"/>
        <w:autoSpaceDN w:val="0"/>
        <w:adjustRightInd w:val="0"/>
        <w:spacing w:before="60" w:beforeAutospacing="0" w:after="60" w:afterAutospacing="0" w:line="276" w:lineRule="auto"/>
        <w:jc w:val="both"/>
        <w:rPr>
          <w:rFonts w:ascii="TimesNewRoman" w:hAnsi="TimesNewRoman" w:cs="TimesNewRoman"/>
          <w:sz w:val="24"/>
          <w:szCs w:val="24"/>
        </w:rPr>
      </w:pPr>
    </w:p>
    <w:p w:rsidR="002A3F16" w:rsidRDefault="002A3F16" w:rsidP="002A3F16">
      <w:pPr>
        <w:autoSpaceDE w:val="0"/>
        <w:autoSpaceDN w:val="0"/>
        <w:adjustRightInd w:val="0"/>
        <w:spacing w:before="60" w:beforeAutospacing="0" w:after="60" w:afterAutospacing="0" w:line="276" w:lineRule="auto"/>
        <w:jc w:val="both"/>
        <w:rPr>
          <w:rFonts w:ascii="TimesNewRoman" w:hAnsi="TimesNewRoman" w:cs="TimesNewRoman"/>
          <w:sz w:val="24"/>
          <w:szCs w:val="24"/>
        </w:rPr>
      </w:pPr>
    </w:p>
    <w:p w:rsidR="002A3F16" w:rsidRDefault="002A3F16" w:rsidP="002A3F16">
      <w:pPr>
        <w:autoSpaceDE w:val="0"/>
        <w:autoSpaceDN w:val="0"/>
        <w:adjustRightInd w:val="0"/>
        <w:spacing w:before="60" w:beforeAutospacing="0" w:after="60" w:afterAutospacing="0" w:line="276" w:lineRule="auto"/>
        <w:jc w:val="both"/>
        <w:rPr>
          <w:rFonts w:ascii="TimesNewRoman" w:hAnsi="TimesNewRoman" w:cs="TimesNewRoman"/>
          <w:sz w:val="24"/>
          <w:szCs w:val="24"/>
        </w:rPr>
      </w:pPr>
    </w:p>
    <w:p w:rsidR="002A3F16" w:rsidRDefault="002A3F16" w:rsidP="002A3F16">
      <w:pPr>
        <w:autoSpaceDE w:val="0"/>
        <w:autoSpaceDN w:val="0"/>
        <w:adjustRightInd w:val="0"/>
        <w:spacing w:before="60" w:beforeAutospacing="0" w:after="60" w:afterAutospacing="0" w:line="276" w:lineRule="auto"/>
        <w:jc w:val="both"/>
        <w:rPr>
          <w:rFonts w:ascii="TimesNewRoman" w:hAnsi="TimesNewRoman" w:cs="TimesNewRoman"/>
          <w:sz w:val="24"/>
          <w:szCs w:val="24"/>
        </w:rPr>
      </w:pPr>
    </w:p>
    <w:p w:rsidR="002A3F16" w:rsidRDefault="002A3F16" w:rsidP="002A3F16">
      <w:pPr>
        <w:autoSpaceDE w:val="0"/>
        <w:autoSpaceDN w:val="0"/>
        <w:adjustRightInd w:val="0"/>
        <w:spacing w:before="60" w:beforeAutospacing="0" w:after="60" w:afterAutospacing="0" w:line="276" w:lineRule="auto"/>
        <w:jc w:val="both"/>
        <w:rPr>
          <w:rFonts w:ascii="TimesNewRoman" w:hAnsi="TimesNewRoman" w:cs="TimesNewRoman"/>
          <w:sz w:val="24"/>
          <w:szCs w:val="24"/>
        </w:rPr>
      </w:pPr>
    </w:p>
    <w:p w:rsidR="002A3F16" w:rsidRDefault="002A3F16" w:rsidP="002A3F16">
      <w:pPr>
        <w:autoSpaceDE w:val="0"/>
        <w:autoSpaceDN w:val="0"/>
        <w:adjustRightInd w:val="0"/>
        <w:spacing w:before="60" w:beforeAutospacing="0" w:after="60" w:afterAutospacing="0" w:line="276" w:lineRule="auto"/>
        <w:jc w:val="both"/>
        <w:rPr>
          <w:rFonts w:ascii="TimesNewRoman" w:hAnsi="TimesNewRoman" w:cs="TimesNewRoman"/>
          <w:sz w:val="24"/>
          <w:szCs w:val="24"/>
        </w:rPr>
      </w:pPr>
    </w:p>
    <w:p w:rsidR="002A3F16" w:rsidRDefault="002A3F16" w:rsidP="002A3F16">
      <w:pPr>
        <w:autoSpaceDE w:val="0"/>
        <w:autoSpaceDN w:val="0"/>
        <w:adjustRightInd w:val="0"/>
        <w:spacing w:before="60" w:beforeAutospacing="0" w:after="60" w:afterAutospacing="0" w:line="276" w:lineRule="auto"/>
        <w:jc w:val="both"/>
        <w:rPr>
          <w:rFonts w:ascii="TimesNewRoman" w:hAnsi="TimesNewRoman" w:cs="TimesNewRoman"/>
          <w:sz w:val="24"/>
          <w:szCs w:val="24"/>
        </w:rPr>
      </w:pPr>
    </w:p>
    <w:p w:rsidR="002A3F16" w:rsidRDefault="002A3F16" w:rsidP="002A3F16">
      <w:pPr>
        <w:autoSpaceDE w:val="0"/>
        <w:autoSpaceDN w:val="0"/>
        <w:adjustRightInd w:val="0"/>
        <w:spacing w:before="60" w:beforeAutospacing="0" w:after="60" w:afterAutospacing="0" w:line="276" w:lineRule="auto"/>
        <w:jc w:val="both"/>
        <w:rPr>
          <w:rFonts w:ascii="TimesNewRoman" w:hAnsi="TimesNewRoman" w:cs="TimesNewRoman"/>
          <w:sz w:val="24"/>
          <w:szCs w:val="24"/>
        </w:rPr>
      </w:pPr>
    </w:p>
    <w:p w:rsidR="002A3F16" w:rsidRDefault="002A3F16" w:rsidP="002A3F16">
      <w:pPr>
        <w:autoSpaceDE w:val="0"/>
        <w:autoSpaceDN w:val="0"/>
        <w:adjustRightInd w:val="0"/>
        <w:spacing w:before="60" w:beforeAutospacing="0" w:after="60" w:afterAutospacing="0" w:line="276" w:lineRule="auto"/>
        <w:jc w:val="both"/>
        <w:rPr>
          <w:rFonts w:ascii="TimesNewRoman" w:hAnsi="TimesNewRoman" w:cs="TimesNewRoman"/>
          <w:sz w:val="24"/>
          <w:szCs w:val="24"/>
        </w:rPr>
      </w:pPr>
    </w:p>
    <w:p w:rsidR="002A3F16" w:rsidRDefault="002A3F16" w:rsidP="002A3F16">
      <w:pPr>
        <w:autoSpaceDE w:val="0"/>
        <w:autoSpaceDN w:val="0"/>
        <w:adjustRightInd w:val="0"/>
        <w:spacing w:before="60" w:beforeAutospacing="0" w:after="60" w:afterAutospacing="0" w:line="276" w:lineRule="auto"/>
        <w:jc w:val="both"/>
        <w:rPr>
          <w:rFonts w:ascii="TimesNewRoman" w:hAnsi="TimesNewRoman" w:cs="TimesNewRoman"/>
          <w:sz w:val="24"/>
          <w:szCs w:val="24"/>
        </w:rPr>
      </w:pPr>
    </w:p>
    <w:p w:rsidR="002A3F16" w:rsidRDefault="002A3F16" w:rsidP="002A3F16">
      <w:pPr>
        <w:autoSpaceDE w:val="0"/>
        <w:autoSpaceDN w:val="0"/>
        <w:adjustRightInd w:val="0"/>
        <w:spacing w:before="60" w:beforeAutospacing="0" w:after="60" w:afterAutospacing="0" w:line="276" w:lineRule="auto"/>
        <w:jc w:val="both"/>
        <w:rPr>
          <w:rFonts w:ascii="TimesNewRoman" w:hAnsi="TimesNewRoman" w:cs="TimesNewRoman"/>
          <w:sz w:val="24"/>
          <w:szCs w:val="24"/>
        </w:rPr>
      </w:pPr>
    </w:p>
    <w:p w:rsidR="002A3F16" w:rsidRDefault="002A3F16" w:rsidP="002A3F16">
      <w:pPr>
        <w:autoSpaceDE w:val="0"/>
        <w:autoSpaceDN w:val="0"/>
        <w:adjustRightInd w:val="0"/>
        <w:spacing w:before="60" w:beforeAutospacing="0" w:after="60" w:afterAutospacing="0" w:line="276" w:lineRule="auto"/>
        <w:jc w:val="both"/>
        <w:rPr>
          <w:rFonts w:ascii="TimesNewRoman" w:hAnsi="TimesNewRoman" w:cs="TimesNewRoman"/>
          <w:sz w:val="24"/>
          <w:szCs w:val="24"/>
        </w:rPr>
      </w:pPr>
    </w:p>
    <w:p w:rsidR="002A3F16" w:rsidRPr="002A3F16" w:rsidRDefault="002A3F16" w:rsidP="002A3F16">
      <w:pPr>
        <w:autoSpaceDE w:val="0"/>
        <w:autoSpaceDN w:val="0"/>
        <w:adjustRightInd w:val="0"/>
        <w:spacing w:before="60" w:beforeAutospacing="0" w:after="60" w:afterAutospacing="0" w:line="276" w:lineRule="auto"/>
        <w:jc w:val="both"/>
        <w:rPr>
          <w:rFonts w:ascii="TimesNewRoman" w:hAnsi="TimesNewRoman" w:cs="TimesNewRoman"/>
          <w:sz w:val="24"/>
          <w:szCs w:val="24"/>
        </w:rPr>
      </w:pPr>
    </w:p>
    <w:p w:rsidR="002A3F16" w:rsidRPr="002A3F16" w:rsidRDefault="002A3F16" w:rsidP="002A3F16">
      <w:pPr>
        <w:autoSpaceDE w:val="0"/>
        <w:autoSpaceDN w:val="0"/>
        <w:adjustRightInd w:val="0"/>
        <w:spacing w:before="60" w:beforeAutospacing="0" w:after="60" w:afterAutospacing="0" w:line="276" w:lineRule="auto"/>
        <w:jc w:val="both"/>
        <w:rPr>
          <w:rFonts w:ascii="TimesNewRoman" w:hAnsi="TimesNewRoman" w:cs="TimesNewRoman"/>
          <w:sz w:val="24"/>
          <w:szCs w:val="24"/>
        </w:rPr>
      </w:pPr>
    </w:p>
    <w:p w:rsidR="002A3F16" w:rsidRPr="002A3F16" w:rsidRDefault="002A3F16" w:rsidP="002A3F16">
      <w:pPr>
        <w:spacing w:before="0" w:beforeAutospacing="0" w:after="200" w:afterAutospacing="0" w:line="276" w:lineRule="auto"/>
        <w:rPr>
          <w:rFonts w:ascii="Times New Roman" w:hAnsi="Times New Roman" w:cs="Times New Roman"/>
          <w:b/>
          <w:i/>
          <w:sz w:val="26"/>
          <w:szCs w:val="26"/>
        </w:rPr>
      </w:pPr>
      <w:r w:rsidRPr="002A3F16">
        <w:rPr>
          <w:rFonts w:ascii="Times New Roman" w:hAnsi="Times New Roman" w:cs="Times New Roman"/>
          <w:b/>
          <w:i/>
          <w:sz w:val="26"/>
          <w:szCs w:val="26"/>
        </w:rPr>
        <w:lastRenderedPageBreak/>
        <w:t>Section 2 : Système comptable financier (SCF) : Conventions et principes</w:t>
      </w:r>
    </w:p>
    <w:p w:rsidR="002A3F16" w:rsidRPr="002A3F16" w:rsidRDefault="002A3F16" w:rsidP="002A3F16">
      <w:pPr>
        <w:spacing w:before="0" w:beforeAutospacing="0" w:after="60" w:afterAutospacing="0" w:line="276" w:lineRule="auto"/>
        <w:ind w:firstLine="284"/>
        <w:jc w:val="both"/>
        <w:rPr>
          <w:rFonts w:ascii="Times New Roman" w:hAnsi="Times New Roman" w:cs="Times New Roman"/>
          <w:color w:val="FF0000"/>
          <w:sz w:val="24"/>
          <w:szCs w:val="24"/>
        </w:rPr>
      </w:pPr>
      <w:r w:rsidRPr="002A3F16">
        <w:rPr>
          <w:rFonts w:ascii="Times New Roman" w:eastAsia="Times New Roman" w:hAnsi="Times New Roman" w:cs="Times New Roman"/>
          <w:sz w:val="24"/>
          <w:szCs w:val="24"/>
          <w:lang w:eastAsia="fr-FR"/>
        </w:rPr>
        <w:t>Le Système Comptable Financier a été mis en place par la loi 07-11. Ce système est fortement inspiré du référentiel comptable international établi par l’IASB. A travers cette section, nous présenterons les fondements conceptuels du système comptable et financier. Ensuite, et afin d’avoir une idée précise sur l’état de convergence de ce système avec les normes internationales, nous allons présenter les principales divergences qui existent entre le SCF et le référentiel de l’IASB.</w:t>
      </w:r>
    </w:p>
    <w:p w:rsidR="002A3F16" w:rsidRPr="002A3F16" w:rsidRDefault="002A3F16" w:rsidP="002A3F16">
      <w:pPr>
        <w:spacing w:before="120" w:beforeAutospacing="0" w:after="120" w:afterAutospacing="0" w:line="276" w:lineRule="auto"/>
        <w:jc w:val="both"/>
        <w:rPr>
          <w:rFonts w:ascii="Times New Roman" w:hAnsi="Times New Roman" w:cs="Times New Roman"/>
          <w:b/>
          <w:sz w:val="26"/>
          <w:szCs w:val="26"/>
        </w:rPr>
      </w:pPr>
      <w:r w:rsidRPr="002A3F16">
        <w:rPr>
          <w:rFonts w:ascii="Times New Roman" w:hAnsi="Times New Roman" w:cs="Times New Roman"/>
          <w:b/>
          <w:sz w:val="26"/>
          <w:szCs w:val="26"/>
        </w:rPr>
        <w:t xml:space="preserve">2.1. Définition du système comptable financier (SCF) </w:t>
      </w:r>
    </w:p>
    <w:p w:rsidR="002A3F16" w:rsidRPr="002A3F16" w:rsidRDefault="002A3F16" w:rsidP="002A3F16">
      <w:pPr>
        <w:spacing w:before="60" w:beforeAutospacing="0" w:after="60" w:afterAutospacing="0" w:line="276" w:lineRule="auto"/>
        <w:ind w:firstLine="284"/>
        <w:jc w:val="both"/>
        <w:rPr>
          <w:rFonts w:ascii="Times New Roman" w:eastAsia="Times New Roman" w:hAnsi="Times New Roman" w:cs="Times New Roman"/>
          <w:sz w:val="24"/>
          <w:szCs w:val="24"/>
          <w:lang w:eastAsia="fr-FR"/>
        </w:rPr>
      </w:pPr>
      <w:r w:rsidRPr="002A3F16">
        <w:rPr>
          <w:rFonts w:ascii="Times New Roman" w:eastAsia="Times New Roman" w:hAnsi="Times New Roman" w:cs="Times New Roman"/>
          <w:sz w:val="24"/>
          <w:szCs w:val="24"/>
          <w:lang w:eastAsia="fr-FR"/>
        </w:rPr>
        <w:t>Le nouveau système comptable financier établit des règles communes de tenue, de collecte, d'établissement et de présentation des états financiers des entreprises algériennes et des organisations soumises à la tenue d'une comptabilité.</w:t>
      </w:r>
    </w:p>
    <w:p w:rsidR="002A3F16" w:rsidRPr="002A3F16" w:rsidRDefault="002A3F16" w:rsidP="002A3F16">
      <w:pPr>
        <w:spacing w:before="60" w:beforeAutospacing="0" w:after="60" w:afterAutospacing="0" w:line="276" w:lineRule="auto"/>
        <w:ind w:firstLine="284"/>
        <w:jc w:val="both"/>
        <w:rPr>
          <w:rFonts w:ascii="Times New Roman" w:hAnsi="Times New Roman" w:cs="Times New Roman"/>
          <w:sz w:val="24"/>
          <w:szCs w:val="24"/>
        </w:rPr>
      </w:pPr>
      <w:r w:rsidRPr="002A3F16">
        <w:rPr>
          <w:rFonts w:ascii="Times New Roman" w:hAnsi="Times New Roman" w:cs="Times New Roman"/>
          <w:sz w:val="24"/>
          <w:szCs w:val="24"/>
        </w:rPr>
        <w:t xml:space="preserve">La mise en place du SCF est intervenue suite aux insuffisances du Plan Comptable National, qui  </w:t>
      </w:r>
      <w:proofErr w:type="spellStart"/>
      <w:r w:rsidRPr="002A3F16">
        <w:rPr>
          <w:rFonts w:ascii="Times New Roman" w:hAnsi="Times New Roman" w:cs="Times New Roman"/>
          <w:sz w:val="24"/>
          <w:szCs w:val="24"/>
        </w:rPr>
        <w:t>à</w:t>
      </w:r>
      <w:proofErr w:type="spellEnd"/>
      <w:r w:rsidRPr="002A3F16">
        <w:rPr>
          <w:rFonts w:ascii="Times New Roman" w:hAnsi="Times New Roman" w:cs="Times New Roman"/>
          <w:sz w:val="24"/>
          <w:szCs w:val="24"/>
        </w:rPr>
        <w:t xml:space="preserve"> l’expérience, il s’est avéré qu’il ne pouvait plus assurer ni la prise en charge, du point de vue comptable, des nouveaux instruments économiques et financiers, ni une présentation des états financiers conforme aux standards internationaux pour permettre aux divers utilisateurs, notamment les investisseurs et les gestionnaires, d’accéder à une information financière, transparente, et directement exploitable.</w:t>
      </w:r>
    </w:p>
    <w:p w:rsidR="002A3F16" w:rsidRPr="002A3F16" w:rsidRDefault="002A3F16" w:rsidP="002A3F16">
      <w:pPr>
        <w:spacing w:before="60" w:beforeAutospacing="0" w:after="60" w:afterAutospacing="0" w:line="276" w:lineRule="auto"/>
        <w:ind w:firstLine="284"/>
        <w:jc w:val="both"/>
        <w:rPr>
          <w:rFonts w:ascii="Times New Roman" w:eastAsia="Times New Roman" w:hAnsi="Times New Roman" w:cs="Times New Roman"/>
          <w:sz w:val="24"/>
          <w:szCs w:val="24"/>
          <w:lang w:eastAsia="fr-FR"/>
        </w:rPr>
      </w:pPr>
      <w:r w:rsidRPr="002A3F16">
        <w:rPr>
          <w:rFonts w:ascii="Times New Roman" w:eastAsia="Times New Roman" w:hAnsi="Times New Roman" w:cs="Times New Roman"/>
          <w:sz w:val="24"/>
          <w:szCs w:val="24"/>
          <w:lang w:eastAsia="fr-FR"/>
        </w:rPr>
        <w:t>Dès lors, la finalité du SCF est d’instaurer les principes et règles comptables qui permettent aux entités appliquant le SCF de produire une information financière reflétant une image fidèle de la situation financière et de la performance de ces entités.</w:t>
      </w:r>
    </w:p>
    <w:p w:rsidR="002A3F16" w:rsidRPr="002A3F16" w:rsidRDefault="002A3F16" w:rsidP="002A3F16">
      <w:pPr>
        <w:spacing w:before="60" w:beforeAutospacing="0" w:after="60" w:afterAutospacing="0" w:line="276" w:lineRule="auto"/>
        <w:ind w:firstLine="284"/>
        <w:jc w:val="both"/>
        <w:rPr>
          <w:rFonts w:ascii="Times New Roman" w:hAnsi="Times New Roman" w:cs="Times New Roman"/>
          <w:sz w:val="24"/>
          <w:szCs w:val="24"/>
        </w:rPr>
      </w:pPr>
      <w:r w:rsidRPr="002A3F16">
        <w:rPr>
          <w:rFonts w:ascii="Times New Roman" w:hAnsi="Times New Roman" w:cs="Times New Roman"/>
          <w:sz w:val="24"/>
          <w:szCs w:val="24"/>
        </w:rPr>
        <w:t xml:space="preserve">Aussi, ce nouveau système est marqué par trois principales avancées. </w:t>
      </w:r>
    </w:p>
    <w:p w:rsidR="002A3F16" w:rsidRPr="002A3F16" w:rsidRDefault="002A3F16" w:rsidP="002A3F16">
      <w:pPr>
        <w:numPr>
          <w:ilvl w:val="0"/>
          <w:numId w:val="30"/>
        </w:numPr>
        <w:autoSpaceDE w:val="0"/>
        <w:autoSpaceDN w:val="0"/>
        <w:adjustRightInd w:val="0"/>
        <w:spacing w:before="60" w:beforeAutospacing="0" w:after="60" w:afterAutospacing="0" w:line="276" w:lineRule="auto"/>
        <w:contextualSpacing/>
        <w:jc w:val="both"/>
        <w:rPr>
          <w:rFonts w:ascii="Times New Roman" w:hAnsi="Times New Roman" w:cs="Times New Roman"/>
          <w:sz w:val="24"/>
          <w:szCs w:val="24"/>
        </w:rPr>
      </w:pPr>
      <w:r w:rsidRPr="002A3F16">
        <w:rPr>
          <w:rFonts w:ascii="Times New Roman" w:hAnsi="Times New Roman" w:cs="Times New Roman"/>
          <w:b/>
          <w:bCs/>
          <w:sz w:val="24"/>
          <w:szCs w:val="24"/>
        </w:rPr>
        <w:t xml:space="preserve">La première innovation </w:t>
      </w:r>
      <w:r w:rsidRPr="002A3F16">
        <w:rPr>
          <w:rFonts w:ascii="Times New Roman" w:hAnsi="Times New Roman" w:cs="Times New Roman"/>
          <w:sz w:val="24"/>
          <w:szCs w:val="24"/>
        </w:rPr>
        <w:t>porte sur le choix de la solution internationale qui rapproche notre pratique comptable de la pratique universelle, ce qui permettra à la comptabilité de fonctionner avec un socle conceptuel et des principes plus adaptés à l’économie moderne et de produire une information détaillé, reflétant une image fidèle de la situation financière des Entreprises.</w:t>
      </w:r>
    </w:p>
    <w:p w:rsidR="002A3F16" w:rsidRPr="002A3F16" w:rsidRDefault="002A3F16" w:rsidP="002A3F16">
      <w:pPr>
        <w:numPr>
          <w:ilvl w:val="0"/>
          <w:numId w:val="30"/>
        </w:numPr>
        <w:autoSpaceDE w:val="0"/>
        <w:autoSpaceDN w:val="0"/>
        <w:adjustRightInd w:val="0"/>
        <w:spacing w:before="60" w:beforeAutospacing="0" w:after="60" w:afterAutospacing="0" w:line="276" w:lineRule="auto"/>
        <w:contextualSpacing/>
        <w:jc w:val="both"/>
        <w:rPr>
          <w:rFonts w:ascii="Times New Roman" w:hAnsi="Times New Roman" w:cs="Times New Roman"/>
          <w:sz w:val="24"/>
          <w:szCs w:val="24"/>
        </w:rPr>
      </w:pPr>
      <w:r w:rsidRPr="002A3F16">
        <w:rPr>
          <w:rFonts w:ascii="Times New Roman" w:hAnsi="Times New Roman" w:cs="Times New Roman"/>
          <w:b/>
          <w:bCs/>
          <w:sz w:val="24"/>
          <w:szCs w:val="24"/>
        </w:rPr>
        <w:t xml:space="preserve">La deuxième innovation </w:t>
      </w:r>
      <w:r w:rsidRPr="002A3F16">
        <w:rPr>
          <w:rFonts w:ascii="Times New Roman" w:hAnsi="Times New Roman" w:cs="Times New Roman"/>
          <w:sz w:val="24"/>
          <w:szCs w:val="24"/>
        </w:rPr>
        <w:t>a trait à une énonciation de manière plus explicite des principes et des règles devant guider l’enregistrement comptable des transactions, leur évaluation et l’établissement des états financiers, ce qui limitera les risques de manipulation volontaire ou involontaire des règles et facilitera la vérification des comptes.</w:t>
      </w:r>
    </w:p>
    <w:p w:rsidR="002A3F16" w:rsidRPr="002A3F16" w:rsidRDefault="002A3F16" w:rsidP="002A3F16">
      <w:pPr>
        <w:autoSpaceDE w:val="0"/>
        <w:autoSpaceDN w:val="0"/>
        <w:adjustRightInd w:val="0"/>
        <w:spacing w:before="60" w:beforeAutospacing="0" w:after="60" w:afterAutospacing="0" w:line="276" w:lineRule="auto"/>
        <w:ind w:left="360"/>
        <w:contextualSpacing/>
        <w:jc w:val="both"/>
        <w:rPr>
          <w:rFonts w:ascii="Times New Roman" w:hAnsi="Times New Roman" w:cs="Times New Roman"/>
          <w:sz w:val="24"/>
          <w:szCs w:val="24"/>
        </w:rPr>
      </w:pPr>
      <w:r w:rsidRPr="002A3F16">
        <w:rPr>
          <w:rFonts w:ascii="Times New Roman" w:hAnsi="Times New Roman" w:cs="Times New Roman"/>
          <w:sz w:val="24"/>
          <w:szCs w:val="24"/>
        </w:rPr>
        <w:t>Il faut souligner également la prise en charge par le nouveau système comptable des besoins des investisseurs, actuels ou potentiels, qui disposeront d’une information financière sur les Entreprises à la fois harmonisée, lisible et permettant la comparabilité et la prise de décision.</w:t>
      </w:r>
    </w:p>
    <w:p w:rsidR="002A3F16" w:rsidRPr="002A3F16" w:rsidRDefault="002A3F16" w:rsidP="002A3F16">
      <w:pPr>
        <w:numPr>
          <w:ilvl w:val="0"/>
          <w:numId w:val="30"/>
        </w:numPr>
        <w:autoSpaceDE w:val="0"/>
        <w:autoSpaceDN w:val="0"/>
        <w:adjustRightInd w:val="0"/>
        <w:spacing w:before="60" w:beforeAutospacing="0" w:after="60" w:afterAutospacing="0" w:line="276" w:lineRule="auto"/>
        <w:ind w:left="357" w:hanging="357"/>
        <w:contextualSpacing/>
        <w:jc w:val="both"/>
        <w:rPr>
          <w:rFonts w:ascii="Times New Roman" w:hAnsi="Times New Roman" w:cs="Times New Roman"/>
          <w:sz w:val="24"/>
          <w:szCs w:val="24"/>
        </w:rPr>
      </w:pPr>
      <w:r w:rsidRPr="002A3F16">
        <w:rPr>
          <w:rFonts w:ascii="Times New Roman" w:hAnsi="Times New Roman" w:cs="Times New Roman"/>
          <w:sz w:val="24"/>
          <w:szCs w:val="24"/>
        </w:rPr>
        <w:t>L</w:t>
      </w:r>
      <w:r w:rsidRPr="002A3F16">
        <w:rPr>
          <w:rFonts w:ascii="Times New Roman" w:hAnsi="Times New Roman" w:cs="Times New Roman"/>
          <w:b/>
          <w:bCs/>
          <w:sz w:val="24"/>
          <w:szCs w:val="24"/>
        </w:rPr>
        <w:t xml:space="preserve">a troisième innovation </w:t>
      </w:r>
      <w:r w:rsidRPr="002A3F16">
        <w:rPr>
          <w:rFonts w:ascii="Times New Roman" w:hAnsi="Times New Roman" w:cs="Times New Roman"/>
          <w:sz w:val="24"/>
          <w:szCs w:val="24"/>
        </w:rPr>
        <w:t>réside dans la possibilité pour les très petites entités d’appliquer un système d’information basé sur une comptabilité simplifiée.</w:t>
      </w:r>
    </w:p>
    <w:p w:rsidR="002A3F16" w:rsidRPr="002A3F16" w:rsidRDefault="002A3F16" w:rsidP="002A3F16">
      <w:pPr>
        <w:spacing w:before="60" w:beforeAutospacing="0" w:after="60" w:afterAutospacing="0" w:line="276" w:lineRule="auto"/>
        <w:ind w:firstLine="284"/>
        <w:jc w:val="both"/>
        <w:rPr>
          <w:rFonts w:ascii="Times New Roman" w:hAnsi="Times New Roman" w:cs="Times New Roman"/>
          <w:sz w:val="24"/>
          <w:szCs w:val="24"/>
        </w:rPr>
      </w:pPr>
      <w:r w:rsidRPr="002A3F16">
        <w:rPr>
          <w:rFonts w:ascii="Times New Roman" w:hAnsi="Times New Roman" w:cs="Times New Roman"/>
          <w:sz w:val="24"/>
          <w:szCs w:val="24"/>
        </w:rPr>
        <w:lastRenderedPageBreak/>
        <w:t>En effet, le SCF présente les caractéristiques suivantes</w:t>
      </w:r>
      <w:r w:rsidRPr="002A3F16">
        <w:rPr>
          <w:rFonts w:ascii="Times New Roman" w:hAnsi="Times New Roman" w:cs="Times New Roman"/>
          <w:sz w:val="24"/>
          <w:szCs w:val="24"/>
          <w:vertAlign w:val="superscript"/>
        </w:rPr>
        <w:footnoteReference w:id="100"/>
      </w:r>
      <w:r w:rsidRPr="002A3F16">
        <w:rPr>
          <w:rFonts w:ascii="Times New Roman" w:hAnsi="Times New Roman" w:cs="Times New Roman"/>
          <w:sz w:val="24"/>
          <w:szCs w:val="24"/>
        </w:rPr>
        <w:t xml:space="preserve"> :</w:t>
      </w:r>
    </w:p>
    <w:p w:rsidR="002A3F16" w:rsidRPr="002A3F16" w:rsidRDefault="002A3F16" w:rsidP="002A3F16">
      <w:pPr>
        <w:numPr>
          <w:ilvl w:val="0"/>
          <w:numId w:val="30"/>
        </w:numPr>
        <w:autoSpaceDE w:val="0"/>
        <w:autoSpaceDN w:val="0"/>
        <w:adjustRightInd w:val="0"/>
        <w:spacing w:before="60" w:beforeAutospacing="0" w:after="60" w:afterAutospacing="0" w:line="276" w:lineRule="auto"/>
        <w:contextualSpacing/>
        <w:jc w:val="both"/>
        <w:rPr>
          <w:rFonts w:ascii="Times New Roman" w:hAnsi="Times New Roman" w:cs="Times New Roman"/>
          <w:sz w:val="24"/>
          <w:szCs w:val="24"/>
        </w:rPr>
      </w:pPr>
      <w:r w:rsidRPr="002A3F16">
        <w:rPr>
          <w:rFonts w:ascii="Times New Roman" w:hAnsi="Times New Roman" w:cs="Times New Roman"/>
          <w:b/>
          <w:bCs/>
          <w:sz w:val="24"/>
          <w:szCs w:val="24"/>
        </w:rPr>
        <w:t xml:space="preserve">Existence d’un cadre conceptuel de la comptabilité </w:t>
      </w:r>
      <w:r w:rsidRPr="002A3F16">
        <w:rPr>
          <w:rFonts w:ascii="Times New Roman" w:hAnsi="Times New Roman" w:cs="Times New Roman"/>
          <w:sz w:val="24"/>
          <w:szCs w:val="24"/>
        </w:rPr>
        <w:t>qui fixe, de manière claire, les conventions et principes de base de la comptabilité et définit les actifs, les passifs, les capitaux propres, les charges et les produits.</w:t>
      </w:r>
    </w:p>
    <w:p w:rsidR="002A3F16" w:rsidRPr="002A3F16" w:rsidRDefault="002A3F16" w:rsidP="002A3F16">
      <w:pPr>
        <w:numPr>
          <w:ilvl w:val="0"/>
          <w:numId w:val="30"/>
        </w:numPr>
        <w:autoSpaceDE w:val="0"/>
        <w:autoSpaceDN w:val="0"/>
        <w:adjustRightInd w:val="0"/>
        <w:spacing w:before="60" w:beforeAutospacing="0" w:after="60" w:afterAutospacing="0" w:line="276" w:lineRule="auto"/>
        <w:contextualSpacing/>
        <w:jc w:val="both"/>
        <w:rPr>
          <w:rFonts w:ascii="Times New Roman" w:hAnsi="Times New Roman" w:cs="Times New Roman"/>
          <w:sz w:val="24"/>
          <w:szCs w:val="24"/>
        </w:rPr>
      </w:pPr>
      <w:r w:rsidRPr="002A3F16">
        <w:rPr>
          <w:rFonts w:ascii="Times New Roman" w:hAnsi="Times New Roman" w:cs="Times New Roman"/>
          <w:b/>
          <w:bCs/>
          <w:sz w:val="24"/>
          <w:szCs w:val="24"/>
        </w:rPr>
        <w:t xml:space="preserve">Enonciation des règles d’évaluation et de comptabilisation </w:t>
      </w:r>
      <w:r w:rsidRPr="002A3F16">
        <w:rPr>
          <w:rFonts w:ascii="Times New Roman" w:hAnsi="Times New Roman" w:cs="Times New Roman"/>
          <w:sz w:val="24"/>
          <w:szCs w:val="24"/>
        </w:rPr>
        <w:t>de toutes les opérations, y compris celles pour lesquelles le PCN ne prévoyait pas de traitement comptable, telles que le leasing, les concessions, les opérations en monnaies étrangères, les pertes de valeurs sur les actifs ou les opérations faites en commun.</w:t>
      </w:r>
    </w:p>
    <w:p w:rsidR="002A3F16" w:rsidRPr="002A3F16" w:rsidRDefault="002A3F16" w:rsidP="002A3F16">
      <w:pPr>
        <w:numPr>
          <w:ilvl w:val="0"/>
          <w:numId w:val="30"/>
        </w:numPr>
        <w:autoSpaceDE w:val="0"/>
        <w:autoSpaceDN w:val="0"/>
        <w:adjustRightInd w:val="0"/>
        <w:spacing w:before="60" w:beforeAutospacing="0" w:after="60" w:afterAutospacing="0" w:line="276" w:lineRule="auto"/>
        <w:contextualSpacing/>
        <w:jc w:val="both"/>
        <w:rPr>
          <w:rFonts w:ascii="Times New Roman" w:hAnsi="Times New Roman" w:cs="Times New Roman"/>
          <w:sz w:val="24"/>
          <w:szCs w:val="24"/>
        </w:rPr>
      </w:pPr>
      <w:r w:rsidRPr="002A3F16">
        <w:rPr>
          <w:rFonts w:ascii="Times New Roman" w:hAnsi="Times New Roman" w:cs="Times New Roman"/>
          <w:b/>
          <w:bCs/>
          <w:sz w:val="24"/>
          <w:szCs w:val="24"/>
        </w:rPr>
        <w:t xml:space="preserve">Description du contenu de chacun des états financiers </w:t>
      </w:r>
      <w:r w:rsidRPr="002A3F16">
        <w:rPr>
          <w:rFonts w:ascii="Times New Roman" w:hAnsi="Times New Roman" w:cs="Times New Roman"/>
          <w:sz w:val="24"/>
          <w:szCs w:val="24"/>
        </w:rPr>
        <w:t>que doivent fournir les entités (bilan, compte de résultat, tableau de variation des capitaux propres, tableau des flux de trésorerie de l’exercice) et leur présentation conformément à celle préconisée par les normes internationales.</w:t>
      </w:r>
    </w:p>
    <w:p w:rsidR="002A3F16" w:rsidRPr="002A3F16" w:rsidRDefault="002A3F16" w:rsidP="002A3F16">
      <w:pPr>
        <w:numPr>
          <w:ilvl w:val="0"/>
          <w:numId w:val="30"/>
        </w:numPr>
        <w:autoSpaceDE w:val="0"/>
        <w:autoSpaceDN w:val="0"/>
        <w:adjustRightInd w:val="0"/>
        <w:spacing w:before="60" w:beforeAutospacing="0" w:after="60" w:afterAutospacing="0" w:line="276" w:lineRule="auto"/>
        <w:contextualSpacing/>
        <w:jc w:val="both"/>
        <w:rPr>
          <w:rFonts w:ascii="Times New Roman" w:hAnsi="Times New Roman" w:cs="Times New Roman"/>
          <w:sz w:val="24"/>
          <w:szCs w:val="24"/>
        </w:rPr>
      </w:pPr>
      <w:r w:rsidRPr="002A3F16">
        <w:rPr>
          <w:rFonts w:ascii="Times New Roman" w:hAnsi="Times New Roman" w:cs="Times New Roman"/>
          <w:b/>
          <w:bCs/>
          <w:sz w:val="24"/>
          <w:szCs w:val="24"/>
        </w:rPr>
        <w:t xml:space="preserve">Obligation de présenter des comptes consolidés et des comptes combinés </w:t>
      </w:r>
      <w:r w:rsidRPr="002A3F16">
        <w:rPr>
          <w:rFonts w:ascii="Times New Roman" w:hAnsi="Times New Roman" w:cs="Times New Roman"/>
          <w:sz w:val="24"/>
          <w:szCs w:val="24"/>
        </w:rPr>
        <w:t>pour les entités soumises à une même autorité de décision.</w:t>
      </w:r>
    </w:p>
    <w:p w:rsidR="002A3F16" w:rsidRPr="002A3F16" w:rsidRDefault="002A3F16" w:rsidP="002A3F16">
      <w:pPr>
        <w:numPr>
          <w:ilvl w:val="0"/>
          <w:numId w:val="30"/>
        </w:numPr>
        <w:autoSpaceDE w:val="0"/>
        <w:autoSpaceDN w:val="0"/>
        <w:adjustRightInd w:val="0"/>
        <w:spacing w:before="60" w:beforeAutospacing="0" w:after="60" w:afterAutospacing="0" w:line="276" w:lineRule="auto"/>
        <w:contextualSpacing/>
        <w:jc w:val="both"/>
        <w:rPr>
          <w:rFonts w:ascii="Times New Roman" w:hAnsi="Times New Roman" w:cs="Times New Roman"/>
          <w:sz w:val="24"/>
          <w:szCs w:val="24"/>
        </w:rPr>
      </w:pPr>
      <w:r w:rsidRPr="002A3F16">
        <w:rPr>
          <w:rFonts w:ascii="Times New Roman" w:hAnsi="Times New Roman" w:cs="Times New Roman"/>
          <w:b/>
          <w:bCs/>
          <w:sz w:val="24"/>
          <w:szCs w:val="24"/>
        </w:rPr>
        <w:t>Prise en charge des règles modernes relatives à l’organisation de la comptabilité</w:t>
      </w:r>
      <w:r w:rsidRPr="002A3F16">
        <w:rPr>
          <w:rFonts w:ascii="Times New Roman" w:hAnsi="Times New Roman" w:cs="Times New Roman"/>
          <w:sz w:val="24"/>
          <w:szCs w:val="24"/>
        </w:rPr>
        <w:t>, en particulier concernant la tenue de comptabilités au moyen de systèmes informatiques, procédé à l’heure actuelle largement répandue mais non réglementé.</w:t>
      </w:r>
    </w:p>
    <w:p w:rsidR="002A3F16" w:rsidRPr="002A3F16" w:rsidRDefault="002A3F16" w:rsidP="002A3F16">
      <w:pPr>
        <w:numPr>
          <w:ilvl w:val="0"/>
          <w:numId w:val="30"/>
        </w:numPr>
        <w:autoSpaceDE w:val="0"/>
        <w:autoSpaceDN w:val="0"/>
        <w:adjustRightInd w:val="0"/>
        <w:spacing w:before="60" w:beforeAutospacing="0" w:after="60" w:afterAutospacing="0" w:line="276" w:lineRule="auto"/>
        <w:contextualSpacing/>
        <w:jc w:val="both"/>
        <w:rPr>
          <w:rFonts w:ascii="Times New Roman" w:hAnsi="Times New Roman" w:cs="Times New Roman"/>
          <w:sz w:val="24"/>
          <w:szCs w:val="24"/>
        </w:rPr>
      </w:pPr>
      <w:r w:rsidRPr="002A3F16">
        <w:rPr>
          <w:rFonts w:ascii="Times New Roman" w:hAnsi="Times New Roman" w:cs="Times New Roman"/>
          <w:b/>
          <w:bCs/>
          <w:sz w:val="24"/>
          <w:szCs w:val="24"/>
        </w:rPr>
        <w:t>Mise en place d’un système de comptabilité simplifiée</w:t>
      </w:r>
      <w:r w:rsidRPr="002A3F16">
        <w:rPr>
          <w:rFonts w:ascii="Times New Roman" w:hAnsi="Times New Roman" w:cs="Times New Roman"/>
          <w:sz w:val="24"/>
          <w:szCs w:val="24"/>
        </w:rPr>
        <w:t>, basé sur une comptabilité de trésorerie, pour les micros – Entreprises, les petits commerçants et les artisans.</w:t>
      </w:r>
    </w:p>
    <w:p w:rsidR="002A3F16" w:rsidRPr="002A3F16" w:rsidRDefault="002A3F16" w:rsidP="002A3F16">
      <w:pPr>
        <w:numPr>
          <w:ilvl w:val="0"/>
          <w:numId w:val="30"/>
        </w:numPr>
        <w:autoSpaceDE w:val="0"/>
        <w:autoSpaceDN w:val="0"/>
        <w:adjustRightInd w:val="0"/>
        <w:spacing w:before="60" w:beforeAutospacing="0" w:after="60" w:afterAutospacing="0" w:line="276" w:lineRule="auto"/>
        <w:contextualSpacing/>
        <w:jc w:val="both"/>
        <w:rPr>
          <w:rFonts w:ascii="Times New Roman" w:hAnsi="Times New Roman" w:cs="Times New Roman"/>
          <w:sz w:val="24"/>
          <w:szCs w:val="24"/>
        </w:rPr>
      </w:pPr>
      <w:r w:rsidRPr="002A3F16">
        <w:rPr>
          <w:rFonts w:ascii="Times New Roman" w:hAnsi="Times New Roman" w:cs="Times New Roman"/>
          <w:b/>
          <w:bCs/>
          <w:sz w:val="24"/>
          <w:szCs w:val="24"/>
        </w:rPr>
        <w:t xml:space="preserve">Elargissement, par rapport au Plan Comptable National, du champ d’application </w:t>
      </w:r>
      <w:r w:rsidRPr="002A3F16">
        <w:rPr>
          <w:rFonts w:ascii="Times New Roman" w:hAnsi="Times New Roman" w:cs="Times New Roman"/>
          <w:sz w:val="24"/>
          <w:szCs w:val="24"/>
        </w:rPr>
        <w:t>qui recouvre désormais toutes les entités amenées à produire des comptes, quel que soit leur secteur d’activité et leur taille.</w:t>
      </w:r>
    </w:p>
    <w:p w:rsidR="002A3F16" w:rsidRPr="002A3F16" w:rsidRDefault="002A3F16" w:rsidP="002A3F16">
      <w:pPr>
        <w:numPr>
          <w:ilvl w:val="0"/>
          <w:numId w:val="30"/>
        </w:numPr>
        <w:autoSpaceDE w:val="0"/>
        <w:autoSpaceDN w:val="0"/>
        <w:adjustRightInd w:val="0"/>
        <w:spacing w:before="60" w:beforeAutospacing="0" w:after="60" w:afterAutospacing="0" w:line="276" w:lineRule="auto"/>
        <w:contextualSpacing/>
        <w:jc w:val="both"/>
        <w:rPr>
          <w:rFonts w:ascii="Times New Roman" w:hAnsi="Times New Roman" w:cs="Times New Roman"/>
          <w:sz w:val="24"/>
          <w:szCs w:val="24"/>
        </w:rPr>
      </w:pPr>
      <w:r w:rsidRPr="002A3F16">
        <w:rPr>
          <w:rFonts w:ascii="Times New Roman" w:hAnsi="Times New Roman" w:cs="Times New Roman"/>
          <w:sz w:val="24"/>
          <w:szCs w:val="24"/>
        </w:rPr>
        <w:t xml:space="preserve">Enfin, le SCF implique </w:t>
      </w:r>
      <w:r w:rsidRPr="002A3F16">
        <w:rPr>
          <w:rFonts w:ascii="Times New Roman" w:hAnsi="Times New Roman" w:cs="Times New Roman"/>
          <w:b/>
          <w:sz w:val="24"/>
          <w:szCs w:val="24"/>
        </w:rPr>
        <w:t>le changement de culture comptable</w:t>
      </w:r>
      <w:r w:rsidRPr="002A3F16">
        <w:rPr>
          <w:rFonts w:ascii="Times New Roman" w:hAnsi="Times New Roman" w:cs="Times New Roman"/>
          <w:sz w:val="24"/>
          <w:szCs w:val="24"/>
        </w:rPr>
        <w:t xml:space="preserve"> : contrairement à l’ancien système comptable fondé sur une conception qui prend en charge surtout les contraintes juridiques et fiscales, le nouveau système comptable s’attache plutôt à la transcription de manière fidèle, conformément à leur substance et à leur réalité économique, des transactions, et autres évènement afin de répondre aux besoins des investisseurs qui souhaitent une information transparente.</w:t>
      </w:r>
    </w:p>
    <w:p w:rsidR="002A3F16" w:rsidRPr="002A3F16" w:rsidRDefault="002A3F16" w:rsidP="002A3F16">
      <w:pPr>
        <w:spacing w:before="120" w:beforeAutospacing="0" w:after="120" w:afterAutospacing="0" w:line="276" w:lineRule="auto"/>
        <w:jc w:val="both"/>
        <w:rPr>
          <w:rFonts w:ascii="Times New Roman" w:hAnsi="Times New Roman" w:cs="Times New Roman"/>
          <w:b/>
          <w:sz w:val="26"/>
          <w:szCs w:val="26"/>
        </w:rPr>
      </w:pPr>
      <w:r w:rsidRPr="002A3F16">
        <w:rPr>
          <w:rFonts w:ascii="Times New Roman" w:hAnsi="Times New Roman" w:cs="Times New Roman"/>
          <w:b/>
          <w:sz w:val="26"/>
          <w:szCs w:val="26"/>
        </w:rPr>
        <w:t>2.2. Conventions et principes comptables du SCF</w:t>
      </w:r>
    </w:p>
    <w:p w:rsidR="002A3F16" w:rsidRPr="002A3F16" w:rsidRDefault="002A3F16" w:rsidP="002A3F16">
      <w:pPr>
        <w:spacing w:before="60" w:beforeAutospacing="0" w:after="60" w:afterAutospacing="0" w:line="276" w:lineRule="auto"/>
        <w:ind w:firstLine="284"/>
        <w:jc w:val="both"/>
        <w:rPr>
          <w:rFonts w:ascii="Times New Roman" w:hAnsi="Times New Roman" w:cs="Times New Roman"/>
          <w:sz w:val="24"/>
          <w:szCs w:val="24"/>
        </w:rPr>
      </w:pPr>
      <w:r w:rsidRPr="002A3F16">
        <w:rPr>
          <w:rFonts w:ascii="Times New Roman" w:hAnsi="Times New Roman" w:cs="Times New Roman"/>
          <w:sz w:val="24"/>
          <w:szCs w:val="24"/>
        </w:rPr>
        <w:t>Tel présenté plus haut, le nouveau système comptable financier introduit le concept de cadre conceptuel. Ce cadre pressente les concepts sous-jacents à la préparation et à la présentation des états financiers. Il est structuré selon la hiérarchie suivante :</w:t>
      </w:r>
    </w:p>
    <w:p w:rsidR="002A3F16" w:rsidRPr="002A3F16" w:rsidRDefault="002A3F16" w:rsidP="002A3F16">
      <w:pPr>
        <w:numPr>
          <w:ilvl w:val="0"/>
          <w:numId w:val="31"/>
        </w:numPr>
        <w:spacing w:before="60" w:beforeAutospacing="0" w:after="60" w:afterAutospacing="0" w:line="276" w:lineRule="auto"/>
        <w:jc w:val="both"/>
        <w:rPr>
          <w:rFonts w:ascii="Times New Roman" w:hAnsi="Times New Roman" w:cs="Times New Roman"/>
          <w:sz w:val="24"/>
          <w:szCs w:val="24"/>
        </w:rPr>
      </w:pPr>
      <w:r w:rsidRPr="002A3F16">
        <w:rPr>
          <w:rFonts w:ascii="Times New Roman" w:hAnsi="Times New Roman" w:cs="Times New Roman"/>
          <w:sz w:val="24"/>
          <w:szCs w:val="24"/>
        </w:rPr>
        <w:t>Champ d'application et définition;</w:t>
      </w:r>
    </w:p>
    <w:p w:rsidR="002A3F16" w:rsidRPr="002A3F16" w:rsidRDefault="002A3F16" w:rsidP="002A3F16">
      <w:pPr>
        <w:numPr>
          <w:ilvl w:val="0"/>
          <w:numId w:val="31"/>
        </w:numPr>
        <w:spacing w:before="60" w:beforeAutospacing="0" w:after="60" w:afterAutospacing="0" w:line="276" w:lineRule="auto"/>
        <w:jc w:val="both"/>
        <w:rPr>
          <w:rFonts w:ascii="Times New Roman" w:hAnsi="Times New Roman" w:cs="Times New Roman"/>
          <w:sz w:val="24"/>
          <w:szCs w:val="24"/>
        </w:rPr>
      </w:pPr>
      <w:r w:rsidRPr="002A3F16">
        <w:rPr>
          <w:rFonts w:ascii="Times New Roman" w:hAnsi="Times New Roman" w:cs="Times New Roman"/>
          <w:sz w:val="24"/>
          <w:szCs w:val="24"/>
        </w:rPr>
        <w:t>Principes et conventions comptables ;</w:t>
      </w:r>
    </w:p>
    <w:p w:rsidR="002A3F16" w:rsidRPr="002A3F16" w:rsidRDefault="002A3F16" w:rsidP="002A3F16">
      <w:pPr>
        <w:numPr>
          <w:ilvl w:val="0"/>
          <w:numId w:val="31"/>
        </w:numPr>
        <w:spacing w:before="60" w:beforeAutospacing="0" w:after="60" w:afterAutospacing="0" w:line="276" w:lineRule="auto"/>
        <w:jc w:val="both"/>
        <w:rPr>
          <w:rFonts w:ascii="Times New Roman" w:hAnsi="Times New Roman" w:cs="Times New Roman"/>
          <w:sz w:val="24"/>
          <w:szCs w:val="24"/>
        </w:rPr>
      </w:pPr>
      <w:r w:rsidRPr="002A3F16">
        <w:rPr>
          <w:rFonts w:ascii="Times New Roman" w:hAnsi="Times New Roman" w:cs="Times New Roman"/>
          <w:sz w:val="24"/>
          <w:szCs w:val="24"/>
        </w:rPr>
        <w:t xml:space="preserve">Définition des actifs, des passifs, des capitaux propres, des produits et des charges. </w:t>
      </w:r>
    </w:p>
    <w:p w:rsidR="002A3F16" w:rsidRPr="002A3F16" w:rsidRDefault="002A3F16" w:rsidP="002A3F16">
      <w:pPr>
        <w:spacing w:before="60" w:beforeAutospacing="0" w:after="60" w:afterAutospacing="0" w:line="276" w:lineRule="auto"/>
        <w:ind w:firstLine="284"/>
        <w:jc w:val="both"/>
        <w:rPr>
          <w:rFonts w:ascii="Times New Roman" w:hAnsi="Times New Roman" w:cs="Times New Roman"/>
          <w:sz w:val="24"/>
          <w:szCs w:val="24"/>
        </w:rPr>
      </w:pPr>
      <w:r w:rsidRPr="002A3F16">
        <w:rPr>
          <w:rFonts w:ascii="Times New Roman" w:hAnsi="Times New Roman" w:cs="Times New Roman"/>
          <w:bCs/>
          <w:sz w:val="24"/>
          <w:szCs w:val="24"/>
        </w:rPr>
        <w:lastRenderedPageBreak/>
        <w:t>Il reprend pratiquement les mêmes notions que celles du référentiel comptable international. Dès lors, le cadre conceptuel sert de guide pour l'élaboration de normes comptables,</w:t>
      </w:r>
      <w:r w:rsidRPr="002A3F16">
        <w:rPr>
          <w:rFonts w:ascii="Times New Roman" w:hAnsi="Times New Roman" w:cs="Times New Roman"/>
          <w:sz w:val="24"/>
          <w:szCs w:val="24"/>
        </w:rPr>
        <w:t xml:space="preserve"> et permet</w:t>
      </w:r>
      <w:r w:rsidRPr="002A3F16">
        <w:rPr>
          <w:rFonts w:ascii="Times New Roman" w:hAnsi="Times New Roman" w:cs="Times New Roman"/>
          <w:bCs/>
          <w:sz w:val="24"/>
          <w:szCs w:val="24"/>
        </w:rPr>
        <w:t xml:space="preserve"> leur interprétation dans le cas de non existence de norme pour un événement donné.</w:t>
      </w:r>
    </w:p>
    <w:p w:rsidR="002A3F16" w:rsidRPr="002A3F16" w:rsidRDefault="002A3F16" w:rsidP="002A3F16">
      <w:pPr>
        <w:spacing w:before="60" w:beforeAutospacing="0" w:after="60" w:afterAutospacing="0" w:line="276" w:lineRule="auto"/>
        <w:jc w:val="both"/>
        <w:rPr>
          <w:rFonts w:ascii="Times New Roman" w:hAnsi="Times New Roman" w:cs="Times New Roman"/>
          <w:sz w:val="24"/>
          <w:szCs w:val="24"/>
        </w:rPr>
      </w:pPr>
      <w:r w:rsidRPr="002A3F16">
        <w:rPr>
          <w:rFonts w:ascii="Times New Roman" w:hAnsi="Times New Roman" w:cs="Times New Roman"/>
          <w:b/>
          <w:bCs/>
          <w:sz w:val="24"/>
          <w:szCs w:val="24"/>
        </w:rPr>
        <w:t>2.2.1. Le champ d'application du SCF</w:t>
      </w:r>
    </w:p>
    <w:p w:rsidR="002A3F16" w:rsidRPr="002A3F16" w:rsidRDefault="002A3F16" w:rsidP="002A3F16">
      <w:pPr>
        <w:spacing w:before="60" w:beforeAutospacing="0" w:after="60" w:afterAutospacing="0" w:line="276" w:lineRule="auto"/>
        <w:ind w:firstLine="284"/>
        <w:jc w:val="both"/>
        <w:rPr>
          <w:rFonts w:ascii="Times New Roman" w:hAnsi="Times New Roman" w:cs="Times New Roman"/>
          <w:b/>
          <w:sz w:val="24"/>
          <w:szCs w:val="24"/>
        </w:rPr>
      </w:pPr>
      <w:r w:rsidRPr="002A3F16">
        <w:rPr>
          <w:rFonts w:ascii="Times New Roman" w:hAnsi="Times New Roman" w:cs="Times New Roman"/>
          <w:bCs/>
          <w:sz w:val="24"/>
          <w:szCs w:val="24"/>
        </w:rPr>
        <w:t>Le champ d’application du SCF c</w:t>
      </w:r>
      <w:r w:rsidRPr="002A3F16">
        <w:rPr>
          <w:rFonts w:ascii="Times New Roman" w:hAnsi="Times New Roman" w:cs="Times New Roman"/>
          <w:sz w:val="24"/>
          <w:szCs w:val="24"/>
        </w:rPr>
        <w:t xml:space="preserve">oncerne </w:t>
      </w:r>
      <w:r w:rsidRPr="002A3F16">
        <w:rPr>
          <w:rFonts w:ascii="Times New Roman" w:hAnsi="Times New Roman" w:cs="Times New Roman"/>
          <w:bCs/>
          <w:sz w:val="24"/>
          <w:szCs w:val="24"/>
        </w:rPr>
        <w:t>t</w:t>
      </w:r>
      <w:r w:rsidRPr="002A3F16">
        <w:rPr>
          <w:rFonts w:ascii="Times New Roman" w:hAnsi="Times New Roman" w:cs="Times New Roman"/>
          <w:sz w:val="24"/>
          <w:szCs w:val="24"/>
        </w:rPr>
        <w:t xml:space="preserve">oute personne physique ou morale astreinte par voie légale ou réglementaire à la mise en place d’une comptabilité financière </w:t>
      </w:r>
    </w:p>
    <w:p w:rsidR="002A3F16" w:rsidRPr="002A3F16" w:rsidRDefault="002A3F16" w:rsidP="002A3F16">
      <w:pPr>
        <w:numPr>
          <w:ilvl w:val="0"/>
          <w:numId w:val="33"/>
        </w:numPr>
        <w:spacing w:before="60" w:beforeAutospacing="0" w:after="60" w:afterAutospacing="0" w:line="276" w:lineRule="auto"/>
        <w:jc w:val="both"/>
        <w:rPr>
          <w:rFonts w:ascii="Times New Roman" w:hAnsi="Times New Roman" w:cs="Times New Roman"/>
          <w:sz w:val="24"/>
          <w:szCs w:val="24"/>
        </w:rPr>
      </w:pPr>
      <w:r w:rsidRPr="002A3F16">
        <w:rPr>
          <w:rFonts w:ascii="Times New Roman" w:hAnsi="Times New Roman" w:cs="Times New Roman"/>
          <w:sz w:val="24"/>
          <w:szCs w:val="24"/>
        </w:rPr>
        <w:t>Soumises au code commerce ;</w:t>
      </w:r>
    </w:p>
    <w:p w:rsidR="002A3F16" w:rsidRPr="002A3F16" w:rsidRDefault="002A3F16" w:rsidP="002A3F16">
      <w:pPr>
        <w:numPr>
          <w:ilvl w:val="0"/>
          <w:numId w:val="33"/>
        </w:numPr>
        <w:spacing w:before="60" w:beforeAutospacing="0" w:after="60" w:afterAutospacing="0" w:line="276" w:lineRule="auto"/>
        <w:jc w:val="both"/>
        <w:rPr>
          <w:rFonts w:ascii="Times New Roman" w:hAnsi="Times New Roman" w:cs="Times New Roman"/>
          <w:sz w:val="24"/>
          <w:szCs w:val="24"/>
        </w:rPr>
      </w:pPr>
      <w:r w:rsidRPr="002A3F16">
        <w:rPr>
          <w:rFonts w:ascii="Times New Roman" w:hAnsi="Times New Roman" w:cs="Times New Roman"/>
          <w:sz w:val="24"/>
          <w:szCs w:val="24"/>
        </w:rPr>
        <w:t>Publique, parapublique ou économie mixte ;</w:t>
      </w:r>
    </w:p>
    <w:p w:rsidR="002A3F16" w:rsidRPr="002A3F16" w:rsidRDefault="002A3F16" w:rsidP="002A3F16">
      <w:pPr>
        <w:numPr>
          <w:ilvl w:val="0"/>
          <w:numId w:val="33"/>
        </w:numPr>
        <w:spacing w:before="60" w:beforeAutospacing="0" w:after="60" w:afterAutospacing="0" w:line="276" w:lineRule="auto"/>
        <w:jc w:val="both"/>
        <w:rPr>
          <w:rFonts w:ascii="Times New Roman" w:hAnsi="Times New Roman" w:cs="Times New Roman"/>
          <w:sz w:val="24"/>
          <w:szCs w:val="24"/>
        </w:rPr>
      </w:pPr>
      <w:r w:rsidRPr="002A3F16">
        <w:rPr>
          <w:rFonts w:ascii="Times New Roman" w:hAnsi="Times New Roman" w:cs="Times New Roman"/>
          <w:sz w:val="24"/>
          <w:szCs w:val="24"/>
        </w:rPr>
        <w:t>Coopératives et entité produisant biens ou service marchands ou non si son activité économique est fondée sur actes répétitifs.</w:t>
      </w:r>
    </w:p>
    <w:p w:rsidR="002A3F16" w:rsidRPr="002A3F16" w:rsidRDefault="002A3F16" w:rsidP="002A3F16">
      <w:pPr>
        <w:spacing w:before="120" w:beforeAutospacing="0" w:after="120" w:afterAutospacing="0" w:line="276" w:lineRule="auto"/>
        <w:jc w:val="both"/>
        <w:rPr>
          <w:rFonts w:ascii="Times New Roman" w:hAnsi="Times New Roman" w:cs="Times New Roman"/>
          <w:b/>
          <w:bCs/>
          <w:sz w:val="24"/>
          <w:szCs w:val="24"/>
        </w:rPr>
      </w:pPr>
      <w:r w:rsidRPr="002A3F16">
        <w:rPr>
          <w:rFonts w:ascii="Times New Roman" w:hAnsi="Times New Roman" w:cs="Times New Roman"/>
          <w:b/>
          <w:bCs/>
          <w:sz w:val="24"/>
          <w:szCs w:val="24"/>
        </w:rPr>
        <w:t>2.2.2. Les utilisateurs des Etats Financiers</w:t>
      </w:r>
    </w:p>
    <w:p w:rsidR="002A3F16" w:rsidRPr="002A3F16" w:rsidRDefault="002A3F16" w:rsidP="002A3F16">
      <w:pPr>
        <w:spacing w:before="60" w:beforeAutospacing="0" w:after="60" w:afterAutospacing="0" w:line="276" w:lineRule="auto"/>
        <w:jc w:val="both"/>
        <w:rPr>
          <w:rFonts w:ascii="Times New Roman" w:hAnsi="Times New Roman" w:cs="Times New Roman"/>
          <w:b/>
          <w:bCs/>
          <w:sz w:val="24"/>
          <w:szCs w:val="24"/>
        </w:rPr>
      </w:pPr>
      <w:r w:rsidRPr="002A3F16">
        <w:rPr>
          <w:rFonts w:ascii="Times New Roman" w:hAnsi="Times New Roman" w:cs="Times New Roman"/>
          <w:bCs/>
          <w:sz w:val="24"/>
          <w:szCs w:val="24"/>
        </w:rPr>
        <w:t>Selon le SCF les utilisateurs des Etats Financiers sont :</w:t>
      </w:r>
    </w:p>
    <w:p w:rsidR="002A3F16" w:rsidRPr="002A3F16" w:rsidRDefault="002A3F16" w:rsidP="002A3F16">
      <w:pPr>
        <w:numPr>
          <w:ilvl w:val="0"/>
          <w:numId w:val="34"/>
        </w:numPr>
        <w:spacing w:before="60" w:beforeAutospacing="0" w:after="60" w:afterAutospacing="0" w:line="276" w:lineRule="auto"/>
        <w:jc w:val="both"/>
        <w:rPr>
          <w:rFonts w:ascii="Times New Roman" w:hAnsi="Times New Roman" w:cs="Times New Roman"/>
          <w:sz w:val="24"/>
          <w:szCs w:val="24"/>
        </w:rPr>
      </w:pPr>
      <w:r w:rsidRPr="002A3F16">
        <w:rPr>
          <w:rFonts w:ascii="Times New Roman" w:hAnsi="Times New Roman" w:cs="Times New Roman"/>
          <w:sz w:val="24"/>
          <w:szCs w:val="24"/>
        </w:rPr>
        <w:t>dirigeants, organes d'administration, structures internes de l'entreprise ;</w:t>
      </w:r>
    </w:p>
    <w:p w:rsidR="002A3F16" w:rsidRPr="002A3F16" w:rsidRDefault="002A3F16" w:rsidP="002A3F16">
      <w:pPr>
        <w:numPr>
          <w:ilvl w:val="0"/>
          <w:numId w:val="34"/>
        </w:numPr>
        <w:spacing w:before="60" w:beforeAutospacing="0" w:after="60" w:afterAutospacing="0" w:line="276" w:lineRule="auto"/>
        <w:jc w:val="both"/>
        <w:rPr>
          <w:rFonts w:ascii="Times New Roman" w:hAnsi="Times New Roman" w:cs="Times New Roman"/>
          <w:sz w:val="24"/>
          <w:szCs w:val="24"/>
        </w:rPr>
      </w:pPr>
      <w:r w:rsidRPr="002A3F16">
        <w:rPr>
          <w:rFonts w:ascii="Times New Roman" w:hAnsi="Times New Roman" w:cs="Times New Roman"/>
          <w:sz w:val="24"/>
          <w:szCs w:val="24"/>
        </w:rPr>
        <w:t>fournisseurs de capitaux (actionnaires, banques et autre bailleur de fonds) ;</w:t>
      </w:r>
    </w:p>
    <w:p w:rsidR="002A3F16" w:rsidRPr="002A3F16" w:rsidRDefault="002A3F16" w:rsidP="002A3F16">
      <w:pPr>
        <w:numPr>
          <w:ilvl w:val="0"/>
          <w:numId w:val="34"/>
        </w:numPr>
        <w:spacing w:before="60" w:beforeAutospacing="0" w:after="60" w:afterAutospacing="0" w:line="276" w:lineRule="auto"/>
        <w:jc w:val="both"/>
        <w:rPr>
          <w:rFonts w:ascii="Times New Roman" w:hAnsi="Times New Roman" w:cs="Times New Roman"/>
          <w:sz w:val="24"/>
          <w:szCs w:val="24"/>
        </w:rPr>
      </w:pPr>
      <w:r w:rsidRPr="002A3F16">
        <w:rPr>
          <w:rFonts w:ascii="Times New Roman" w:hAnsi="Times New Roman" w:cs="Times New Roman"/>
          <w:sz w:val="24"/>
          <w:szCs w:val="24"/>
        </w:rPr>
        <w:t>administration (fiscale, statistique...) ;</w:t>
      </w:r>
    </w:p>
    <w:p w:rsidR="002A3F16" w:rsidRPr="002A3F16" w:rsidRDefault="002A3F16" w:rsidP="002A3F16">
      <w:pPr>
        <w:numPr>
          <w:ilvl w:val="0"/>
          <w:numId w:val="34"/>
        </w:numPr>
        <w:spacing w:before="60" w:beforeAutospacing="0" w:after="60" w:afterAutospacing="0" w:line="276" w:lineRule="auto"/>
        <w:jc w:val="both"/>
        <w:rPr>
          <w:rFonts w:ascii="Times New Roman" w:hAnsi="Times New Roman" w:cs="Times New Roman"/>
          <w:sz w:val="24"/>
          <w:szCs w:val="24"/>
        </w:rPr>
      </w:pPr>
      <w:r w:rsidRPr="002A3F16">
        <w:rPr>
          <w:rFonts w:ascii="Times New Roman" w:hAnsi="Times New Roman" w:cs="Times New Roman"/>
          <w:sz w:val="24"/>
          <w:szCs w:val="24"/>
        </w:rPr>
        <w:t>autres partenaires (fournisseurs, clients, salaries, assureurs...) ;</w:t>
      </w:r>
    </w:p>
    <w:p w:rsidR="002A3F16" w:rsidRPr="002A3F16" w:rsidRDefault="002A3F16" w:rsidP="002A3F16">
      <w:pPr>
        <w:numPr>
          <w:ilvl w:val="0"/>
          <w:numId w:val="34"/>
        </w:numPr>
        <w:spacing w:before="60" w:beforeAutospacing="0" w:after="60" w:afterAutospacing="0" w:line="276" w:lineRule="auto"/>
        <w:jc w:val="both"/>
        <w:rPr>
          <w:rFonts w:ascii="Times New Roman" w:hAnsi="Times New Roman" w:cs="Times New Roman"/>
          <w:sz w:val="24"/>
          <w:szCs w:val="24"/>
        </w:rPr>
      </w:pPr>
      <w:r w:rsidRPr="002A3F16">
        <w:rPr>
          <w:rFonts w:ascii="Times New Roman" w:hAnsi="Times New Roman" w:cs="Times New Roman"/>
          <w:sz w:val="24"/>
          <w:szCs w:val="24"/>
        </w:rPr>
        <w:t>autres groupes d'intérêt (public...).</w:t>
      </w:r>
    </w:p>
    <w:p w:rsidR="002A3F16" w:rsidRPr="002A3F16" w:rsidRDefault="002A3F16" w:rsidP="002A3F16">
      <w:pPr>
        <w:spacing w:before="120" w:beforeAutospacing="0" w:after="120" w:afterAutospacing="0" w:line="276" w:lineRule="auto"/>
        <w:jc w:val="both"/>
        <w:rPr>
          <w:rFonts w:ascii="Times New Roman" w:hAnsi="Times New Roman" w:cs="Times New Roman"/>
          <w:b/>
          <w:bCs/>
          <w:sz w:val="24"/>
          <w:szCs w:val="24"/>
        </w:rPr>
      </w:pPr>
      <w:r w:rsidRPr="002A3F16">
        <w:rPr>
          <w:rFonts w:ascii="Times New Roman" w:hAnsi="Times New Roman" w:cs="Times New Roman"/>
          <w:b/>
          <w:bCs/>
          <w:sz w:val="24"/>
          <w:szCs w:val="24"/>
        </w:rPr>
        <w:t>2.2.3. Principes et conventions comptables du SCF</w:t>
      </w:r>
    </w:p>
    <w:p w:rsidR="002A3F16" w:rsidRPr="002A3F16" w:rsidRDefault="002A3F16" w:rsidP="002A3F16">
      <w:pPr>
        <w:numPr>
          <w:ilvl w:val="0"/>
          <w:numId w:val="35"/>
        </w:numPr>
        <w:spacing w:before="60" w:beforeAutospacing="0" w:after="60" w:afterAutospacing="0" w:line="276" w:lineRule="auto"/>
        <w:ind w:left="714" w:hanging="357"/>
        <w:contextualSpacing/>
        <w:jc w:val="both"/>
        <w:rPr>
          <w:rFonts w:ascii="Times New Roman" w:hAnsi="Times New Roman" w:cs="Times New Roman"/>
          <w:b/>
          <w:bCs/>
          <w:sz w:val="24"/>
          <w:szCs w:val="24"/>
          <w:lang w:bidi="ar-DZ"/>
        </w:rPr>
      </w:pPr>
      <w:r w:rsidRPr="002A3F16">
        <w:rPr>
          <w:rFonts w:ascii="Times New Roman" w:hAnsi="Times New Roman" w:cs="Times New Roman"/>
          <w:b/>
          <w:bCs/>
          <w:sz w:val="24"/>
          <w:szCs w:val="24"/>
          <w:lang w:bidi="ar-DZ"/>
        </w:rPr>
        <w:t>Les hypothèses de base</w:t>
      </w:r>
    </w:p>
    <w:p w:rsidR="002A3F16" w:rsidRPr="002A3F16" w:rsidRDefault="002A3F16" w:rsidP="002A3F16">
      <w:pPr>
        <w:numPr>
          <w:ilvl w:val="0"/>
          <w:numId w:val="32"/>
        </w:numPr>
        <w:spacing w:before="60" w:beforeAutospacing="0" w:after="60" w:afterAutospacing="0" w:line="276" w:lineRule="auto"/>
        <w:contextualSpacing/>
        <w:jc w:val="both"/>
        <w:rPr>
          <w:rFonts w:ascii="Times New Roman" w:hAnsi="Times New Roman" w:cs="Times New Roman"/>
          <w:b/>
          <w:bCs/>
          <w:sz w:val="24"/>
          <w:szCs w:val="24"/>
          <w:lang w:bidi="ar-DZ"/>
        </w:rPr>
      </w:pPr>
      <w:r w:rsidRPr="002A3F16">
        <w:rPr>
          <w:rFonts w:ascii="Times New Roman" w:hAnsi="Times New Roman" w:cs="Times New Roman"/>
          <w:b/>
          <w:bCs/>
          <w:sz w:val="24"/>
          <w:szCs w:val="24"/>
          <w:lang w:bidi="ar-DZ"/>
        </w:rPr>
        <w:t>Comptabilité d'engagement:</w:t>
      </w:r>
    </w:p>
    <w:p w:rsidR="002A3F16" w:rsidRPr="002A3F16" w:rsidRDefault="002A3F16" w:rsidP="002A3F16">
      <w:pPr>
        <w:spacing w:before="60" w:beforeAutospacing="0" w:after="60" w:afterAutospacing="0" w:line="276" w:lineRule="auto"/>
        <w:ind w:firstLine="284"/>
        <w:jc w:val="both"/>
        <w:rPr>
          <w:rFonts w:ascii="Times New Roman" w:hAnsi="Times New Roman" w:cs="Times New Roman"/>
          <w:sz w:val="24"/>
          <w:szCs w:val="24"/>
          <w:lang w:bidi="ar-DZ"/>
        </w:rPr>
      </w:pPr>
      <w:r w:rsidRPr="002A3F16">
        <w:rPr>
          <w:rFonts w:ascii="Times New Roman" w:hAnsi="Times New Roman" w:cs="Times New Roman"/>
          <w:sz w:val="24"/>
          <w:szCs w:val="24"/>
          <w:lang w:bidi="ar-DZ"/>
        </w:rPr>
        <w:t>Les états financiers sont préparés sur la base de la comptabilité d'engagement. Selon cette base, les effets de transactions et autres événements sont comptabilisés quand ces transactions ou événements se produisent (et non pas lorsqu'ils interviennent le versement ou la réception de trésorerie) et ils sont enregistrés dans les livres comptables et présentés dans les états financiers des exercices auxquels ils se rattachent.</w:t>
      </w:r>
    </w:p>
    <w:p w:rsidR="002A3F16" w:rsidRPr="002A3F16" w:rsidRDefault="002A3F16" w:rsidP="002A3F16">
      <w:pPr>
        <w:numPr>
          <w:ilvl w:val="0"/>
          <w:numId w:val="32"/>
        </w:numPr>
        <w:spacing w:before="60" w:beforeAutospacing="0" w:after="60" w:afterAutospacing="0" w:line="276" w:lineRule="auto"/>
        <w:contextualSpacing/>
        <w:jc w:val="both"/>
        <w:rPr>
          <w:rFonts w:ascii="Times New Roman" w:hAnsi="Times New Roman" w:cs="Times New Roman"/>
          <w:b/>
          <w:bCs/>
          <w:sz w:val="24"/>
          <w:szCs w:val="24"/>
          <w:lang w:bidi="ar-DZ"/>
        </w:rPr>
      </w:pPr>
      <w:r w:rsidRPr="002A3F16">
        <w:rPr>
          <w:rFonts w:ascii="Times New Roman" w:hAnsi="Times New Roman" w:cs="Times New Roman"/>
          <w:b/>
          <w:bCs/>
          <w:sz w:val="24"/>
          <w:szCs w:val="24"/>
          <w:lang w:bidi="ar-DZ"/>
        </w:rPr>
        <w:t>Continuité d'exploitation</w:t>
      </w:r>
    </w:p>
    <w:p w:rsidR="002A3F16" w:rsidRPr="002A3F16" w:rsidRDefault="002A3F16" w:rsidP="002A3F16">
      <w:pPr>
        <w:spacing w:before="60" w:beforeAutospacing="0" w:after="60" w:afterAutospacing="0" w:line="276" w:lineRule="auto"/>
        <w:ind w:firstLine="284"/>
        <w:jc w:val="both"/>
        <w:rPr>
          <w:rFonts w:ascii="Times New Roman" w:hAnsi="Times New Roman" w:cs="Times New Roman"/>
          <w:sz w:val="24"/>
          <w:szCs w:val="24"/>
          <w:lang w:bidi="ar-DZ"/>
        </w:rPr>
      </w:pPr>
      <w:r w:rsidRPr="002A3F16">
        <w:rPr>
          <w:rFonts w:ascii="Times New Roman" w:hAnsi="Times New Roman" w:cs="Times New Roman"/>
          <w:sz w:val="24"/>
          <w:szCs w:val="24"/>
          <w:lang w:bidi="ar-DZ"/>
        </w:rPr>
        <w:t>Les états financiers sont normalement préparés selon l'hypothèse qu'une entreprise est en situation de continuité d'exploitation et poursuivra ses activités dans un avenir prévisible. Ainsi, il est supposé que l'entreprise n'a ni l'intention, ni la nécessité de mettre fin à ses activités, ni de réduire de façon importante la taille de ses activités.</w:t>
      </w:r>
    </w:p>
    <w:p w:rsidR="002A3F16" w:rsidRPr="002A3F16" w:rsidRDefault="002A3F16" w:rsidP="002A3F16">
      <w:pPr>
        <w:numPr>
          <w:ilvl w:val="0"/>
          <w:numId w:val="35"/>
        </w:numPr>
        <w:spacing w:before="60" w:beforeAutospacing="0" w:after="60" w:afterAutospacing="0" w:line="276" w:lineRule="auto"/>
        <w:ind w:left="714" w:hanging="357"/>
        <w:contextualSpacing/>
        <w:jc w:val="both"/>
        <w:rPr>
          <w:rFonts w:ascii="Times New Roman" w:hAnsi="Times New Roman" w:cs="Times New Roman"/>
          <w:b/>
          <w:bCs/>
          <w:sz w:val="24"/>
          <w:szCs w:val="24"/>
          <w:lang w:bidi="ar-DZ"/>
        </w:rPr>
      </w:pPr>
      <w:r w:rsidRPr="002A3F16">
        <w:rPr>
          <w:rFonts w:ascii="Times New Roman" w:hAnsi="Times New Roman" w:cs="Times New Roman"/>
          <w:b/>
          <w:bCs/>
          <w:sz w:val="24"/>
          <w:szCs w:val="24"/>
          <w:lang w:bidi="ar-DZ"/>
        </w:rPr>
        <w:t>Caractéristiques qualitatives qui déterminent l'utilité de l'information contenue dans les états financiers</w:t>
      </w:r>
    </w:p>
    <w:p w:rsidR="002A3F16" w:rsidRPr="002A3F16" w:rsidRDefault="002A3F16" w:rsidP="002A3F16">
      <w:pPr>
        <w:spacing w:before="60" w:beforeAutospacing="0" w:after="60" w:afterAutospacing="0" w:line="276" w:lineRule="auto"/>
        <w:ind w:firstLine="284"/>
        <w:jc w:val="both"/>
        <w:rPr>
          <w:rFonts w:ascii="Times New Roman" w:hAnsi="Times New Roman" w:cs="Times New Roman"/>
          <w:sz w:val="24"/>
          <w:szCs w:val="24"/>
          <w:lang w:bidi="ar-DZ"/>
        </w:rPr>
      </w:pPr>
      <w:r w:rsidRPr="002A3F16">
        <w:rPr>
          <w:rFonts w:ascii="Times New Roman" w:hAnsi="Times New Roman" w:cs="Times New Roman"/>
          <w:sz w:val="24"/>
          <w:szCs w:val="24"/>
          <w:lang w:bidi="ar-DZ"/>
        </w:rPr>
        <w:t>Ces caractéristiques peuvent être classées en trois sous-ensembles. </w:t>
      </w:r>
    </w:p>
    <w:p w:rsidR="002A3F16" w:rsidRPr="002A3F16" w:rsidRDefault="002A3F16" w:rsidP="002A3F16">
      <w:pPr>
        <w:numPr>
          <w:ilvl w:val="0"/>
          <w:numId w:val="32"/>
        </w:numPr>
        <w:spacing w:before="60" w:beforeAutospacing="0" w:after="60" w:afterAutospacing="0" w:line="276" w:lineRule="auto"/>
        <w:contextualSpacing/>
        <w:jc w:val="both"/>
        <w:rPr>
          <w:rFonts w:ascii="Times New Roman" w:hAnsi="Times New Roman" w:cs="Times New Roman"/>
          <w:b/>
          <w:bCs/>
          <w:sz w:val="24"/>
          <w:szCs w:val="24"/>
          <w:lang w:bidi="ar-DZ"/>
        </w:rPr>
      </w:pPr>
      <w:r w:rsidRPr="002A3F16">
        <w:rPr>
          <w:rFonts w:ascii="Times New Roman" w:hAnsi="Times New Roman" w:cs="Times New Roman"/>
          <w:b/>
          <w:bCs/>
          <w:sz w:val="24"/>
          <w:szCs w:val="24"/>
          <w:lang w:bidi="ar-DZ"/>
        </w:rPr>
        <w:t>Les caractéristiques qualitatives fondamentales</w:t>
      </w:r>
    </w:p>
    <w:p w:rsidR="002A3F16" w:rsidRPr="002A3F16" w:rsidRDefault="002A3F16" w:rsidP="002A3F16">
      <w:pPr>
        <w:spacing w:before="60" w:beforeAutospacing="0" w:after="60" w:afterAutospacing="0" w:line="276" w:lineRule="auto"/>
        <w:ind w:firstLine="284"/>
        <w:jc w:val="both"/>
        <w:rPr>
          <w:rFonts w:ascii="Times New Roman" w:hAnsi="Times New Roman" w:cs="Times New Roman"/>
          <w:sz w:val="24"/>
          <w:szCs w:val="24"/>
          <w:lang w:bidi="ar-DZ"/>
        </w:rPr>
      </w:pPr>
      <w:r w:rsidRPr="002A3F16">
        <w:rPr>
          <w:rFonts w:ascii="Times New Roman" w:hAnsi="Times New Roman" w:cs="Times New Roman"/>
          <w:sz w:val="24"/>
          <w:szCs w:val="24"/>
          <w:lang w:bidi="ar-DZ"/>
        </w:rPr>
        <w:lastRenderedPageBreak/>
        <w:t>Concernent les deux principes suivant :</w:t>
      </w:r>
    </w:p>
    <w:p w:rsidR="002A3F16" w:rsidRPr="002A3F16" w:rsidRDefault="002A3F16" w:rsidP="002A3F16">
      <w:pPr>
        <w:numPr>
          <w:ilvl w:val="0"/>
          <w:numId w:val="36"/>
        </w:numPr>
        <w:spacing w:before="60" w:beforeAutospacing="0" w:after="60" w:afterAutospacing="0" w:line="276" w:lineRule="auto"/>
        <w:contextualSpacing/>
        <w:jc w:val="both"/>
        <w:rPr>
          <w:rFonts w:ascii="Times New Roman" w:hAnsi="Times New Roman" w:cs="Times New Roman"/>
          <w:i/>
          <w:sz w:val="24"/>
          <w:szCs w:val="24"/>
          <w:lang w:bidi="ar-DZ"/>
        </w:rPr>
      </w:pPr>
      <w:r w:rsidRPr="002A3F16">
        <w:rPr>
          <w:rFonts w:ascii="Times New Roman" w:hAnsi="Times New Roman" w:cs="Times New Roman"/>
          <w:i/>
          <w:sz w:val="24"/>
          <w:szCs w:val="24"/>
          <w:lang w:bidi="ar-DZ"/>
        </w:rPr>
        <w:t>Image fidèle ou Présentation fidèle</w:t>
      </w:r>
    </w:p>
    <w:p w:rsidR="002A3F16" w:rsidRPr="002A3F16" w:rsidRDefault="002A3F16" w:rsidP="002A3F16">
      <w:pPr>
        <w:spacing w:before="60" w:beforeAutospacing="0" w:after="60" w:afterAutospacing="0" w:line="276" w:lineRule="auto"/>
        <w:ind w:firstLine="284"/>
        <w:jc w:val="both"/>
        <w:rPr>
          <w:rFonts w:ascii="Times New Roman" w:hAnsi="Times New Roman" w:cs="Times New Roman"/>
          <w:sz w:val="24"/>
          <w:szCs w:val="24"/>
          <w:lang w:bidi="ar-DZ"/>
        </w:rPr>
      </w:pPr>
      <w:r w:rsidRPr="002A3F16">
        <w:rPr>
          <w:rFonts w:ascii="Times New Roman" w:hAnsi="Times New Roman" w:cs="Times New Roman"/>
          <w:sz w:val="24"/>
          <w:szCs w:val="24"/>
          <w:lang w:bidi="ar-DZ"/>
        </w:rPr>
        <w:t>Pour être fiable, l'information doit présenter une image fidèle des transactions et autres événements qu'elle vise à présenter ou dont on s'attend raisonnablement à ce qu'elle les présente</w:t>
      </w:r>
    </w:p>
    <w:p w:rsidR="002A3F16" w:rsidRPr="002A3F16" w:rsidRDefault="002A3F16" w:rsidP="002A3F16">
      <w:pPr>
        <w:numPr>
          <w:ilvl w:val="0"/>
          <w:numId w:val="36"/>
        </w:numPr>
        <w:spacing w:before="60" w:beforeAutospacing="0" w:after="60" w:afterAutospacing="0" w:line="276" w:lineRule="auto"/>
        <w:contextualSpacing/>
        <w:jc w:val="both"/>
        <w:rPr>
          <w:rFonts w:ascii="Times New Roman" w:hAnsi="Times New Roman" w:cs="Times New Roman"/>
          <w:i/>
          <w:sz w:val="24"/>
          <w:szCs w:val="24"/>
          <w:lang w:bidi="ar-DZ"/>
        </w:rPr>
      </w:pPr>
      <w:r w:rsidRPr="002A3F16">
        <w:rPr>
          <w:rFonts w:ascii="Times New Roman" w:hAnsi="Times New Roman" w:cs="Times New Roman"/>
          <w:i/>
          <w:sz w:val="24"/>
          <w:szCs w:val="24"/>
          <w:lang w:bidi="ar-DZ"/>
        </w:rPr>
        <w:t>Prééminence de la substance sur la forme ou Prééminence de l'économique sur le juridique</w:t>
      </w:r>
    </w:p>
    <w:p w:rsidR="002A3F16" w:rsidRPr="002A3F16" w:rsidRDefault="002A3F16" w:rsidP="002A3F16">
      <w:pPr>
        <w:spacing w:before="60" w:beforeAutospacing="0" w:after="60" w:afterAutospacing="0" w:line="276" w:lineRule="auto"/>
        <w:ind w:firstLine="284"/>
        <w:jc w:val="both"/>
        <w:rPr>
          <w:rFonts w:ascii="Times New Roman" w:hAnsi="Times New Roman" w:cs="Times New Roman"/>
          <w:sz w:val="24"/>
          <w:szCs w:val="24"/>
          <w:lang w:bidi="ar-DZ"/>
        </w:rPr>
      </w:pPr>
      <w:r w:rsidRPr="002A3F16">
        <w:rPr>
          <w:rFonts w:ascii="Times New Roman" w:hAnsi="Times New Roman" w:cs="Times New Roman"/>
          <w:sz w:val="24"/>
          <w:szCs w:val="24"/>
          <w:lang w:bidi="ar-DZ"/>
        </w:rPr>
        <w:t>Si l'information doit présenter une image fidèle des transactions et autres événements qu'elle vise à présenter, il est nécessaire que les transactions économiques de l’entité soient comptabilisées et présentées conformément à leur substance et à leur réalité économique et non pas seulement selon leur forme juridique.</w:t>
      </w:r>
    </w:p>
    <w:p w:rsidR="002A3F16" w:rsidRPr="002A3F16" w:rsidRDefault="002A3F16" w:rsidP="002A3F16">
      <w:pPr>
        <w:numPr>
          <w:ilvl w:val="0"/>
          <w:numId w:val="32"/>
        </w:numPr>
        <w:spacing w:before="60" w:beforeAutospacing="0" w:after="60" w:afterAutospacing="0" w:line="276" w:lineRule="auto"/>
        <w:ind w:left="357" w:hanging="357"/>
        <w:jc w:val="both"/>
        <w:rPr>
          <w:rFonts w:ascii="Times New Roman" w:hAnsi="Times New Roman" w:cs="Times New Roman"/>
          <w:b/>
          <w:bCs/>
          <w:sz w:val="24"/>
          <w:szCs w:val="24"/>
          <w:lang w:bidi="ar-DZ"/>
        </w:rPr>
      </w:pPr>
      <w:r w:rsidRPr="002A3F16">
        <w:rPr>
          <w:rFonts w:ascii="Times New Roman" w:hAnsi="Times New Roman" w:cs="Times New Roman"/>
          <w:b/>
          <w:bCs/>
          <w:sz w:val="24"/>
          <w:szCs w:val="24"/>
          <w:lang w:bidi="ar-DZ"/>
        </w:rPr>
        <w:t>Les caractéristiques qualitatives dérivées</w:t>
      </w:r>
    </w:p>
    <w:p w:rsidR="002A3F16" w:rsidRPr="002A3F16" w:rsidRDefault="002A3F16" w:rsidP="002A3F16">
      <w:pPr>
        <w:numPr>
          <w:ilvl w:val="0"/>
          <w:numId w:val="36"/>
        </w:numPr>
        <w:spacing w:before="60" w:beforeAutospacing="0" w:after="60" w:afterAutospacing="0" w:line="276" w:lineRule="auto"/>
        <w:contextualSpacing/>
        <w:jc w:val="both"/>
        <w:rPr>
          <w:rFonts w:ascii="Times New Roman" w:hAnsi="Times New Roman" w:cs="Times New Roman"/>
          <w:b/>
          <w:bCs/>
          <w:sz w:val="24"/>
          <w:szCs w:val="24"/>
          <w:lang w:bidi="ar-DZ"/>
        </w:rPr>
      </w:pPr>
      <w:r w:rsidRPr="002A3F16">
        <w:rPr>
          <w:rFonts w:ascii="Times New Roman" w:hAnsi="Times New Roman" w:cs="Times New Roman"/>
          <w:i/>
          <w:sz w:val="24"/>
          <w:szCs w:val="24"/>
          <w:lang w:bidi="ar-DZ"/>
        </w:rPr>
        <w:t>L'importance relative</w:t>
      </w:r>
    </w:p>
    <w:p w:rsidR="002A3F16" w:rsidRPr="002A3F16" w:rsidRDefault="002A3F16" w:rsidP="002A3F16">
      <w:pPr>
        <w:spacing w:before="60" w:beforeAutospacing="0" w:after="60" w:afterAutospacing="0" w:line="276" w:lineRule="auto"/>
        <w:ind w:firstLine="284"/>
        <w:jc w:val="both"/>
        <w:rPr>
          <w:rFonts w:ascii="Times New Roman" w:hAnsi="Times New Roman" w:cs="Times New Roman"/>
          <w:sz w:val="24"/>
          <w:szCs w:val="24"/>
          <w:lang w:bidi="ar-DZ"/>
        </w:rPr>
      </w:pPr>
      <w:r w:rsidRPr="002A3F16">
        <w:rPr>
          <w:rFonts w:ascii="Times New Roman" w:hAnsi="Times New Roman" w:cs="Times New Roman"/>
          <w:sz w:val="24"/>
          <w:szCs w:val="24"/>
          <w:lang w:bidi="ar-DZ"/>
        </w:rPr>
        <w:t>Les états financiers doivent mettre en évidence toute information significative c'est-à-dire toute information pouvant avoir une influence sur le jugement que les utilisateurs de l'information peuvent porter sur l'entité. Un fait ou un élément est significatif si en tenant compte des circonstances, sa nature ou son montant est tel que le fait de le mentionner dans les états financiers, ou la manière de le traiter dans les comptes est susceptible d'influencer le jugement ou les décisions prises sur la base des données comptables.</w:t>
      </w:r>
    </w:p>
    <w:p w:rsidR="002A3F16" w:rsidRPr="002A3F16" w:rsidRDefault="002A3F16" w:rsidP="002A3F16">
      <w:pPr>
        <w:numPr>
          <w:ilvl w:val="0"/>
          <w:numId w:val="36"/>
        </w:numPr>
        <w:spacing w:before="60" w:beforeAutospacing="0" w:after="60" w:afterAutospacing="0" w:line="276" w:lineRule="auto"/>
        <w:contextualSpacing/>
        <w:jc w:val="both"/>
        <w:rPr>
          <w:rFonts w:ascii="Times New Roman" w:hAnsi="Times New Roman" w:cs="Times New Roman"/>
          <w:i/>
          <w:sz w:val="24"/>
          <w:szCs w:val="24"/>
          <w:lang w:bidi="ar-DZ"/>
        </w:rPr>
      </w:pPr>
      <w:r w:rsidRPr="002A3F16">
        <w:rPr>
          <w:rFonts w:ascii="Times New Roman" w:hAnsi="Times New Roman" w:cs="Times New Roman"/>
          <w:i/>
          <w:sz w:val="24"/>
          <w:szCs w:val="24"/>
          <w:lang w:bidi="ar-DZ"/>
        </w:rPr>
        <w:t>Prudence</w:t>
      </w:r>
    </w:p>
    <w:p w:rsidR="002A3F16" w:rsidRPr="002A3F16" w:rsidRDefault="002A3F16" w:rsidP="002A3F16">
      <w:pPr>
        <w:spacing w:before="60" w:beforeAutospacing="0" w:after="60" w:afterAutospacing="0" w:line="276" w:lineRule="auto"/>
        <w:ind w:firstLine="284"/>
        <w:jc w:val="both"/>
        <w:rPr>
          <w:rFonts w:ascii="Times New Roman" w:hAnsi="Times New Roman" w:cs="Times New Roman"/>
          <w:sz w:val="24"/>
          <w:szCs w:val="24"/>
          <w:lang w:bidi="ar-DZ"/>
        </w:rPr>
      </w:pPr>
      <w:r w:rsidRPr="002A3F16">
        <w:rPr>
          <w:rFonts w:ascii="Times New Roman" w:hAnsi="Times New Roman" w:cs="Times New Roman"/>
          <w:sz w:val="24"/>
          <w:szCs w:val="24"/>
          <w:lang w:bidi="ar-DZ"/>
        </w:rPr>
        <w:t>La prudence est la prise en compte d'un certain degré de précaution dans l'exercice des jugements nécessaires pour préparer les estimations dans des conditions d'incertitude, pour faire en sorte que les actifs ou les produits ne soient pas surévalués et que les passifs ou les charges ne soient pas sous évalués. Aussi l'exercice de la prudence ne permet pas par exemple la création de réserves occultes ou de provisions excessives, la sous-évaluation délibérée des actifs ou des produits, ou la sur évaluation délibérée des passifs ou des charges parce que les états financiers ne seraient pas neutres, et en conséquence, ne posséderaient pas la qualité de fiabilité</w:t>
      </w:r>
    </w:p>
    <w:p w:rsidR="002A3F16" w:rsidRPr="002A3F16" w:rsidRDefault="002A3F16" w:rsidP="002A3F16">
      <w:pPr>
        <w:numPr>
          <w:ilvl w:val="0"/>
          <w:numId w:val="36"/>
        </w:numPr>
        <w:spacing w:before="60" w:beforeAutospacing="0" w:after="60" w:afterAutospacing="0" w:line="276" w:lineRule="auto"/>
        <w:contextualSpacing/>
        <w:jc w:val="both"/>
        <w:rPr>
          <w:rFonts w:ascii="Times New Roman" w:hAnsi="Times New Roman" w:cs="Times New Roman"/>
          <w:b/>
          <w:sz w:val="24"/>
          <w:szCs w:val="24"/>
          <w:lang w:bidi="ar-DZ"/>
        </w:rPr>
      </w:pPr>
      <w:r w:rsidRPr="002A3F16">
        <w:rPr>
          <w:rFonts w:ascii="Times New Roman" w:hAnsi="Times New Roman" w:cs="Times New Roman"/>
          <w:i/>
          <w:sz w:val="24"/>
          <w:szCs w:val="24"/>
          <w:lang w:bidi="ar-DZ"/>
        </w:rPr>
        <w:t>Neutralité</w:t>
      </w:r>
    </w:p>
    <w:p w:rsidR="002A3F16" w:rsidRPr="002A3F16" w:rsidRDefault="002A3F16" w:rsidP="002A3F16">
      <w:pPr>
        <w:spacing w:before="60" w:beforeAutospacing="0" w:after="60" w:afterAutospacing="0" w:line="276" w:lineRule="auto"/>
        <w:ind w:firstLine="284"/>
        <w:jc w:val="both"/>
        <w:rPr>
          <w:rFonts w:ascii="Times New Roman" w:hAnsi="Times New Roman" w:cs="Times New Roman"/>
          <w:sz w:val="24"/>
          <w:szCs w:val="24"/>
          <w:lang w:bidi="ar-DZ"/>
        </w:rPr>
      </w:pPr>
      <w:r w:rsidRPr="002A3F16">
        <w:rPr>
          <w:rFonts w:ascii="Times New Roman" w:hAnsi="Times New Roman" w:cs="Times New Roman"/>
          <w:sz w:val="24"/>
          <w:szCs w:val="24"/>
          <w:lang w:bidi="ar-DZ"/>
        </w:rPr>
        <w:t>Pour être fiable l'information contenue dans les états financiers doit être neutre, c'est-à-dire sans parti pris. Les états financiers ne sont pas neutres si, par la sélection ou la présentation de l'information, ils influencent les décisions à prendre ou le jugement afin d'obtenir un résultat ou une issue prédéterminée.</w:t>
      </w:r>
    </w:p>
    <w:p w:rsidR="002A3F16" w:rsidRPr="002A3F16" w:rsidRDefault="002A3F16" w:rsidP="002A3F16">
      <w:pPr>
        <w:numPr>
          <w:ilvl w:val="0"/>
          <w:numId w:val="36"/>
        </w:numPr>
        <w:spacing w:before="60" w:beforeAutospacing="0" w:after="60" w:afterAutospacing="0" w:line="276" w:lineRule="auto"/>
        <w:contextualSpacing/>
        <w:jc w:val="both"/>
        <w:rPr>
          <w:rFonts w:ascii="Times New Roman" w:hAnsi="Times New Roman" w:cs="Times New Roman"/>
          <w:i/>
          <w:sz w:val="24"/>
          <w:szCs w:val="24"/>
          <w:lang w:bidi="ar-DZ"/>
        </w:rPr>
      </w:pPr>
      <w:r w:rsidRPr="002A3F16">
        <w:rPr>
          <w:rFonts w:ascii="Times New Roman" w:hAnsi="Times New Roman" w:cs="Times New Roman"/>
          <w:i/>
          <w:sz w:val="24"/>
          <w:szCs w:val="24"/>
          <w:lang w:bidi="ar-DZ"/>
        </w:rPr>
        <w:t>Exhaustivité</w:t>
      </w:r>
    </w:p>
    <w:p w:rsidR="002A3F16" w:rsidRPr="002A3F16" w:rsidRDefault="002A3F16" w:rsidP="002A3F16">
      <w:pPr>
        <w:spacing w:before="60" w:beforeAutospacing="0" w:after="60" w:afterAutospacing="0" w:line="276" w:lineRule="auto"/>
        <w:ind w:firstLine="284"/>
        <w:jc w:val="both"/>
        <w:rPr>
          <w:rFonts w:ascii="Times New Roman" w:hAnsi="Times New Roman" w:cs="Times New Roman"/>
          <w:sz w:val="24"/>
          <w:szCs w:val="24"/>
          <w:lang w:bidi="ar-DZ"/>
        </w:rPr>
      </w:pPr>
      <w:r w:rsidRPr="002A3F16">
        <w:rPr>
          <w:rFonts w:ascii="Times New Roman" w:hAnsi="Times New Roman" w:cs="Times New Roman"/>
          <w:sz w:val="24"/>
          <w:szCs w:val="24"/>
          <w:lang w:bidi="ar-DZ"/>
        </w:rPr>
        <w:t>Pour être fiable, l’information contenue dans les états financiers doit être exhaustive, autant que possible, en respectant tout de même le principe de l’importance relative. Une omission peut rendre l’information fausse ou trompeuse et en conséquence, non fiable et insuffisamment pertinente.</w:t>
      </w:r>
    </w:p>
    <w:p w:rsidR="002A3F16" w:rsidRPr="002A3F16" w:rsidRDefault="002A3F16" w:rsidP="002A3F16">
      <w:pPr>
        <w:numPr>
          <w:ilvl w:val="0"/>
          <w:numId w:val="36"/>
        </w:numPr>
        <w:spacing w:before="60" w:beforeAutospacing="0" w:after="60" w:afterAutospacing="0" w:line="276" w:lineRule="auto"/>
        <w:contextualSpacing/>
        <w:jc w:val="both"/>
        <w:rPr>
          <w:rFonts w:ascii="Times New Roman" w:hAnsi="Times New Roman" w:cs="Times New Roman"/>
          <w:i/>
          <w:sz w:val="24"/>
          <w:szCs w:val="24"/>
          <w:lang w:bidi="ar-DZ"/>
        </w:rPr>
      </w:pPr>
      <w:r w:rsidRPr="002A3F16">
        <w:rPr>
          <w:rFonts w:ascii="Times New Roman" w:hAnsi="Times New Roman" w:cs="Times New Roman"/>
          <w:i/>
          <w:sz w:val="24"/>
          <w:szCs w:val="24"/>
          <w:lang w:bidi="ar-DZ"/>
        </w:rPr>
        <w:lastRenderedPageBreak/>
        <w:t>Non-compensation</w:t>
      </w:r>
    </w:p>
    <w:p w:rsidR="002A3F16" w:rsidRPr="002A3F16" w:rsidRDefault="002A3F16" w:rsidP="002A3F16">
      <w:pPr>
        <w:spacing w:before="60" w:beforeAutospacing="0" w:after="60" w:afterAutospacing="0" w:line="276" w:lineRule="auto"/>
        <w:ind w:firstLine="284"/>
        <w:jc w:val="both"/>
        <w:rPr>
          <w:rFonts w:ascii="Times New Roman" w:hAnsi="Times New Roman" w:cs="Times New Roman"/>
          <w:sz w:val="24"/>
          <w:szCs w:val="24"/>
          <w:lang w:bidi="ar-DZ"/>
        </w:rPr>
      </w:pPr>
      <w:r w:rsidRPr="002A3F16">
        <w:rPr>
          <w:rFonts w:ascii="Times New Roman" w:hAnsi="Times New Roman" w:cs="Times New Roman"/>
          <w:sz w:val="24"/>
          <w:szCs w:val="24"/>
          <w:lang w:bidi="ar-DZ"/>
        </w:rPr>
        <w:t>Les compensations entre éléments d'actif et éléments de passif ou entre éléments de charges et éléments de produits dans le compte de résultat, ne sont pas autorisées sauf, si cette compensation est imposée ou autorisée par le règlement. Des charges et produits liés résultant de transactions et d'événements similaires et ne présentant pas de caractère significatif peuvent être compensés.</w:t>
      </w:r>
    </w:p>
    <w:p w:rsidR="002A3F16" w:rsidRPr="002A3F16" w:rsidRDefault="002A3F16" w:rsidP="002A3F16">
      <w:pPr>
        <w:numPr>
          <w:ilvl w:val="0"/>
          <w:numId w:val="32"/>
        </w:numPr>
        <w:spacing w:before="60" w:beforeAutospacing="0" w:after="60" w:afterAutospacing="0" w:line="276" w:lineRule="auto"/>
        <w:ind w:left="357" w:hanging="357"/>
        <w:jc w:val="both"/>
        <w:rPr>
          <w:rFonts w:ascii="Times New Roman" w:hAnsi="Times New Roman" w:cs="Times New Roman"/>
          <w:b/>
          <w:bCs/>
          <w:sz w:val="24"/>
          <w:szCs w:val="24"/>
          <w:lang w:bidi="ar-DZ"/>
        </w:rPr>
      </w:pPr>
      <w:r w:rsidRPr="002A3F16">
        <w:rPr>
          <w:rFonts w:ascii="Times New Roman" w:hAnsi="Times New Roman" w:cs="Times New Roman"/>
          <w:b/>
          <w:bCs/>
          <w:sz w:val="24"/>
          <w:szCs w:val="24"/>
          <w:lang w:bidi="ar-DZ"/>
        </w:rPr>
        <w:t>Les caractéristiques qualitatives de base</w:t>
      </w:r>
    </w:p>
    <w:p w:rsidR="002A3F16" w:rsidRPr="002A3F16" w:rsidRDefault="002A3F16" w:rsidP="002A3F16">
      <w:pPr>
        <w:numPr>
          <w:ilvl w:val="0"/>
          <w:numId w:val="36"/>
        </w:numPr>
        <w:spacing w:before="60" w:beforeAutospacing="0" w:after="60" w:afterAutospacing="0" w:line="276" w:lineRule="auto"/>
        <w:contextualSpacing/>
        <w:jc w:val="both"/>
        <w:rPr>
          <w:rFonts w:ascii="Times New Roman" w:hAnsi="Times New Roman" w:cs="Times New Roman"/>
          <w:i/>
          <w:sz w:val="24"/>
          <w:szCs w:val="24"/>
          <w:lang w:bidi="ar-DZ"/>
        </w:rPr>
      </w:pPr>
      <w:r w:rsidRPr="002A3F16">
        <w:rPr>
          <w:rFonts w:ascii="Times New Roman" w:hAnsi="Times New Roman" w:cs="Times New Roman"/>
          <w:i/>
          <w:sz w:val="24"/>
          <w:szCs w:val="24"/>
          <w:lang w:bidi="ar-DZ"/>
        </w:rPr>
        <w:t>Intelligibilité</w:t>
      </w:r>
    </w:p>
    <w:p w:rsidR="002A3F16" w:rsidRPr="002A3F16" w:rsidRDefault="002A3F16" w:rsidP="002A3F16">
      <w:pPr>
        <w:spacing w:before="60" w:beforeAutospacing="0" w:after="60" w:afterAutospacing="0" w:line="276" w:lineRule="auto"/>
        <w:ind w:firstLine="284"/>
        <w:jc w:val="both"/>
        <w:rPr>
          <w:rFonts w:ascii="Times New Roman" w:hAnsi="Times New Roman" w:cs="Times New Roman"/>
          <w:sz w:val="24"/>
          <w:szCs w:val="24"/>
          <w:lang w:bidi="ar-DZ"/>
        </w:rPr>
      </w:pPr>
      <w:r w:rsidRPr="002A3F16">
        <w:rPr>
          <w:rFonts w:ascii="Times New Roman" w:hAnsi="Times New Roman" w:cs="Times New Roman"/>
          <w:sz w:val="24"/>
          <w:szCs w:val="24"/>
          <w:lang w:bidi="ar-DZ"/>
        </w:rPr>
        <w:t>Une qualité essentielle de l'information fournie dans les états financiers est d'être compréhensible par les utilisateurs. A cette fin les utilisateurs sont supposés avoir une connaissance raisonnable des affaires et des activités économiques ainsi que de la comptabilité.</w:t>
      </w:r>
    </w:p>
    <w:p w:rsidR="002A3F16" w:rsidRPr="002A3F16" w:rsidRDefault="002A3F16" w:rsidP="002A3F16">
      <w:pPr>
        <w:numPr>
          <w:ilvl w:val="0"/>
          <w:numId w:val="36"/>
        </w:numPr>
        <w:spacing w:before="60" w:beforeAutospacing="0" w:after="60" w:afterAutospacing="0" w:line="276" w:lineRule="auto"/>
        <w:contextualSpacing/>
        <w:jc w:val="both"/>
        <w:rPr>
          <w:rFonts w:ascii="Times New Roman" w:hAnsi="Times New Roman" w:cs="Times New Roman"/>
          <w:i/>
          <w:sz w:val="24"/>
          <w:szCs w:val="24"/>
          <w:lang w:bidi="ar-DZ"/>
        </w:rPr>
      </w:pPr>
      <w:r w:rsidRPr="002A3F16">
        <w:rPr>
          <w:rFonts w:ascii="Times New Roman" w:hAnsi="Times New Roman" w:cs="Times New Roman"/>
          <w:i/>
          <w:sz w:val="24"/>
          <w:szCs w:val="24"/>
          <w:lang w:bidi="ar-DZ"/>
        </w:rPr>
        <w:t>Pertinence</w:t>
      </w:r>
    </w:p>
    <w:p w:rsidR="002A3F16" w:rsidRPr="002A3F16" w:rsidRDefault="002A3F16" w:rsidP="002A3F16">
      <w:pPr>
        <w:spacing w:before="60" w:beforeAutospacing="0" w:after="60" w:afterAutospacing="0" w:line="276" w:lineRule="auto"/>
        <w:ind w:firstLine="284"/>
        <w:jc w:val="both"/>
        <w:rPr>
          <w:rFonts w:ascii="Times New Roman" w:hAnsi="Times New Roman" w:cs="Times New Roman"/>
          <w:sz w:val="24"/>
          <w:szCs w:val="24"/>
          <w:lang w:bidi="ar-DZ"/>
        </w:rPr>
      </w:pPr>
      <w:r w:rsidRPr="002A3F16">
        <w:rPr>
          <w:rFonts w:ascii="Times New Roman" w:hAnsi="Times New Roman" w:cs="Times New Roman"/>
          <w:sz w:val="24"/>
          <w:szCs w:val="24"/>
          <w:lang w:bidi="ar-DZ"/>
        </w:rPr>
        <w:t>L'information possède la qualité de la pertinence lorsqu'elle influence les décisions économiques des utilisateurs en l’aidant à évaluer des événements passés, présents ou futurs ou en confirmant ou corrigeant leurs évaluations passées</w:t>
      </w:r>
    </w:p>
    <w:p w:rsidR="002A3F16" w:rsidRPr="002A3F16" w:rsidRDefault="002A3F16" w:rsidP="002A3F16">
      <w:pPr>
        <w:numPr>
          <w:ilvl w:val="0"/>
          <w:numId w:val="36"/>
        </w:numPr>
        <w:spacing w:before="60" w:beforeAutospacing="0" w:after="60" w:afterAutospacing="0" w:line="276" w:lineRule="auto"/>
        <w:contextualSpacing/>
        <w:jc w:val="both"/>
        <w:rPr>
          <w:rFonts w:ascii="Times New Roman" w:hAnsi="Times New Roman" w:cs="Times New Roman"/>
          <w:i/>
          <w:sz w:val="24"/>
          <w:szCs w:val="24"/>
          <w:lang w:bidi="ar-DZ"/>
        </w:rPr>
      </w:pPr>
      <w:r w:rsidRPr="002A3F16">
        <w:rPr>
          <w:rFonts w:ascii="Times New Roman" w:hAnsi="Times New Roman" w:cs="Times New Roman"/>
          <w:i/>
          <w:sz w:val="24"/>
          <w:szCs w:val="24"/>
          <w:lang w:bidi="ar-DZ"/>
        </w:rPr>
        <w:t>Fiabilité</w:t>
      </w:r>
    </w:p>
    <w:p w:rsidR="002A3F16" w:rsidRPr="002A3F16" w:rsidRDefault="002A3F16" w:rsidP="002A3F16">
      <w:pPr>
        <w:spacing w:before="60" w:beforeAutospacing="0" w:after="60" w:afterAutospacing="0" w:line="276" w:lineRule="auto"/>
        <w:ind w:firstLine="284"/>
        <w:jc w:val="both"/>
        <w:rPr>
          <w:rFonts w:ascii="Times New Roman" w:hAnsi="Times New Roman" w:cs="Times New Roman"/>
          <w:sz w:val="24"/>
          <w:szCs w:val="24"/>
          <w:lang w:bidi="ar-DZ"/>
        </w:rPr>
      </w:pPr>
      <w:r w:rsidRPr="002A3F16">
        <w:rPr>
          <w:rFonts w:ascii="Times New Roman" w:hAnsi="Times New Roman" w:cs="Times New Roman"/>
          <w:sz w:val="24"/>
          <w:szCs w:val="24"/>
          <w:lang w:bidi="ar-DZ"/>
        </w:rPr>
        <w:t>L'information possède la qualité de fiabilité quand elle est exempte d'erreur et de biais significatifs et que les utilisateurs peuvent lui faire confiance pour présenter une image fidèle de ce qu'elle est censée présenter ou de ce qu'on pourrait s'attendre raisonnablement à ce qu'elle les présente.</w:t>
      </w:r>
    </w:p>
    <w:p w:rsidR="002A3F16" w:rsidRPr="002A3F16" w:rsidRDefault="002A3F16" w:rsidP="002A3F16">
      <w:pPr>
        <w:numPr>
          <w:ilvl w:val="0"/>
          <w:numId w:val="36"/>
        </w:numPr>
        <w:spacing w:before="60" w:beforeAutospacing="0" w:after="60" w:afterAutospacing="0" w:line="276" w:lineRule="auto"/>
        <w:contextualSpacing/>
        <w:jc w:val="both"/>
        <w:rPr>
          <w:rFonts w:ascii="Times New Roman" w:hAnsi="Times New Roman" w:cs="Times New Roman"/>
          <w:i/>
          <w:sz w:val="24"/>
          <w:szCs w:val="24"/>
          <w:lang w:bidi="ar-DZ"/>
        </w:rPr>
      </w:pPr>
      <w:r w:rsidRPr="002A3F16">
        <w:rPr>
          <w:rFonts w:ascii="Times New Roman" w:hAnsi="Times New Roman" w:cs="Times New Roman"/>
          <w:i/>
          <w:sz w:val="24"/>
          <w:szCs w:val="24"/>
          <w:lang w:bidi="ar-DZ"/>
        </w:rPr>
        <w:t>Comparabilité</w:t>
      </w:r>
    </w:p>
    <w:p w:rsidR="002A3F16" w:rsidRPr="002A3F16" w:rsidRDefault="002A3F16" w:rsidP="002A3F16">
      <w:pPr>
        <w:spacing w:before="60" w:beforeAutospacing="0" w:after="60" w:afterAutospacing="0" w:line="276" w:lineRule="auto"/>
        <w:ind w:firstLine="284"/>
        <w:jc w:val="both"/>
        <w:rPr>
          <w:rFonts w:ascii="Times New Roman" w:hAnsi="Times New Roman" w:cs="Times New Roman"/>
          <w:sz w:val="24"/>
          <w:szCs w:val="24"/>
          <w:lang w:bidi="ar-DZ"/>
        </w:rPr>
      </w:pPr>
      <w:r w:rsidRPr="002A3F16">
        <w:rPr>
          <w:rFonts w:ascii="Times New Roman" w:hAnsi="Times New Roman" w:cs="Times New Roman"/>
          <w:sz w:val="24"/>
          <w:szCs w:val="24"/>
          <w:lang w:bidi="ar-DZ"/>
        </w:rPr>
        <w:t xml:space="preserve">L'évaluation et la présentation de l'effet financier de transactions et d'événements semblables doivent être </w:t>
      </w:r>
      <w:proofErr w:type="gramStart"/>
      <w:r w:rsidRPr="002A3F16">
        <w:rPr>
          <w:rFonts w:ascii="Times New Roman" w:hAnsi="Times New Roman" w:cs="Times New Roman"/>
          <w:sz w:val="24"/>
          <w:szCs w:val="24"/>
          <w:lang w:bidi="ar-DZ"/>
        </w:rPr>
        <w:t>effectués</w:t>
      </w:r>
      <w:proofErr w:type="gramEnd"/>
      <w:r w:rsidRPr="002A3F16">
        <w:rPr>
          <w:rFonts w:ascii="Times New Roman" w:hAnsi="Times New Roman" w:cs="Times New Roman"/>
          <w:sz w:val="24"/>
          <w:szCs w:val="24"/>
          <w:lang w:bidi="ar-DZ"/>
        </w:rPr>
        <w:t xml:space="preserve"> de façon cohérente et permanente pour une même entreprise et de façon cohérente et permanente pour différentes entreprises. Dans le but de permettre aux utilisateurs de comparer la situation financière, la performance et la variation de la situation financière d'une entreprise au cours du temps, ainsi de les comparer à d’autres entités similaires. </w:t>
      </w:r>
    </w:p>
    <w:p w:rsidR="002A3F16" w:rsidRPr="002A3F16" w:rsidRDefault="002A3F16" w:rsidP="002A3F16">
      <w:pPr>
        <w:numPr>
          <w:ilvl w:val="0"/>
          <w:numId w:val="35"/>
        </w:numPr>
        <w:spacing w:before="60" w:beforeAutospacing="0" w:after="60" w:afterAutospacing="0" w:line="276" w:lineRule="auto"/>
        <w:ind w:left="714" w:hanging="357"/>
        <w:jc w:val="both"/>
        <w:rPr>
          <w:rFonts w:ascii="Times New Roman" w:hAnsi="Times New Roman" w:cs="Times New Roman"/>
          <w:b/>
          <w:bCs/>
          <w:sz w:val="24"/>
          <w:szCs w:val="36"/>
          <w:lang w:bidi="ar-DZ"/>
        </w:rPr>
      </w:pPr>
      <w:r w:rsidRPr="002A3F16">
        <w:rPr>
          <w:rFonts w:ascii="Times New Roman" w:hAnsi="Times New Roman" w:cs="Times New Roman"/>
          <w:b/>
          <w:bCs/>
          <w:sz w:val="24"/>
          <w:szCs w:val="36"/>
          <w:lang w:bidi="ar-DZ"/>
        </w:rPr>
        <w:t>Conventions et Principes Comptables</w:t>
      </w:r>
    </w:p>
    <w:p w:rsidR="002A3F16" w:rsidRPr="002A3F16" w:rsidRDefault="002A3F16" w:rsidP="002A3F16">
      <w:pPr>
        <w:spacing w:before="60" w:beforeAutospacing="0" w:after="60" w:afterAutospacing="0" w:line="276" w:lineRule="auto"/>
        <w:ind w:firstLine="284"/>
        <w:jc w:val="both"/>
        <w:rPr>
          <w:rFonts w:ascii="Times New Roman" w:hAnsi="Times New Roman" w:cs="Times New Roman"/>
          <w:sz w:val="24"/>
          <w:szCs w:val="36"/>
          <w:lang w:bidi="ar-DZ"/>
        </w:rPr>
      </w:pPr>
      <w:r w:rsidRPr="002A3F16">
        <w:rPr>
          <w:rFonts w:ascii="Times New Roman" w:hAnsi="Times New Roman" w:cs="Times New Roman"/>
          <w:sz w:val="24"/>
          <w:szCs w:val="36"/>
          <w:lang w:bidi="ar-DZ"/>
        </w:rPr>
        <w:t>Les conventions et principes comptables sont des règles concrètes qui guident la pratique comptable. Ils sont développés par la pratique en conformité avec les objectifs et les caractéristiques qualitatives.</w:t>
      </w:r>
    </w:p>
    <w:p w:rsidR="002A3F16" w:rsidRPr="002A3F16" w:rsidRDefault="002A3F16" w:rsidP="002A3F16">
      <w:pPr>
        <w:numPr>
          <w:ilvl w:val="0"/>
          <w:numId w:val="32"/>
        </w:numPr>
        <w:spacing w:before="60" w:beforeAutospacing="0" w:after="60" w:afterAutospacing="0" w:line="276" w:lineRule="auto"/>
        <w:contextualSpacing/>
        <w:jc w:val="both"/>
        <w:rPr>
          <w:rFonts w:ascii="Times New Roman" w:hAnsi="Times New Roman" w:cs="Times New Roman"/>
          <w:b/>
          <w:bCs/>
          <w:sz w:val="24"/>
          <w:szCs w:val="36"/>
          <w:lang w:bidi="ar-DZ"/>
        </w:rPr>
      </w:pPr>
      <w:r w:rsidRPr="002A3F16">
        <w:rPr>
          <w:rFonts w:ascii="Times New Roman" w:hAnsi="Times New Roman" w:cs="Times New Roman"/>
          <w:b/>
          <w:bCs/>
          <w:sz w:val="24"/>
          <w:szCs w:val="36"/>
          <w:lang w:bidi="ar-DZ"/>
        </w:rPr>
        <w:t>Convention de l'entité</w:t>
      </w:r>
    </w:p>
    <w:p w:rsidR="002A3F16" w:rsidRPr="002A3F16" w:rsidRDefault="002A3F16" w:rsidP="002A3F16">
      <w:pPr>
        <w:spacing w:before="60" w:beforeAutospacing="0" w:after="60" w:afterAutospacing="0" w:line="276" w:lineRule="auto"/>
        <w:ind w:firstLine="284"/>
        <w:jc w:val="both"/>
        <w:rPr>
          <w:rFonts w:ascii="Times New Roman" w:hAnsi="Times New Roman" w:cs="Times New Roman"/>
          <w:sz w:val="24"/>
          <w:szCs w:val="36"/>
          <w:lang w:bidi="ar-DZ"/>
        </w:rPr>
      </w:pPr>
      <w:r w:rsidRPr="002A3F16">
        <w:rPr>
          <w:rFonts w:ascii="Times New Roman" w:hAnsi="Times New Roman" w:cs="Times New Roman"/>
          <w:sz w:val="24"/>
          <w:szCs w:val="36"/>
          <w:lang w:bidi="ar-DZ"/>
        </w:rPr>
        <w:t xml:space="preserve">L'entreprise est considérée comme étant une entité comptable autonome et distincte de ses propriétaires. La comptabilité financière suppose une nette séparation entre le patrimoine de l'entreprise et celui des propriétaires ou actionnaires. Ce sont les transactions de l'entreprise et non celles des propriétaires qui sont prises en compte dans les états financiers. Une entité comptable ne représente pas une entreprise jouissant de </w:t>
      </w:r>
      <w:r w:rsidRPr="002A3F16">
        <w:rPr>
          <w:rFonts w:ascii="Times New Roman" w:hAnsi="Times New Roman" w:cs="Times New Roman"/>
          <w:sz w:val="24"/>
          <w:szCs w:val="36"/>
          <w:lang w:bidi="ar-DZ"/>
        </w:rPr>
        <w:lastRenderedPageBreak/>
        <w:t xml:space="preserve">par la loi d’un statut comptable. Elle s’entend à </w:t>
      </w:r>
      <w:proofErr w:type="spellStart"/>
      <w:r w:rsidRPr="002A3F16">
        <w:rPr>
          <w:rFonts w:ascii="Times New Roman" w:hAnsi="Times New Roman" w:cs="Times New Roman"/>
          <w:sz w:val="24"/>
          <w:szCs w:val="36"/>
          <w:lang w:bidi="ar-DZ"/>
        </w:rPr>
        <w:t>tout</w:t>
      </w:r>
      <w:proofErr w:type="spellEnd"/>
      <w:r w:rsidRPr="002A3F16">
        <w:rPr>
          <w:rFonts w:ascii="Times New Roman" w:hAnsi="Times New Roman" w:cs="Times New Roman"/>
          <w:sz w:val="24"/>
          <w:szCs w:val="36"/>
          <w:lang w:bidi="ar-DZ"/>
        </w:rPr>
        <w:t xml:space="preserve"> ensemble s’acquittant d’une activité économique et qui contrôle et utilise des ressources économiques.</w:t>
      </w:r>
    </w:p>
    <w:p w:rsidR="002A3F16" w:rsidRPr="002A3F16" w:rsidRDefault="002A3F16" w:rsidP="002A3F16">
      <w:pPr>
        <w:numPr>
          <w:ilvl w:val="0"/>
          <w:numId w:val="32"/>
        </w:numPr>
        <w:spacing w:before="60" w:beforeAutospacing="0" w:after="60" w:afterAutospacing="0" w:line="276" w:lineRule="auto"/>
        <w:contextualSpacing/>
        <w:jc w:val="both"/>
        <w:rPr>
          <w:rFonts w:ascii="Times New Roman" w:hAnsi="Times New Roman" w:cs="Times New Roman"/>
          <w:b/>
          <w:bCs/>
          <w:sz w:val="24"/>
          <w:szCs w:val="36"/>
          <w:lang w:bidi="ar-DZ"/>
        </w:rPr>
      </w:pPr>
      <w:r w:rsidRPr="002A3F16">
        <w:rPr>
          <w:rFonts w:ascii="Times New Roman" w:hAnsi="Times New Roman" w:cs="Times New Roman"/>
          <w:b/>
          <w:bCs/>
          <w:sz w:val="24"/>
          <w:szCs w:val="36"/>
          <w:lang w:bidi="ar-DZ"/>
        </w:rPr>
        <w:t>Convention de l'unité monétaire</w:t>
      </w:r>
    </w:p>
    <w:p w:rsidR="002A3F16" w:rsidRPr="002A3F16" w:rsidRDefault="002A3F16" w:rsidP="002A3F16">
      <w:pPr>
        <w:spacing w:before="60" w:beforeAutospacing="0" w:after="60" w:afterAutospacing="0" w:line="276" w:lineRule="auto"/>
        <w:ind w:firstLine="284"/>
        <w:jc w:val="both"/>
        <w:rPr>
          <w:rFonts w:ascii="Times New Roman" w:hAnsi="Times New Roman" w:cs="Times New Roman"/>
          <w:sz w:val="24"/>
          <w:szCs w:val="36"/>
          <w:lang w:bidi="ar-DZ"/>
        </w:rPr>
      </w:pPr>
      <w:r w:rsidRPr="002A3F16">
        <w:rPr>
          <w:rFonts w:ascii="Times New Roman" w:hAnsi="Times New Roman" w:cs="Times New Roman"/>
          <w:sz w:val="24"/>
          <w:szCs w:val="36"/>
          <w:lang w:bidi="ar-DZ"/>
        </w:rPr>
        <w:t>La nécessité d'une unité unique de mesure pour enregistrer les transactions d'une entreprise a été à l'origine du choix de la monnaie comme unité de mesure (Dinar Algérien) de l'information véhiculée dans les états financiers. Seuls les transactions et événements susceptibles d'être quantifiés monétairement sont comptabilisés. Les informations non quantifiables mais pouvant avoir une incidence financière sont également mentionnées dans l'annexe.</w:t>
      </w:r>
    </w:p>
    <w:p w:rsidR="002A3F16" w:rsidRPr="002A3F16" w:rsidRDefault="002A3F16" w:rsidP="002A3F16">
      <w:pPr>
        <w:numPr>
          <w:ilvl w:val="0"/>
          <w:numId w:val="32"/>
        </w:numPr>
        <w:spacing w:before="60" w:beforeAutospacing="0" w:after="60" w:afterAutospacing="0" w:line="276" w:lineRule="auto"/>
        <w:contextualSpacing/>
        <w:jc w:val="both"/>
        <w:rPr>
          <w:rFonts w:ascii="Times New Roman" w:hAnsi="Times New Roman" w:cs="Times New Roman"/>
          <w:b/>
          <w:bCs/>
          <w:sz w:val="24"/>
          <w:szCs w:val="36"/>
          <w:lang w:bidi="ar-DZ"/>
        </w:rPr>
      </w:pPr>
      <w:r w:rsidRPr="002A3F16">
        <w:rPr>
          <w:rFonts w:ascii="Times New Roman" w:hAnsi="Times New Roman" w:cs="Times New Roman"/>
          <w:b/>
          <w:bCs/>
          <w:sz w:val="24"/>
          <w:szCs w:val="36"/>
          <w:lang w:bidi="ar-DZ"/>
        </w:rPr>
        <w:t>Convention de la périodicité</w:t>
      </w:r>
    </w:p>
    <w:p w:rsidR="002A3F16" w:rsidRPr="002A3F16" w:rsidRDefault="002A3F16" w:rsidP="002A3F16">
      <w:pPr>
        <w:spacing w:before="60" w:beforeAutospacing="0" w:after="60" w:afterAutospacing="0" w:line="276" w:lineRule="auto"/>
        <w:ind w:firstLine="284"/>
        <w:jc w:val="both"/>
        <w:rPr>
          <w:rFonts w:ascii="Times New Roman" w:hAnsi="Times New Roman" w:cs="Times New Roman"/>
          <w:sz w:val="24"/>
          <w:szCs w:val="36"/>
          <w:lang w:bidi="ar-DZ"/>
        </w:rPr>
      </w:pPr>
      <w:r w:rsidRPr="002A3F16">
        <w:rPr>
          <w:rFonts w:ascii="Times New Roman" w:hAnsi="Times New Roman" w:cs="Times New Roman"/>
          <w:sz w:val="24"/>
          <w:szCs w:val="36"/>
          <w:lang w:bidi="ar-DZ"/>
        </w:rPr>
        <w:t>L'information comptable doit refléter l'évolution périodique des performances de l'entreprise pour servir de base à la prise de décision économique. Elle doit être en conséquence produite à des intervalles périodiques et réguliers, la période étant désignée " exercice comptable". Un exercice comptable a normalement une durée de 12 mois couvrant l'année civile. Une entité peut être autorisée à avoir un exercice se clôturant à une autre date que le 31 Décembre dans la mesure où son cycle d'exploitation est incompatible avec l'année civile.</w:t>
      </w:r>
    </w:p>
    <w:p w:rsidR="002A3F16" w:rsidRPr="002A3F16" w:rsidRDefault="002A3F16" w:rsidP="002A3F16">
      <w:pPr>
        <w:numPr>
          <w:ilvl w:val="0"/>
          <w:numId w:val="32"/>
        </w:numPr>
        <w:spacing w:before="60" w:beforeAutospacing="0" w:after="60" w:afterAutospacing="0" w:line="276" w:lineRule="auto"/>
        <w:contextualSpacing/>
        <w:jc w:val="both"/>
        <w:rPr>
          <w:rFonts w:ascii="Times New Roman" w:hAnsi="Times New Roman" w:cs="Times New Roman"/>
          <w:b/>
          <w:bCs/>
          <w:sz w:val="24"/>
          <w:szCs w:val="36"/>
          <w:lang w:bidi="ar-DZ"/>
        </w:rPr>
      </w:pPr>
      <w:r w:rsidRPr="002A3F16">
        <w:rPr>
          <w:rFonts w:ascii="Times New Roman" w:hAnsi="Times New Roman" w:cs="Times New Roman"/>
          <w:b/>
          <w:bCs/>
          <w:sz w:val="24"/>
          <w:szCs w:val="36"/>
          <w:lang w:bidi="ar-DZ"/>
        </w:rPr>
        <w:t>Convention du cout historique/Méthode d'évaluation</w:t>
      </w:r>
    </w:p>
    <w:p w:rsidR="002A3F16" w:rsidRPr="002A3F16" w:rsidRDefault="002A3F16" w:rsidP="002A3F16">
      <w:pPr>
        <w:spacing w:before="60" w:beforeAutospacing="0" w:after="60" w:afterAutospacing="0" w:line="276" w:lineRule="auto"/>
        <w:ind w:firstLine="284"/>
        <w:jc w:val="both"/>
        <w:rPr>
          <w:rFonts w:ascii="Times New Roman" w:hAnsi="Times New Roman" w:cs="Times New Roman"/>
          <w:sz w:val="24"/>
          <w:szCs w:val="36"/>
          <w:lang w:bidi="ar-DZ"/>
        </w:rPr>
      </w:pPr>
      <w:r w:rsidRPr="002A3F16">
        <w:rPr>
          <w:rFonts w:ascii="Times New Roman" w:hAnsi="Times New Roman" w:cs="Times New Roman"/>
          <w:sz w:val="24"/>
          <w:szCs w:val="36"/>
          <w:lang w:bidi="ar-DZ"/>
        </w:rPr>
        <w:t>Sous réserve des dispositions particulières concernant certains actifs et passifs, les éléments d'actif et de passif, de produits et de charges sont enregistrés en comptabilité et présentés dans les états financiers au cout historique c'est-à-dire sur la base de leur valeur à la date de leur constatation sans tenir compte des effets de variations de prix ou d'évolution du pouvoir d'achat de la monnaie. Cependant des actifs et des passifs particuliers tels que les actifs biologiques ou certains instruments financiers sont valorisés à leur juste valeur.</w:t>
      </w:r>
    </w:p>
    <w:p w:rsidR="002A3F16" w:rsidRPr="002A3F16" w:rsidRDefault="002A3F16" w:rsidP="002A3F16">
      <w:pPr>
        <w:numPr>
          <w:ilvl w:val="0"/>
          <w:numId w:val="32"/>
        </w:numPr>
        <w:spacing w:before="60" w:beforeAutospacing="0" w:after="60" w:afterAutospacing="0" w:line="276" w:lineRule="auto"/>
        <w:contextualSpacing/>
        <w:jc w:val="both"/>
        <w:rPr>
          <w:rFonts w:ascii="Times New Roman" w:hAnsi="Times New Roman" w:cs="Times New Roman"/>
          <w:b/>
          <w:bCs/>
          <w:sz w:val="24"/>
          <w:szCs w:val="36"/>
          <w:lang w:bidi="ar-DZ"/>
        </w:rPr>
      </w:pPr>
      <w:r w:rsidRPr="002A3F16">
        <w:rPr>
          <w:rFonts w:ascii="Times New Roman" w:hAnsi="Times New Roman" w:cs="Times New Roman"/>
          <w:b/>
          <w:bCs/>
          <w:sz w:val="24"/>
          <w:szCs w:val="36"/>
          <w:lang w:bidi="ar-DZ"/>
        </w:rPr>
        <w:t>Convention de l'indépendance des exercices</w:t>
      </w:r>
    </w:p>
    <w:p w:rsidR="002A3F16" w:rsidRPr="002A3F16" w:rsidRDefault="002A3F16" w:rsidP="002A3F16">
      <w:pPr>
        <w:spacing w:before="60" w:beforeAutospacing="0" w:after="60" w:afterAutospacing="0" w:line="276" w:lineRule="auto"/>
        <w:ind w:firstLine="284"/>
        <w:jc w:val="both"/>
        <w:rPr>
          <w:rFonts w:ascii="Times New Roman" w:hAnsi="Times New Roman" w:cs="Times New Roman"/>
          <w:sz w:val="24"/>
          <w:szCs w:val="36"/>
          <w:lang w:bidi="ar-DZ"/>
        </w:rPr>
      </w:pPr>
      <w:r w:rsidRPr="002A3F16">
        <w:rPr>
          <w:rFonts w:ascii="Times New Roman" w:hAnsi="Times New Roman" w:cs="Times New Roman"/>
          <w:sz w:val="24"/>
          <w:szCs w:val="36"/>
          <w:lang w:bidi="ar-DZ"/>
        </w:rPr>
        <w:t xml:space="preserve">Le résultat de chaque exercice est indépendant de celui qui le précède et de celui qui le suit; pour sa détermination il convient donc de lui imputer les événements et opérations qui lui sont propres, et </w:t>
      </w:r>
      <w:proofErr w:type="spellStart"/>
      <w:r w:rsidRPr="002A3F16">
        <w:rPr>
          <w:rFonts w:ascii="Times New Roman" w:hAnsi="Times New Roman" w:cs="Times New Roman"/>
          <w:sz w:val="24"/>
          <w:szCs w:val="36"/>
          <w:lang w:bidi="ar-DZ"/>
        </w:rPr>
        <w:t>ceux là</w:t>
      </w:r>
      <w:proofErr w:type="spellEnd"/>
      <w:r w:rsidRPr="002A3F16">
        <w:rPr>
          <w:rFonts w:ascii="Times New Roman" w:hAnsi="Times New Roman" w:cs="Times New Roman"/>
          <w:sz w:val="24"/>
          <w:szCs w:val="36"/>
          <w:lang w:bidi="ar-DZ"/>
        </w:rPr>
        <w:t xml:space="preserve"> seulement. Dans l'hypothèse où un événement, ayant un lien de causalité direct et prépondérant avec une situation existante à la date d'arrêté des comptes d'un exercice, est connu entre cette date et celle d'établissement des comptes du dit exercice, il convient de rattacher cet événement à l'exercice clos. Ce rattachement s'effectue sur la base des informations connues à la date d'établissement des comptes.</w:t>
      </w:r>
    </w:p>
    <w:p w:rsidR="002A3F16" w:rsidRPr="002A3F16" w:rsidRDefault="002A3F16" w:rsidP="002A3F16">
      <w:pPr>
        <w:numPr>
          <w:ilvl w:val="0"/>
          <w:numId w:val="32"/>
        </w:numPr>
        <w:spacing w:before="60" w:beforeAutospacing="0" w:after="60" w:afterAutospacing="0" w:line="276" w:lineRule="auto"/>
        <w:contextualSpacing/>
        <w:jc w:val="both"/>
        <w:rPr>
          <w:rFonts w:ascii="Times New Roman" w:hAnsi="Times New Roman" w:cs="Times New Roman"/>
          <w:b/>
          <w:bCs/>
          <w:sz w:val="24"/>
          <w:szCs w:val="36"/>
          <w:lang w:bidi="ar-DZ"/>
        </w:rPr>
      </w:pPr>
      <w:r w:rsidRPr="002A3F16">
        <w:rPr>
          <w:rFonts w:ascii="Times New Roman" w:hAnsi="Times New Roman" w:cs="Times New Roman"/>
          <w:b/>
          <w:bCs/>
          <w:sz w:val="24"/>
          <w:szCs w:val="36"/>
          <w:lang w:bidi="ar-DZ"/>
        </w:rPr>
        <w:t>Convention d'importance relative</w:t>
      </w:r>
    </w:p>
    <w:p w:rsidR="002A3F16" w:rsidRPr="002A3F16" w:rsidRDefault="002A3F16" w:rsidP="002A3F16">
      <w:pPr>
        <w:spacing w:before="60" w:beforeAutospacing="0" w:after="60" w:afterAutospacing="0" w:line="276" w:lineRule="auto"/>
        <w:ind w:firstLine="284"/>
        <w:jc w:val="both"/>
        <w:rPr>
          <w:rFonts w:ascii="Times New Roman" w:hAnsi="Times New Roman" w:cs="Times New Roman"/>
          <w:sz w:val="24"/>
          <w:szCs w:val="36"/>
          <w:lang w:bidi="ar-DZ"/>
        </w:rPr>
      </w:pPr>
      <w:r w:rsidRPr="002A3F16">
        <w:rPr>
          <w:rFonts w:ascii="Times New Roman" w:hAnsi="Times New Roman" w:cs="Times New Roman"/>
          <w:sz w:val="24"/>
          <w:szCs w:val="36"/>
          <w:lang w:bidi="ar-DZ"/>
        </w:rPr>
        <w:t xml:space="preserve">Les états financiers mettent en évidence toute information significative c'est-à-dire toute information pouvant avoir une influence sur le jugement que les utilisateurs de l'information peuvent porter sur l'entité. Un fait ou un élément est significatif si en tenant compte des circonstances, sa nature ou son montant est tels que le fait de le </w:t>
      </w:r>
      <w:r w:rsidRPr="002A3F16">
        <w:rPr>
          <w:rFonts w:ascii="Times New Roman" w:hAnsi="Times New Roman" w:cs="Times New Roman"/>
          <w:sz w:val="24"/>
          <w:szCs w:val="36"/>
          <w:lang w:bidi="ar-DZ"/>
        </w:rPr>
        <w:lastRenderedPageBreak/>
        <w:t>mentionner dans les états financiers, ou la manière de le traiter dans les comptes est susceptible d'influencer le jugement ou les décisions prises sur la base des données comptables.</w:t>
      </w:r>
    </w:p>
    <w:p w:rsidR="002A3F16" w:rsidRPr="002A3F16" w:rsidRDefault="002A3F16" w:rsidP="002A3F16">
      <w:pPr>
        <w:numPr>
          <w:ilvl w:val="0"/>
          <w:numId w:val="32"/>
        </w:numPr>
        <w:spacing w:before="60" w:beforeAutospacing="0" w:after="60" w:afterAutospacing="0" w:line="276" w:lineRule="auto"/>
        <w:contextualSpacing/>
        <w:jc w:val="both"/>
        <w:rPr>
          <w:rFonts w:ascii="Times New Roman" w:hAnsi="Times New Roman" w:cs="Times New Roman"/>
          <w:b/>
          <w:bCs/>
          <w:sz w:val="24"/>
          <w:szCs w:val="36"/>
          <w:lang w:bidi="ar-DZ"/>
        </w:rPr>
      </w:pPr>
      <w:r w:rsidRPr="002A3F16">
        <w:rPr>
          <w:rFonts w:ascii="Times New Roman" w:hAnsi="Times New Roman" w:cs="Times New Roman"/>
          <w:b/>
          <w:bCs/>
          <w:sz w:val="24"/>
          <w:szCs w:val="36"/>
          <w:lang w:bidi="ar-DZ"/>
        </w:rPr>
        <w:t>Convention de permanence de méthodes</w:t>
      </w:r>
    </w:p>
    <w:p w:rsidR="002A3F16" w:rsidRPr="002A3F16" w:rsidRDefault="002A3F16" w:rsidP="002A3F16">
      <w:pPr>
        <w:spacing w:before="60" w:beforeAutospacing="0" w:after="60" w:afterAutospacing="0" w:line="276" w:lineRule="auto"/>
        <w:ind w:firstLine="284"/>
        <w:jc w:val="both"/>
        <w:rPr>
          <w:rFonts w:ascii="Times New Roman" w:hAnsi="Times New Roman" w:cs="Times New Roman"/>
          <w:sz w:val="24"/>
          <w:szCs w:val="36"/>
          <w:lang w:bidi="ar-DZ"/>
        </w:rPr>
      </w:pPr>
      <w:r w:rsidRPr="002A3F16">
        <w:rPr>
          <w:rFonts w:ascii="Times New Roman" w:hAnsi="Times New Roman" w:cs="Times New Roman"/>
          <w:sz w:val="24"/>
          <w:szCs w:val="36"/>
          <w:lang w:bidi="ar-DZ"/>
        </w:rPr>
        <w:t>La cohérence et la comparabilité des informations comptables au cours des périodes successives impliquent une permanence dans l'application des règles et procédures relatives à l'évaluation des éléments et la présentation des informations. Toute exception à cette convention n'est justifiée que par la recherche d'une meilleure information ou par un changement de la réglementation.</w:t>
      </w:r>
    </w:p>
    <w:p w:rsidR="002A3F16" w:rsidRPr="002A3F16" w:rsidRDefault="002A3F16" w:rsidP="002A3F16">
      <w:pPr>
        <w:numPr>
          <w:ilvl w:val="0"/>
          <w:numId w:val="32"/>
        </w:numPr>
        <w:spacing w:before="60" w:beforeAutospacing="0" w:after="60" w:afterAutospacing="0" w:line="276" w:lineRule="auto"/>
        <w:contextualSpacing/>
        <w:jc w:val="both"/>
        <w:rPr>
          <w:rFonts w:ascii="Times New Roman" w:hAnsi="Times New Roman" w:cs="Times New Roman"/>
          <w:b/>
          <w:bCs/>
          <w:sz w:val="24"/>
          <w:szCs w:val="36"/>
          <w:lang w:bidi="ar-DZ"/>
        </w:rPr>
      </w:pPr>
      <w:r w:rsidRPr="002A3F16">
        <w:rPr>
          <w:rFonts w:ascii="Times New Roman" w:hAnsi="Times New Roman" w:cs="Times New Roman"/>
          <w:b/>
          <w:bCs/>
          <w:sz w:val="24"/>
          <w:szCs w:val="36"/>
          <w:lang w:bidi="ar-DZ"/>
        </w:rPr>
        <w:t>Convention de prudence</w:t>
      </w:r>
    </w:p>
    <w:p w:rsidR="002A3F16" w:rsidRPr="002A3F16" w:rsidRDefault="002A3F16" w:rsidP="002A3F16">
      <w:pPr>
        <w:spacing w:before="60" w:beforeAutospacing="0" w:after="60" w:afterAutospacing="0" w:line="276" w:lineRule="auto"/>
        <w:ind w:firstLine="284"/>
        <w:jc w:val="both"/>
        <w:rPr>
          <w:rFonts w:ascii="Times New Roman" w:hAnsi="Times New Roman" w:cs="Times New Roman"/>
          <w:sz w:val="24"/>
          <w:szCs w:val="36"/>
          <w:lang w:bidi="ar-DZ"/>
        </w:rPr>
      </w:pPr>
      <w:r w:rsidRPr="002A3F16">
        <w:rPr>
          <w:rFonts w:ascii="Times New Roman" w:hAnsi="Times New Roman" w:cs="Times New Roman"/>
          <w:sz w:val="24"/>
          <w:szCs w:val="36"/>
          <w:lang w:bidi="ar-DZ"/>
        </w:rPr>
        <w:t>La prudence est l'appréciation raisonnable des faits dans des conditions d'incertitude afin d'éviter le risque de transfert, sur l'avenir, d'incertitudes présentes susceptibles de grever le patrimoine ou le résultat de l'entité. Les actifs ou les produits ne doivent pas être sur évalués, et les passifs et les charges ne doivent pas être sous évalués. Toutefois l'application de cette convention ne doit pas conduire à la création de réserves occultes ou de provisions excessives.</w:t>
      </w:r>
    </w:p>
    <w:p w:rsidR="002A3F16" w:rsidRPr="002A3F16" w:rsidRDefault="002A3F16" w:rsidP="002A3F16">
      <w:pPr>
        <w:numPr>
          <w:ilvl w:val="0"/>
          <w:numId w:val="32"/>
        </w:numPr>
        <w:spacing w:before="60" w:beforeAutospacing="0" w:after="60" w:afterAutospacing="0" w:line="276" w:lineRule="auto"/>
        <w:contextualSpacing/>
        <w:jc w:val="both"/>
        <w:rPr>
          <w:rFonts w:ascii="Times New Roman" w:hAnsi="Times New Roman" w:cs="Times New Roman"/>
          <w:b/>
          <w:bCs/>
          <w:sz w:val="24"/>
          <w:szCs w:val="36"/>
          <w:lang w:bidi="ar-DZ"/>
        </w:rPr>
      </w:pPr>
      <w:r w:rsidRPr="002A3F16">
        <w:rPr>
          <w:rFonts w:ascii="Times New Roman" w:hAnsi="Times New Roman" w:cs="Times New Roman"/>
          <w:b/>
          <w:bCs/>
          <w:sz w:val="24"/>
          <w:szCs w:val="36"/>
          <w:lang w:bidi="ar-DZ"/>
        </w:rPr>
        <w:t>Convention de l'intangibilité du bilan d'ouverture</w:t>
      </w:r>
    </w:p>
    <w:p w:rsidR="002A3F16" w:rsidRPr="002A3F16" w:rsidRDefault="002A3F16" w:rsidP="002A3F16">
      <w:pPr>
        <w:spacing w:before="60" w:beforeAutospacing="0" w:after="60" w:afterAutospacing="0" w:line="276" w:lineRule="auto"/>
        <w:ind w:firstLine="284"/>
        <w:jc w:val="both"/>
        <w:rPr>
          <w:rFonts w:ascii="Times New Roman" w:hAnsi="Times New Roman" w:cs="Times New Roman"/>
          <w:sz w:val="24"/>
          <w:szCs w:val="36"/>
          <w:lang w:bidi="ar-DZ"/>
        </w:rPr>
      </w:pPr>
      <w:r w:rsidRPr="002A3F16">
        <w:rPr>
          <w:rFonts w:ascii="Times New Roman" w:hAnsi="Times New Roman" w:cs="Times New Roman"/>
          <w:sz w:val="24"/>
          <w:szCs w:val="36"/>
          <w:lang w:bidi="ar-DZ"/>
        </w:rPr>
        <w:t>Le bilan d'ouverture d'un exercice correspond au bilan de clôture de l'exercice précédent</w:t>
      </w:r>
    </w:p>
    <w:p w:rsidR="002A3F16" w:rsidRPr="002A3F16" w:rsidRDefault="002A3F16" w:rsidP="002A3F16">
      <w:pPr>
        <w:numPr>
          <w:ilvl w:val="0"/>
          <w:numId w:val="32"/>
        </w:numPr>
        <w:spacing w:before="60" w:beforeAutospacing="0" w:after="60" w:afterAutospacing="0" w:line="276" w:lineRule="auto"/>
        <w:contextualSpacing/>
        <w:jc w:val="both"/>
        <w:rPr>
          <w:rFonts w:ascii="Times New Roman" w:hAnsi="Times New Roman" w:cs="Times New Roman"/>
          <w:b/>
          <w:bCs/>
          <w:sz w:val="24"/>
          <w:szCs w:val="36"/>
          <w:lang w:bidi="ar-DZ"/>
        </w:rPr>
      </w:pPr>
      <w:r w:rsidRPr="002A3F16">
        <w:rPr>
          <w:rFonts w:ascii="Times New Roman" w:hAnsi="Times New Roman" w:cs="Times New Roman"/>
          <w:b/>
          <w:bCs/>
          <w:sz w:val="24"/>
          <w:szCs w:val="36"/>
          <w:lang w:bidi="ar-DZ"/>
        </w:rPr>
        <w:t>Convention de la prééminence de la réalité économique sur l'apparence juridique</w:t>
      </w:r>
    </w:p>
    <w:p w:rsidR="002A3F16" w:rsidRPr="002A3F16" w:rsidRDefault="002A3F16" w:rsidP="002A3F16">
      <w:pPr>
        <w:spacing w:before="60" w:beforeAutospacing="0" w:after="60" w:afterAutospacing="0" w:line="276" w:lineRule="auto"/>
        <w:ind w:firstLine="284"/>
        <w:jc w:val="both"/>
        <w:rPr>
          <w:rFonts w:ascii="Times New Roman" w:hAnsi="Times New Roman" w:cs="Times New Roman"/>
          <w:sz w:val="24"/>
          <w:szCs w:val="36"/>
          <w:lang w:bidi="ar-DZ"/>
        </w:rPr>
      </w:pPr>
      <w:r w:rsidRPr="002A3F16">
        <w:rPr>
          <w:rFonts w:ascii="Times New Roman" w:hAnsi="Times New Roman" w:cs="Times New Roman"/>
          <w:sz w:val="24"/>
          <w:szCs w:val="36"/>
          <w:lang w:bidi="ar-DZ"/>
        </w:rPr>
        <w:t>Les opérations sont enregistrées en comptabilité et présentés dans les états financiers conformément à leur nature et à leur réalité financière et économique, sans s'en tenir uniquement à leur apparence juridique.</w:t>
      </w:r>
    </w:p>
    <w:p w:rsidR="002A3F16" w:rsidRPr="002A3F16" w:rsidRDefault="002A3F16" w:rsidP="002A3F16">
      <w:pPr>
        <w:numPr>
          <w:ilvl w:val="0"/>
          <w:numId w:val="32"/>
        </w:numPr>
        <w:spacing w:before="60" w:beforeAutospacing="0" w:after="60" w:afterAutospacing="0" w:line="276" w:lineRule="auto"/>
        <w:contextualSpacing/>
        <w:jc w:val="both"/>
        <w:rPr>
          <w:rFonts w:ascii="Times New Roman" w:hAnsi="Times New Roman" w:cs="Times New Roman"/>
          <w:b/>
          <w:bCs/>
          <w:sz w:val="24"/>
          <w:szCs w:val="36"/>
          <w:lang w:bidi="ar-DZ"/>
        </w:rPr>
      </w:pPr>
      <w:r w:rsidRPr="002A3F16">
        <w:rPr>
          <w:rFonts w:ascii="Times New Roman" w:hAnsi="Times New Roman" w:cs="Times New Roman"/>
          <w:b/>
          <w:bCs/>
          <w:sz w:val="24"/>
          <w:szCs w:val="36"/>
          <w:lang w:bidi="ar-DZ"/>
        </w:rPr>
        <w:t>Convention de non-compensation</w:t>
      </w:r>
    </w:p>
    <w:p w:rsidR="002A3F16" w:rsidRPr="002A3F16" w:rsidRDefault="002A3F16" w:rsidP="002A3F16">
      <w:pPr>
        <w:spacing w:before="60" w:beforeAutospacing="0" w:after="60" w:afterAutospacing="0" w:line="276" w:lineRule="auto"/>
        <w:ind w:firstLine="284"/>
        <w:jc w:val="both"/>
        <w:rPr>
          <w:rFonts w:ascii="Times New Roman" w:hAnsi="Times New Roman" w:cs="Times New Roman"/>
          <w:sz w:val="24"/>
          <w:szCs w:val="36"/>
          <w:lang w:bidi="ar-DZ"/>
        </w:rPr>
      </w:pPr>
      <w:r w:rsidRPr="002A3F16">
        <w:rPr>
          <w:rFonts w:ascii="Times New Roman" w:hAnsi="Times New Roman" w:cs="Times New Roman"/>
          <w:sz w:val="24"/>
          <w:szCs w:val="36"/>
          <w:lang w:bidi="ar-DZ"/>
        </w:rPr>
        <w:t>Les compensations entre éléments d'actif et éléments de passif ou entre éléments de charges et éléments de produits dans le compte de résultat, ne sont pas autorisées sauf, si cette compensation est imposée ou autorisée par le règlement. Des charges et produits liés résultant de transactions et d'événements similaires et ne présentant pas de caractère significatif peuvent être compensés.</w:t>
      </w:r>
    </w:p>
    <w:p w:rsidR="002A3F16" w:rsidRPr="002A3F16" w:rsidRDefault="002A3F16" w:rsidP="002A3F16">
      <w:pPr>
        <w:numPr>
          <w:ilvl w:val="0"/>
          <w:numId w:val="32"/>
        </w:numPr>
        <w:spacing w:before="60" w:beforeAutospacing="0" w:after="60" w:afterAutospacing="0" w:line="276" w:lineRule="auto"/>
        <w:contextualSpacing/>
        <w:jc w:val="both"/>
        <w:rPr>
          <w:rFonts w:ascii="Times New Roman" w:hAnsi="Times New Roman" w:cs="Times New Roman"/>
          <w:b/>
          <w:bCs/>
          <w:sz w:val="24"/>
          <w:szCs w:val="36"/>
          <w:lang w:bidi="ar-DZ"/>
        </w:rPr>
      </w:pPr>
      <w:r w:rsidRPr="002A3F16">
        <w:rPr>
          <w:rFonts w:ascii="Times New Roman" w:hAnsi="Times New Roman" w:cs="Times New Roman"/>
          <w:b/>
          <w:bCs/>
          <w:sz w:val="24"/>
          <w:szCs w:val="36"/>
          <w:lang w:bidi="ar-DZ"/>
        </w:rPr>
        <w:t>Convention de l’information complète</w:t>
      </w:r>
    </w:p>
    <w:p w:rsidR="002A3F16" w:rsidRPr="002A3F16" w:rsidRDefault="002A3F16" w:rsidP="002A3F16">
      <w:pPr>
        <w:spacing w:before="60" w:beforeAutospacing="0" w:after="60" w:afterAutospacing="0" w:line="276" w:lineRule="auto"/>
        <w:ind w:firstLine="284"/>
        <w:jc w:val="both"/>
        <w:rPr>
          <w:b/>
          <w:bCs/>
          <w:szCs w:val="36"/>
          <w:lang w:bidi="ar-DZ"/>
        </w:rPr>
      </w:pPr>
      <w:r w:rsidRPr="002A3F16">
        <w:rPr>
          <w:rFonts w:ascii="Times New Roman" w:hAnsi="Times New Roman" w:cs="Times New Roman"/>
          <w:sz w:val="24"/>
          <w:szCs w:val="36"/>
          <w:lang w:bidi="ar-DZ"/>
        </w:rPr>
        <w:t>Cette convention établit que les états financiers doivent fournir toutes les informations nécessaires pour ne pas induire en erreur le lecteur. Elle exige pour éviter toute ambigüité dans l’interprétation de l’information financière, que les états financiers comportent des notes et des tableaux explicatifs révélant toute information pertinente et attirant l’attention sur les événements ou le traitement de l’information qui ont un impact significatif sur l’évolution des résultats futurs et la situation de l’entreprise.</w:t>
      </w:r>
    </w:p>
    <w:p w:rsidR="002A3F16" w:rsidRPr="002A3F16" w:rsidRDefault="002A3F16" w:rsidP="002A3F16">
      <w:pPr>
        <w:spacing w:before="120" w:beforeAutospacing="0" w:after="120" w:afterAutospacing="0" w:line="276" w:lineRule="auto"/>
        <w:jc w:val="both"/>
        <w:rPr>
          <w:rFonts w:ascii="Times New Roman" w:hAnsi="Times New Roman" w:cs="Times New Roman"/>
          <w:b/>
          <w:sz w:val="26"/>
          <w:szCs w:val="26"/>
        </w:rPr>
      </w:pPr>
      <w:r w:rsidRPr="002A3F16">
        <w:rPr>
          <w:rFonts w:ascii="Times New Roman" w:hAnsi="Times New Roman" w:cs="Times New Roman"/>
          <w:b/>
          <w:sz w:val="26"/>
          <w:szCs w:val="26"/>
        </w:rPr>
        <w:t xml:space="preserve">2.3. La convergence entre le SCF et les normes comptables internationales </w:t>
      </w:r>
    </w:p>
    <w:p w:rsidR="002A3F16" w:rsidRPr="002A3F16" w:rsidRDefault="002A3F16" w:rsidP="002A3F16">
      <w:pPr>
        <w:spacing w:before="60" w:beforeAutospacing="0" w:after="60" w:afterAutospacing="0" w:line="276" w:lineRule="auto"/>
        <w:ind w:firstLine="284"/>
        <w:jc w:val="both"/>
        <w:rPr>
          <w:rFonts w:ascii="Times New Roman" w:hAnsi="Times New Roman" w:cs="Times New Roman"/>
          <w:sz w:val="24"/>
          <w:szCs w:val="36"/>
          <w:lang w:bidi="ar-DZ"/>
        </w:rPr>
      </w:pPr>
      <w:r w:rsidRPr="002A3F16">
        <w:rPr>
          <w:rFonts w:ascii="Times New Roman" w:hAnsi="Times New Roman" w:cs="Times New Roman"/>
          <w:sz w:val="24"/>
          <w:szCs w:val="36"/>
          <w:lang w:bidi="ar-DZ"/>
        </w:rPr>
        <w:lastRenderedPageBreak/>
        <w:t>En analysant le contenu du référentiel comptable international et de celui du SCF, on constate une forte similitude entre ces deux systèmes. Particulièrement, en matière d’objectifs des états financiers, de principes comptables et des caractéristiques de l’information financière. Cependant, bien que le cadre conceptuel du nouveau système comptable algérien présente de nombreuses similitudes avec le cadre conceptuel de l’IASB, on souligne certaines divergences :</w:t>
      </w:r>
    </w:p>
    <w:p w:rsidR="002A3F16" w:rsidRPr="002A3F16" w:rsidRDefault="002A3F16" w:rsidP="002A3F16">
      <w:pPr>
        <w:numPr>
          <w:ilvl w:val="0"/>
          <w:numId w:val="41"/>
        </w:numPr>
        <w:spacing w:before="60" w:beforeAutospacing="0" w:after="60" w:afterAutospacing="0" w:line="276" w:lineRule="auto"/>
        <w:ind w:left="357" w:hanging="357"/>
        <w:jc w:val="both"/>
        <w:rPr>
          <w:rFonts w:ascii="Times New Roman" w:eastAsia="Times New Roman" w:hAnsi="Times New Roman" w:cs="Times New Roman"/>
          <w:sz w:val="24"/>
          <w:szCs w:val="24"/>
          <w:lang w:eastAsia="fr-FR"/>
        </w:rPr>
      </w:pPr>
      <w:r w:rsidRPr="002A3F16">
        <w:rPr>
          <w:rFonts w:ascii="Times New Roman" w:eastAsia="Times New Roman" w:hAnsi="Times New Roman" w:cs="Times New Roman"/>
          <w:sz w:val="24"/>
          <w:szCs w:val="24"/>
          <w:lang w:eastAsia="fr-FR"/>
        </w:rPr>
        <w:t>La terminologie du SCF est d’inspiration juridique (entreprises soumises au code de commerce, convention des droits constatés) voir même patrimoniale (image fidèle du patrimoine) ;</w:t>
      </w:r>
    </w:p>
    <w:p w:rsidR="002A3F16" w:rsidRPr="002A3F16" w:rsidRDefault="002A3F16" w:rsidP="002A3F16">
      <w:pPr>
        <w:numPr>
          <w:ilvl w:val="0"/>
          <w:numId w:val="41"/>
        </w:numPr>
        <w:spacing w:before="60" w:beforeAutospacing="0" w:after="60" w:afterAutospacing="0" w:line="276" w:lineRule="auto"/>
        <w:ind w:left="357" w:hanging="357"/>
        <w:jc w:val="both"/>
        <w:rPr>
          <w:rFonts w:ascii="Times New Roman" w:eastAsia="Times New Roman" w:hAnsi="Times New Roman" w:cs="Times New Roman"/>
          <w:sz w:val="24"/>
          <w:szCs w:val="24"/>
          <w:lang w:eastAsia="fr-FR"/>
        </w:rPr>
      </w:pPr>
      <w:r w:rsidRPr="002A3F16">
        <w:rPr>
          <w:rFonts w:ascii="Times New Roman" w:eastAsia="Times New Roman" w:hAnsi="Times New Roman" w:cs="Times New Roman"/>
          <w:sz w:val="24"/>
          <w:szCs w:val="24"/>
          <w:lang w:eastAsia="fr-FR"/>
        </w:rPr>
        <w:t>En outre, les auteurs du SCF considèrent que les états financiers visent à satisfaire les besoins de l’ensemble des utilisateurs et n’établissent aucune distinction entre eux, n’en privilégient pas une catégorie et ne citent pas les investisseurs à risque.</w:t>
      </w:r>
    </w:p>
    <w:p w:rsidR="002A3F16" w:rsidRPr="002A3F16" w:rsidRDefault="002A3F16" w:rsidP="002A3F16">
      <w:pPr>
        <w:spacing w:before="60" w:beforeAutospacing="0" w:after="60" w:afterAutospacing="0" w:line="276" w:lineRule="auto"/>
        <w:ind w:firstLine="284"/>
        <w:jc w:val="both"/>
        <w:rPr>
          <w:rFonts w:ascii="Times New Roman" w:eastAsia="Times New Roman" w:hAnsi="Times New Roman" w:cs="Times New Roman"/>
          <w:sz w:val="24"/>
          <w:szCs w:val="24"/>
          <w:lang w:eastAsia="fr-FR"/>
        </w:rPr>
      </w:pPr>
      <w:r w:rsidRPr="002A3F16">
        <w:rPr>
          <w:rFonts w:ascii="Times New Roman" w:eastAsia="Times New Roman" w:hAnsi="Times New Roman" w:cs="Times New Roman"/>
          <w:sz w:val="24"/>
          <w:szCs w:val="24"/>
          <w:lang w:eastAsia="fr-FR"/>
        </w:rPr>
        <w:t xml:space="preserve">Nous constatons également que le SCF reprend pratiquement les mêmes règles et méthodes comptables que celles instaurées par les IFRS. Cependant, le SCF donne un aperçu très global concernant cet aspect. </w:t>
      </w:r>
    </w:p>
    <w:p w:rsidR="002A3F16" w:rsidRPr="002A3F16" w:rsidRDefault="002A3F16" w:rsidP="002A3F16">
      <w:pPr>
        <w:spacing w:before="60" w:beforeAutospacing="0" w:after="60" w:afterAutospacing="0" w:line="276" w:lineRule="auto"/>
        <w:ind w:firstLine="284"/>
        <w:jc w:val="both"/>
        <w:rPr>
          <w:rFonts w:ascii="Times New Roman" w:hAnsi="Times New Roman" w:cs="Times New Roman"/>
          <w:sz w:val="24"/>
          <w:szCs w:val="36"/>
          <w:lang w:bidi="ar-DZ"/>
        </w:rPr>
      </w:pPr>
      <w:r w:rsidRPr="002A3F16">
        <w:rPr>
          <w:rFonts w:ascii="Times New Roman" w:hAnsi="Times New Roman" w:cs="Times New Roman"/>
          <w:sz w:val="24"/>
          <w:szCs w:val="36"/>
          <w:lang w:bidi="ar-DZ"/>
        </w:rPr>
        <w:t xml:space="preserve">A la différence des normes internationales, le nouveau référentiel algérien prévoit les règles spécifiques dans les domaines de : l'organisation et la tenue de la comptabilité, ainsi que dans le domaine de la nomenclature des comptes et de l'enregistrement des opérations dans ces comptes. Il impose également un format particulier des états financiers, choses qui en général ne sont pas régies par une norme au niveau du référentiel international et sont laissées au choix des entreprises. </w:t>
      </w:r>
    </w:p>
    <w:p w:rsidR="002A3F16" w:rsidRPr="002A3F16" w:rsidRDefault="002A3F16" w:rsidP="002A3F16">
      <w:pPr>
        <w:spacing w:before="0" w:beforeAutospacing="0" w:after="200" w:afterAutospacing="0" w:line="276" w:lineRule="auto"/>
        <w:rPr>
          <w:rFonts w:ascii="Times New Roman" w:hAnsi="Times New Roman" w:cs="Times New Roman"/>
          <w:b/>
          <w:i/>
          <w:sz w:val="26"/>
          <w:szCs w:val="26"/>
        </w:rPr>
      </w:pPr>
      <w:r w:rsidRPr="002A3F16">
        <w:rPr>
          <w:rFonts w:ascii="Times New Roman" w:hAnsi="Times New Roman" w:cs="Times New Roman"/>
          <w:b/>
          <w:i/>
          <w:sz w:val="26"/>
          <w:szCs w:val="26"/>
        </w:rPr>
        <w:t>Section 3 : Les nouvelles dispositions du Système Comptable Financier et leur impact sur les Capitaux Propres et résultats des entreprises</w:t>
      </w:r>
    </w:p>
    <w:p w:rsidR="002A3F16" w:rsidRPr="002A3F16" w:rsidRDefault="002A3F16" w:rsidP="002A3F16">
      <w:pPr>
        <w:spacing w:before="0" w:beforeAutospacing="0" w:after="0" w:afterAutospacing="0" w:line="276" w:lineRule="auto"/>
        <w:ind w:firstLine="284"/>
        <w:jc w:val="both"/>
        <w:rPr>
          <w:rFonts w:ascii="Times New Roman" w:hAnsi="Times New Roman" w:cs="Times New Roman"/>
          <w:sz w:val="24"/>
          <w:szCs w:val="24"/>
        </w:rPr>
      </w:pPr>
      <w:r w:rsidRPr="002A3F16">
        <w:rPr>
          <w:rFonts w:ascii="Times New Roman" w:hAnsi="Times New Roman" w:cs="Times New Roman"/>
          <w:sz w:val="24"/>
          <w:szCs w:val="24"/>
        </w:rPr>
        <w:t>Le SCF a instauré un ensemble de règles qui déterminent les méthodes de traitement à mettre en place pour la production et la présentation des états financiers. Dès lors, ces règles ont le même rôle que celui des normes IAS/IFRS dans le cadre du référentiel de l’IASB. Du fait que, ces dernières définissent les règles d’évaluation et de comptabilisation inspirées des principes du cadre conceptuel du SCF et qui permettent aux entités, lors de leur application, de produire des informations financières reflétant une image fidèle de leur situation financière. En ce qui suit, nous allons définir les principaux traitements (ou normes) instaurés par le SCF, cela en mettant l’accent sur l’impact que peut y avoir suite à la mise en place de ces normes sur les capitaux propres et les résultats des entreprises.</w:t>
      </w:r>
    </w:p>
    <w:p w:rsidR="002A3F16" w:rsidRPr="002A3F16" w:rsidRDefault="002A3F16" w:rsidP="002A3F16">
      <w:pPr>
        <w:spacing w:before="120" w:beforeAutospacing="0" w:after="120" w:afterAutospacing="0" w:line="276" w:lineRule="auto"/>
        <w:jc w:val="both"/>
        <w:rPr>
          <w:rFonts w:ascii="Times New Roman" w:hAnsi="Times New Roman" w:cs="Times New Roman"/>
          <w:b/>
          <w:sz w:val="26"/>
          <w:szCs w:val="26"/>
        </w:rPr>
      </w:pPr>
      <w:r w:rsidRPr="002A3F16">
        <w:rPr>
          <w:rFonts w:ascii="Times New Roman" w:hAnsi="Times New Roman" w:cs="Times New Roman"/>
          <w:b/>
          <w:sz w:val="26"/>
          <w:szCs w:val="26"/>
        </w:rPr>
        <w:t>3.1. Les normes comptables du SCF</w:t>
      </w:r>
    </w:p>
    <w:p w:rsidR="002A3F16" w:rsidRPr="002A3F16" w:rsidRDefault="002A3F16" w:rsidP="002A3F16">
      <w:pPr>
        <w:spacing w:before="60" w:beforeAutospacing="0" w:after="60" w:afterAutospacing="0" w:line="276" w:lineRule="auto"/>
        <w:ind w:firstLine="284"/>
        <w:jc w:val="both"/>
        <w:rPr>
          <w:rFonts w:ascii="Times New Roman" w:hAnsi="Times New Roman" w:cs="Times New Roman"/>
          <w:bCs/>
          <w:sz w:val="24"/>
          <w:szCs w:val="24"/>
        </w:rPr>
      </w:pPr>
      <w:r w:rsidRPr="002A3F16">
        <w:rPr>
          <w:rFonts w:ascii="Times New Roman" w:hAnsi="Times New Roman" w:cs="Times New Roman"/>
          <w:sz w:val="24"/>
          <w:szCs w:val="24"/>
        </w:rPr>
        <w:t xml:space="preserve">Inspiré du référentiel comptable international, le Système Comptable Financier préconise un traitement normalisé pour les différents éléments comptables de l’entreprise. Sous forme de chapitre, l’arrêté ministériel du 26/07/2008, </w:t>
      </w:r>
      <w:r w:rsidRPr="002A3F16">
        <w:rPr>
          <w:rFonts w:ascii="Times New Roman" w:hAnsi="Times New Roman" w:cs="Times New Roman"/>
          <w:bCs/>
          <w:sz w:val="24"/>
          <w:szCs w:val="24"/>
        </w:rPr>
        <w:t xml:space="preserve">fixant les règles d’évaluation et de comptabilisation, le contenu et la présentation des états financiers </w:t>
      </w:r>
      <w:r w:rsidRPr="002A3F16">
        <w:rPr>
          <w:rFonts w:ascii="Times New Roman" w:hAnsi="Times New Roman" w:cs="Times New Roman"/>
          <w:bCs/>
          <w:sz w:val="24"/>
          <w:szCs w:val="24"/>
        </w:rPr>
        <w:lastRenderedPageBreak/>
        <w:t xml:space="preserve">ainsi que la nomenclature et les règles de fonctionnement des comptes, définit les règles générales d’évaluation et de comptabilisation des actifs, des passifs, des charges et des produits. </w:t>
      </w:r>
    </w:p>
    <w:p w:rsidR="002A3F16" w:rsidRPr="002A3F16" w:rsidRDefault="002A3F16" w:rsidP="002A3F16">
      <w:pPr>
        <w:spacing w:before="60" w:beforeAutospacing="0" w:after="60" w:afterAutospacing="0" w:line="276" w:lineRule="auto"/>
        <w:ind w:firstLine="284"/>
        <w:jc w:val="both"/>
        <w:rPr>
          <w:rFonts w:ascii="Times New Roman" w:hAnsi="Times New Roman" w:cs="Times New Roman"/>
          <w:bCs/>
          <w:sz w:val="24"/>
          <w:szCs w:val="24"/>
        </w:rPr>
      </w:pPr>
      <w:r w:rsidRPr="002A3F16">
        <w:rPr>
          <w:rFonts w:ascii="Times New Roman" w:hAnsi="Times New Roman" w:cs="Times New Roman"/>
          <w:bCs/>
          <w:sz w:val="24"/>
          <w:szCs w:val="24"/>
        </w:rPr>
        <w:t xml:space="preserve">En outre, le SCF distingue les règles de traitement spécifique à chaque poste, ainsi que les modalités particulières de traitement relatives à certaines opérations dont les règles d’évaluation ou de comptabilisation sont spécifiques ; il </w:t>
      </w:r>
      <w:proofErr w:type="spellStart"/>
      <w:r w:rsidRPr="002A3F16">
        <w:rPr>
          <w:rFonts w:ascii="Times New Roman" w:hAnsi="Times New Roman" w:cs="Times New Roman"/>
          <w:bCs/>
          <w:sz w:val="24"/>
          <w:szCs w:val="24"/>
        </w:rPr>
        <w:t>définie</w:t>
      </w:r>
      <w:proofErr w:type="spellEnd"/>
      <w:r w:rsidRPr="002A3F16">
        <w:rPr>
          <w:rFonts w:ascii="Times New Roman" w:hAnsi="Times New Roman" w:cs="Times New Roman"/>
          <w:bCs/>
          <w:sz w:val="24"/>
          <w:szCs w:val="24"/>
        </w:rPr>
        <w:t xml:space="preserve"> encore les modalités de présentation des états financiers.</w:t>
      </w:r>
    </w:p>
    <w:p w:rsidR="002A3F16" w:rsidRPr="002A3F16" w:rsidRDefault="002A3F16" w:rsidP="002A3F16">
      <w:pPr>
        <w:spacing w:before="60" w:beforeAutospacing="0" w:after="60" w:afterAutospacing="0" w:line="276" w:lineRule="auto"/>
        <w:jc w:val="both"/>
        <w:rPr>
          <w:rFonts w:ascii="Times New Roman" w:hAnsi="Times New Roman" w:cs="Times New Roman"/>
          <w:b/>
          <w:sz w:val="24"/>
          <w:szCs w:val="24"/>
        </w:rPr>
      </w:pPr>
      <w:r w:rsidRPr="002A3F16">
        <w:rPr>
          <w:rFonts w:ascii="Times New Roman" w:hAnsi="Times New Roman" w:cs="Times New Roman"/>
          <w:b/>
          <w:sz w:val="24"/>
          <w:szCs w:val="24"/>
        </w:rPr>
        <w:t>3.1.1. Les principes généraux d’évaluation et de comptabilisation</w:t>
      </w:r>
    </w:p>
    <w:p w:rsidR="002A3F16" w:rsidRPr="002A3F16" w:rsidRDefault="002A3F16" w:rsidP="002A3F16">
      <w:pPr>
        <w:spacing w:before="60" w:beforeAutospacing="0" w:after="60" w:afterAutospacing="0" w:line="276" w:lineRule="auto"/>
        <w:ind w:firstLine="284"/>
        <w:jc w:val="both"/>
        <w:rPr>
          <w:rFonts w:ascii="Times New Roman" w:hAnsi="Times New Roman" w:cs="Times New Roman"/>
          <w:bCs/>
          <w:sz w:val="24"/>
          <w:szCs w:val="24"/>
        </w:rPr>
      </w:pPr>
      <w:r w:rsidRPr="002A3F16">
        <w:rPr>
          <w:rFonts w:ascii="Times New Roman" w:hAnsi="Times New Roman" w:cs="Times New Roman"/>
          <w:bCs/>
          <w:sz w:val="24"/>
          <w:szCs w:val="24"/>
        </w:rPr>
        <w:t xml:space="preserve">Le SCF déterminent les règles et principes généraux d’évaluation et de comptabilisation des différents éléments inscrits en comptabilité. </w:t>
      </w:r>
    </w:p>
    <w:p w:rsidR="002A3F16" w:rsidRPr="002A3F16" w:rsidRDefault="002A3F16" w:rsidP="002A3F16">
      <w:pPr>
        <w:spacing w:before="60" w:beforeAutospacing="0" w:after="60" w:afterAutospacing="0" w:line="276" w:lineRule="auto"/>
        <w:ind w:firstLine="284"/>
        <w:jc w:val="both"/>
        <w:rPr>
          <w:rFonts w:ascii="Times New Roman" w:hAnsi="Times New Roman" w:cs="Times New Roman"/>
          <w:bCs/>
          <w:sz w:val="24"/>
          <w:szCs w:val="24"/>
        </w:rPr>
      </w:pPr>
      <w:r w:rsidRPr="002A3F16">
        <w:rPr>
          <w:rFonts w:ascii="Times New Roman" w:hAnsi="Times New Roman" w:cs="Times New Roman"/>
          <w:bCs/>
          <w:sz w:val="24"/>
          <w:szCs w:val="24"/>
        </w:rPr>
        <w:t>Ces principes sont bien décrits au niveau de l’arrêté ministériel du 26 juillet 2008, qui détermine :</w:t>
      </w:r>
    </w:p>
    <w:p w:rsidR="002A3F16" w:rsidRPr="002A3F16" w:rsidRDefault="002A3F16" w:rsidP="002A3F16">
      <w:pPr>
        <w:numPr>
          <w:ilvl w:val="0"/>
          <w:numId w:val="52"/>
        </w:numPr>
        <w:spacing w:before="60" w:beforeAutospacing="0" w:after="60" w:afterAutospacing="0" w:line="276" w:lineRule="auto"/>
        <w:ind w:hanging="357"/>
        <w:jc w:val="both"/>
        <w:rPr>
          <w:rFonts w:ascii="Times New Roman" w:hAnsi="Times New Roman" w:cs="Times New Roman"/>
          <w:bCs/>
          <w:sz w:val="24"/>
          <w:szCs w:val="24"/>
        </w:rPr>
      </w:pPr>
      <w:r w:rsidRPr="002A3F16">
        <w:rPr>
          <w:rFonts w:ascii="Times New Roman" w:hAnsi="Times New Roman" w:cs="Times New Roman"/>
          <w:bCs/>
          <w:sz w:val="24"/>
          <w:szCs w:val="24"/>
        </w:rPr>
        <w:t>En matière de principes de comptabilisation :</w:t>
      </w:r>
    </w:p>
    <w:p w:rsidR="002A3F16" w:rsidRPr="002A3F16" w:rsidRDefault="002A3F16" w:rsidP="002A3F16">
      <w:pPr>
        <w:numPr>
          <w:ilvl w:val="0"/>
          <w:numId w:val="51"/>
        </w:numPr>
        <w:spacing w:before="60" w:beforeAutospacing="0" w:after="60" w:afterAutospacing="0" w:line="276" w:lineRule="auto"/>
        <w:ind w:hanging="357"/>
        <w:jc w:val="both"/>
        <w:rPr>
          <w:rFonts w:ascii="Times New Roman" w:hAnsi="Times New Roman" w:cs="Times New Roman"/>
          <w:bCs/>
          <w:sz w:val="24"/>
          <w:szCs w:val="24"/>
        </w:rPr>
      </w:pPr>
      <w:r w:rsidRPr="002A3F16">
        <w:rPr>
          <w:rFonts w:ascii="Times New Roman" w:hAnsi="Times New Roman" w:cs="Times New Roman"/>
          <w:bCs/>
          <w:sz w:val="24"/>
          <w:szCs w:val="24"/>
        </w:rPr>
        <w:t>Les conditions de comptabilisation des actifs et des passifs ;</w:t>
      </w:r>
    </w:p>
    <w:p w:rsidR="002A3F16" w:rsidRPr="002A3F16" w:rsidRDefault="002A3F16" w:rsidP="002A3F16">
      <w:pPr>
        <w:numPr>
          <w:ilvl w:val="0"/>
          <w:numId w:val="51"/>
        </w:numPr>
        <w:spacing w:before="60" w:beforeAutospacing="0" w:after="60" w:afterAutospacing="0" w:line="276" w:lineRule="auto"/>
        <w:ind w:hanging="357"/>
        <w:jc w:val="both"/>
        <w:rPr>
          <w:rFonts w:ascii="Times New Roman" w:hAnsi="Times New Roman" w:cs="Times New Roman"/>
          <w:bCs/>
          <w:sz w:val="24"/>
          <w:szCs w:val="24"/>
        </w:rPr>
      </w:pPr>
      <w:r w:rsidRPr="002A3F16">
        <w:rPr>
          <w:rFonts w:ascii="Times New Roman" w:hAnsi="Times New Roman" w:cs="Times New Roman"/>
          <w:bCs/>
          <w:sz w:val="24"/>
          <w:szCs w:val="24"/>
        </w:rPr>
        <w:t>Les conditions de comptabilisation des produits des activités ordinaires ;</w:t>
      </w:r>
    </w:p>
    <w:p w:rsidR="002A3F16" w:rsidRPr="002A3F16" w:rsidRDefault="002A3F16" w:rsidP="002A3F16">
      <w:pPr>
        <w:numPr>
          <w:ilvl w:val="0"/>
          <w:numId w:val="51"/>
        </w:numPr>
        <w:spacing w:before="60" w:beforeAutospacing="0" w:after="60" w:afterAutospacing="0" w:line="276" w:lineRule="auto"/>
        <w:ind w:hanging="357"/>
        <w:jc w:val="both"/>
        <w:rPr>
          <w:rFonts w:ascii="Times New Roman" w:hAnsi="Times New Roman" w:cs="Times New Roman"/>
          <w:bCs/>
          <w:sz w:val="24"/>
          <w:szCs w:val="24"/>
        </w:rPr>
      </w:pPr>
      <w:r w:rsidRPr="002A3F16">
        <w:rPr>
          <w:rFonts w:ascii="Times New Roman" w:hAnsi="Times New Roman" w:cs="Times New Roman"/>
          <w:bCs/>
          <w:sz w:val="24"/>
          <w:szCs w:val="24"/>
        </w:rPr>
        <w:t>La méthode d’évaluation des produits provenant de ventes ou de prestation de services et autres activités ordinaires ;</w:t>
      </w:r>
    </w:p>
    <w:p w:rsidR="002A3F16" w:rsidRPr="002A3F16" w:rsidRDefault="002A3F16" w:rsidP="002A3F16">
      <w:pPr>
        <w:numPr>
          <w:ilvl w:val="0"/>
          <w:numId w:val="51"/>
        </w:numPr>
        <w:spacing w:before="60" w:beforeAutospacing="0" w:after="60" w:afterAutospacing="0" w:line="276" w:lineRule="auto"/>
        <w:ind w:hanging="357"/>
        <w:jc w:val="both"/>
        <w:rPr>
          <w:rFonts w:ascii="Times New Roman" w:hAnsi="Times New Roman" w:cs="Times New Roman"/>
          <w:bCs/>
          <w:sz w:val="24"/>
          <w:szCs w:val="24"/>
        </w:rPr>
      </w:pPr>
      <w:r w:rsidRPr="002A3F16">
        <w:rPr>
          <w:rFonts w:ascii="Times New Roman" w:hAnsi="Times New Roman" w:cs="Times New Roman"/>
          <w:bCs/>
          <w:sz w:val="24"/>
          <w:szCs w:val="24"/>
        </w:rPr>
        <w:t>La définition des produits provenant de l’utilisation par des tiers d’actifs de l’entité ;</w:t>
      </w:r>
    </w:p>
    <w:p w:rsidR="002A3F16" w:rsidRPr="002A3F16" w:rsidRDefault="002A3F16" w:rsidP="002A3F16">
      <w:pPr>
        <w:numPr>
          <w:ilvl w:val="0"/>
          <w:numId w:val="51"/>
        </w:numPr>
        <w:spacing w:before="60" w:beforeAutospacing="0" w:after="60" w:afterAutospacing="0" w:line="276" w:lineRule="auto"/>
        <w:ind w:hanging="357"/>
        <w:jc w:val="both"/>
        <w:rPr>
          <w:rFonts w:ascii="Times New Roman" w:hAnsi="Times New Roman" w:cs="Times New Roman"/>
          <w:bCs/>
          <w:sz w:val="24"/>
          <w:szCs w:val="24"/>
        </w:rPr>
      </w:pPr>
      <w:r w:rsidRPr="002A3F16">
        <w:rPr>
          <w:rFonts w:ascii="Times New Roman" w:hAnsi="Times New Roman" w:cs="Times New Roman"/>
          <w:bCs/>
          <w:sz w:val="24"/>
          <w:szCs w:val="24"/>
        </w:rPr>
        <w:t>Les conditions de comptabilisation des charges, ainsi que celles liées à la constatation des provisions.</w:t>
      </w:r>
    </w:p>
    <w:p w:rsidR="002A3F16" w:rsidRPr="002A3F16" w:rsidRDefault="002A3F16" w:rsidP="002A3F16">
      <w:pPr>
        <w:numPr>
          <w:ilvl w:val="0"/>
          <w:numId w:val="52"/>
        </w:numPr>
        <w:spacing w:before="60" w:beforeAutospacing="0" w:after="60" w:afterAutospacing="0" w:line="276" w:lineRule="auto"/>
        <w:ind w:hanging="357"/>
        <w:jc w:val="both"/>
        <w:rPr>
          <w:rFonts w:ascii="Times New Roman" w:hAnsi="Times New Roman" w:cs="Times New Roman"/>
          <w:bCs/>
          <w:sz w:val="24"/>
          <w:szCs w:val="24"/>
        </w:rPr>
      </w:pPr>
      <w:r w:rsidRPr="002A3F16">
        <w:rPr>
          <w:rFonts w:ascii="Times New Roman" w:hAnsi="Times New Roman" w:cs="Times New Roman"/>
          <w:bCs/>
          <w:sz w:val="24"/>
          <w:szCs w:val="24"/>
        </w:rPr>
        <w:t>En matière de règles d’évaluation :</w:t>
      </w:r>
    </w:p>
    <w:p w:rsidR="002A3F16" w:rsidRPr="002A3F16" w:rsidRDefault="002A3F16" w:rsidP="002A3F16">
      <w:pPr>
        <w:numPr>
          <w:ilvl w:val="0"/>
          <w:numId w:val="51"/>
        </w:numPr>
        <w:spacing w:before="60" w:beforeAutospacing="0" w:after="60" w:afterAutospacing="0" w:line="276" w:lineRule="auto"/>
        <w:ind w:hanging="357"/>
        <w:jc w:val="both"/>
        <w:rPr>
          <w:rFonts w:ascii="Times New Roman" w:hAnsi="Times New Roman" w:cs="Times New Roman"/>
          <w:bCs/>
          <w:sz w:val="24"/>
          <w:szCs w:val="24"/>
        </w:rPr>
      </w:pPr>
      <w:r w:rsidRPr="002A3F16">
        <w:rPr>
          <w:rFonts w:ascii="Times New Roman" w:hAnsi="Times New Roman" w:cs="Times New Roman"/>
          <w:bCs/>
          <w:sz w:val="24"/>
          <w:szCs w:val="24"/>
        </w:rPr>
        <w:t>La règle générale d’évaluation des éléments inscrits en comptabilité, qui est fondée sur la convention du coût historique. Ainsi que les conditions fixées pour la révision de la valeur de certains éléments ;</w:t>
      </w:r>
    </w:p>
    <w:p w:rsidR="002A3F16" w:rsidRPr="002A3F16" w:rsidRDefault="002A3F16" w:rsidP="002A3F16">
      <w:pPr>
        <w:numPr>
          <w:ilvl w:val="0"/>
          <w:numId w:val="51"/>
        </w:numPr>
        <w:spacing w:before="60" w:beforeAutospacing="0" w:after="60" w:afterAutospacing="0" w:line="276" w:lineRule="auto"/>
        <w:ind w:hanging="357"/>
        <w:jc w:val="both"/>
        <w:rPr>
          <w:rFonts w:ascii="Times New Roman" w:hAnsi="Times New Roman" w:cs="Times New Roman"/>
          <w:bCs/>
          <w:sz w:val="24"/>
          <w:szCs w:val="24"/>
        </w:rPr>
      </w:pPr>
      <w:r w:rsidRPr="002A3F16">
        <w:rPr>
          <w:rFonts w:ascii="Times New Roman" w:hAnsi="Times New Roman" w:cs="Times New Roman"/>
          <w:bCs/>
          <w:sz w:val="24"/>
          <w:szCs w:val="24"/>
        </w:rPr>
        <w:t>La constitution du coût historique des éléments inscrits à l’actif ;</w:t>
      </w:r>
    </w:p>
    <w:p w:rsidR="002A3F16" w:rsidRPr="002A3F16" w:rsidRDefault="002A3F16" w:rsidP="002A3F16">
      <w:pPr>
        <w:numPr>
          <w:ilvl w:val="0"/>
          <w:numId w:val="51"/>
        </w:numPr>
        <w:spacing w:before="60" w:beforeAutospacing="0" w:after="60" w:afterAutospacing="0" w:line="276" w:lineRule="auto"/>
        <w:ind w:hanging="357"/>
        <w:jc w:val="both"/>
        <w:rPr>
          <w:rFonts w:ascii="Times New Roman" w:hAnsi="Times New Roman" w:cs="Times New Roman"/>
          <w:bCs/>
          <w:sz w:val="24"/>
          <w:szCs w:val="24"/>
        </w:rPr>
      </w:pPr>
      <w:r w:rsidRPr="002A3F16">
        <w:rPr>
          <w:rFonts w:ascii="Times New Roman" w:hAnsi="Times New Roman" w:cs="Times New Roman"/>
          <w:bCs/>
          <w:sz w:val="24"/>
          <w:szCs w:val="24"/>
        </w:rPr>
        <w:t>La définition du coût d’acquisition, de production et la valeur recouvrable d’un actif ;</w:t>
      </w:r>
    </w:p>
    <w:p w:rsidR="002A3F16" w:rsidRPr="002A3F16" w:rsidRDefault="002A3F16" w:rsidP="002A3F16">
      <w:pPr>
        <w:numPr>
          <w:ilvl w:val="0"/>
          <w:numId w:val="51"/>
        </w:numPr>
        <w:spacing w:before="60" w:beforeAutospacing="0" w:after="60" w:afterAutospacing="0" w:line="276" w:lineRule="auto"/>
        <w:ind w:hanging="357"/>
        <w:jc w:val="both"/>
        <w:rPr>
          <w:rFonts w:ascii="Times New Roman" w:hAnsi="Times New Roman" w:cs="Times New Roman"/>
          <w:bCs/>
          <w:sz w:val="24"/>
          <w:szCs w:val="24"/>
        </w:rPr>
      </w:pPr>
      <w:r w:rsidRPr="002A3F16">
        <w:rPr>
          <w:rFonts w:ascii="Times New Roman" w:hAnsi="Times New Roman" w:cs="Times New Roman"/>
          <w:bCs/>
          <w:sz w:val="24"/>
          <w:szCs w:val="24"/>
        </w:rPr>
        <w:t>Les conditions de constatation et la méthode de comptabilisation des pertes de valeur ;</w:t>
      </w:r>
    </w:p>
    <w:p w:rsidR="002A3F16" w:rsidRPr="002A3F16" w:rsidRDefault="002A3F16" w:rsidP="002A3F16">
      <w:pPr>
        <w:numPr>
          <w:ilvl w:val="0"/>
          <w:numId w:val="51"/>
        </w:numPr>
        <w:spacing w:before="60" w:beforeAutospacing="0" w:after="60" w:afterAutospacing="0" w:line="276" w:lineRule="auto"/>
        <w:ind w:hanging="357"/>
        <w:jc w:val="both"/>
        <w:rPr>
          <w:rFonts w:ascii="Times New Roman" w:hAnsi="Times New Roman" w:cs="Times New Roman"/>
          <w:bCs/>
          <w:sz w:val="24"/>
          <w:szCs w:val="24"/>
        </w:rPr>
      </w:pPr>
      <w:r w:rsidRPr="002A3F16">
        <w:rPr>
          <w:rFonts w:ascii="Times New Roman" w:hAnsi="Times New Roman" w:cs="Times New Roman"/>
          <w:bCs/>
          <w:sz w:val="24"/>
          <w:szCs w:val="24"/>
        </w:rPr>
        <w:t>Et les règles de comptabilisation ultérieures liées aux immobilisations (corporelles et incorporelles).</w:t>
      </w:r>
    </w:p>
    <w:p w:rsidR="002A3F16" w:rsidRPr="002A3F16" w:rsidRDefault="002A3F16" w:rsidP="002A3F16">
      <w:pPr>
        <w:spacing w:before="60" w:beforeAutospacing="0" w:after="60" w:afterAutospacing="0" w:line="276" w:lineRule="auto"/>
        <w:jc w:val="both"/>
        <w:rPr>
          <w:rFonts w:ascii="Times New Roman" w:hAnsi="Times New Roman" w:cs="Times New Roman"/>
          <w:b/>
          <w:sz w:val="24"/>
          <w:szCs w:val="24"/>
        </w:rPr>
      </w:pPr>
      <w:r w:rsidRPr="002A3F16">
        <w:rPr>
          <w:rFonts w:ascii="Times New Roman" w:hAnsi="Times New Roman" w:cs="Times New Roman"/>
          <w:b/>
          <w:sz w:val="24"/>
          <w:szCs w:val="24"/>
        </w:rPr>
        <w:t xml:space="preserve">3.1.2. Les règles de traitement spécifique   </w:t>
      </w:r>
    </w:p>
    <w:p w:rsidR="002A3F16" w:rsidRPr="002A3F16" w:rsidRDefault="002A3F16" w:rsidP="002A3F16">
      <w:pPr>
        <w:spacing w:before="60" w:beforeAutospacing="0" w:after="60" w:afterAutospacing="0" w:line="276" w:lineRule="auto"/>
        <w:ind w:firstLine="284"/>
        <w:jc w:val="both"/>
        <w:rPr>
          <w:rFonts w:ascii="Times New Roman" w:hAnsi="Times New Roman" w:cs="Times New Roman"/>
          <w:bCs/>
          <w:sz w:val="24"/>
          <w:szCs w:val="24"/>
        </w:rPr>
      </w:pPr>
      <w:r w:rsidRPr="002A3F16">
        <w:rPr>
          <w:rFonts w:ascii="Times New Roman" w:hAnsi="Times New Roman" w:cs="Times New Roman"/>
          <w:bCs/>
          <w:sz w:val="24"/>
          <w:szCs w:val="24"/>
        </w:rPr>
        <w:t xml:space="preserve">Chaque règle concerne les modalités de traitement comptable d’une catégorie spécifique des éléments du bilan. En outre, les règles spécifiques fournissent les définitions des différents postes du bilan ainsi que les règles spécifiques de comptabilisation et d’évaluation de ces derniers. Ces règles concernent les points suivants.  </w:t>
      </w:r>
    </w:p>
    <w:p w:rsidR="002A3F16" w:rsidRPr="002A3F16" w:rsidRDefault="002A3F16" w:rsidP="002A3F16">
      <w:pPr>
        <w:numPr>
          <w:ilvl w:val="0"/>
          <w:numId w:val="51"/>
        </w:numPr>
        <w:spacing w:before="60" w:beforeAutospacing="0" w:after="60" w:afterAutospacing="0" w:line="276" w:lineRule="auto"/>
        <w:ind w:left="357" w:hanging="357"/>
        <w:jc w:val="both"/>
        <w:rPr>
          <w:b/>
          <w:sz w:val="24"/>
        </w:rPr>
      </w:pPr>
      <w:r w:rsidRPr="002A3F16">
        <w:rPr>
          <w:rFonts w:ascii="Times New Roman" w:hAnsi="Times New Roman" w:cs="Times New Roman"/>
          <w:b/>
          <w:sz w:val="24"/>
        </w:rPr>
        <w:lastRenderedPageBreak/>
        <w:t>Traitement des immobilisations corporelles et incorporelles</w:t>
      </w:r>
    </w:p>
    <w:p w:rsidR="002A3F16" w:rsidRPr="002A3F16" w:rsidRDefault="002A3F16" w:rsidP="002A3F16">
      <w:pPr>
        <w:spacing w:before="60" w:beforeAutospacing="0" w:after="60" w:afterAutospacing="0" w:line="276" w:lineRule="auto"/>
        <w:ind w:firstLine="284"/>
        <w:jc w:val="both"/>
        <w:rPr>
          <w:rFonts w:ascii="Times New Roman" w:hAnsi="Times New Roman" w:cs="Times New Roman"/>
          <w:bCs/>
          <w:sz w:val="24"/>
          <w:szCs w:val="24"/>
        </w:rPr>
      </w:pPr>
      <w:r w:rsidRPr="002A3F16">
        <w:rPr>
          <w:rFonts w:ascii="Times New Roman" w:hAnsi="Times New Roman" w:cs="Times New Roman"/>
          <w:bCs/>
          <w:sz w:val="24"/>
          <w:szCs w:val="24"/>
        </w:rPr>
        <w:t xml:space="preserve">Cette partie concerne le traitement comptable des immobilisations corporelles et incorporelles, en termes de définition de ces éléments, leurs règles de comptabilisation et les méthodes d’évaluation de ces immobilisations. En parallèle, elle distingue certains cas particuliers qui sont soumis à des règles différentes de celles liées au cas général, à savoir : les immeubles de placement et les actifs biologiques. Cette norme propose également des traitements alternatifs pour l’évaluation des immobilisations. </w:t>
      </w:r>
    </w:p>
    <w:p w:rsidR="002A3F16" w:rsidRPr="002A3F16" w:rsidRDefault="002A3F16" w:rsidP="002A3F16">
      <w:pPr>
        <w:numPr>
          <w:ilvl w:val="0"/>
          <w:numId w:val="51"/>
        </w:numPr>
        <w:spacing w:before="60" w:beforeAutospacing="0" w:after="60" w:afterAutospacing="0" w:line="276" w:lineRule="auto"/>
        <w:jc w:val="both"/>
        <w:rPr>
          <w:rFonts w:ascii="Times New Roman" w:hAnsi="Times New Roman" w:cs="Times New Roman"/>
          <w:b/>
          <w:sz w:val="24"/>
        </w:rPr>
      </w:pPr>
      <w:r w:rsidRPr="002A3F16">
        <w:rPr>
          <w:rFonts w:ascii="Times New Roman" w:hAnsi="Times New Roman" w:cs="Times New Roman"/>
          <w:b/>
          <w:sz w:val="24"/>
        </w:rPr>
        <w:t>Actifs financiers non courants (immobilisations financières) : titres et créances</w:t>
      </w:r>
    </w:p>
    <w:p w:rsidR="002A3F16" w:rsidRPr="002A3F16" w:rsidRDefault="002A3F16" w:rsidP="002A3F16">
      <w:pPr>
        <w:spacing w:before="60" w:beforeAutospacing="0" w:after="60" w:afterAutospacing="0" w:line="276" w:lineRule="auto"/>
        <w:ind w:firstLine="284"/>
        <w:jc w:val="both"/>
        <w:rPr>
          <w:rFonts w:ascii="Times New Roman" w:hAnsi="Times New Roman" w:cs="Times New Roman"/>
          <w:bCs/>
          <w:sz w:val="24"/>
          <w:szCs w:val="24"/>
        </w:rPr>
      </w:pPr>
      <w:r w:rsidRPr="002A3F16">
        <w:rPr>
          <w:rFonts w:ascii="Times New Roman" w:hAnsi="Times New Roman" w:cs="Times New Roman"/>
          <w:bCs/>
          <w:sz w:val="24"/>
          <w:szCs w:val="24"/>
        </w:rPr>
        <w:t>Cette partie traite la classification des Actifs financiers non courants, les règles de comptabilisation correspondantes à ces actifs ainsi que les méthodes d’évaluation des différentes catégories des immobilisations financières (actifs détenus jusqu’à échéance, actifs détenus à des fins de transaction et les actifs disponibles à la vente).</w:t>
      </w:r>
    </w:p>
    <w:p w:rsidR="002A3F16" w:rsidRPr="002A3F16" w:rsidRDefault="002A3F16" w:rsidP="002A3F16">
      <w:pPr>
        <w:numPr>
          <w:ilvl w:val="0"/>
          <w:numId w:val="51"/>
        </w:numPr>
        <w:spacing w:before="60" w:beforeAutospacing="0" w:after="60" w:afterAutospacing="0" w:line="276" w:lineRule="auto"/>
        <w:jc w:val="both"/>
        <w:rPr>
          <w:rFonts w:ascii="Times New Roman" w:hAnsi="Times New Roman" w:cs="Times New Roman"/>
          <w:b/>
          <w:sz w:val="24"/>
        </w:rPr>
      </w:pPr>
      <w:r w:rsidRPr="002A3F16">
        <w:rPr>
          <w:rFonts w:ascii="Times New Roman" w:hAnsi="Times New Roman" w:cs="Times New Roman"/>
          <w:b/>
          <w:sz w:val="24"/>
        </w:rPr>
        <w:t>Stocks et encours </w:t>
      </w:r>
    </w:p>
    <w:p w:rsidR="002A3F16" w:rsidRPr="002A3F16" w:rsidRDefault="002A3F16" w:rsidP="002A3F16">
      <w:pPr>
        <w:spacing w:before="60" w:beforeAutospacing="0" w:after="60" w:afterAutospacing="0" w:line="276" w:lineRule="auto"/>
        <w:ind w:firstLine="284"/>
        <w:jc w:val="both"/>
        <w:rPr>
          <w:rFonts w:ascii="Times New Roman" w:hAnsi="Times New Roman" w:cs="Times New Roman"/>
          <w:bCs/>
          <w:sz w:val="24"/>
          <w:szCs w:val="24"/>
        </w:rPr>
      </w:pPr>
      <w:r w:rsidRPr="002A3F16">
        <w:rPr>
          <w:rFonts w:ascii="Times New Roman" w:hAnsi="Times New Roman" w:cs="Times New Roman"/>
          <w:bCs/>
          <w:sz w:val="24"/>
          <w:szCs w:val="24"/>
        </w:rPr>
        <w:t>En Plus des règles de comptabilisation et d’évaluation des stocks et encours, cette partie traite le cas particulier des produits agricoles.</w:t>
      </w:r>
    </w:p>
    <w:p w:rsidR="002A3F16" w:rsidRPr="002A3F16" w:rsidRDefault="002A3F16" w:rsidP="002A3F16">
      <w:pPr>
        <w:numPr>
          <w:ilvl w:val="0"/>
          <w:numId w:val="51"/>
        </w:numPr>
        <w:spacing w:before="60" w:beforeAutospacing="0" w:after="60" w:afterAutospacing="0" w:line="276" w:lineRule="auto"/>
        <w:jc w:val="both"/>
        <w:rPr>
          <w:rFonts w:ascii="Times New Roman" w:hAnsi="Times New Roman" w:cs="Times New Roman"/>
          <w:b/>
          <w:sz w:val="24"/>
        </w:rPr>
      </w:pPr>
      <w:r w:rsidRPr="002A3F16">
        <w:rPr>
          <w:rFonts w:ascii="Times New Roman" w:hAnsi="Times New Roman" w:cs="Times New Roman"/>
          <w:b/>
          <w:sz w:val="24"/>
        </w:rPr>
        <w:t>Subventions</w:t>
      </w:r>
    </w:p>
    <w:p w:rsidR="002A3F16" w:rsidRPr="002A3F16" w:rsidRDefault="002A3F16" w:rsidP="002A3F16">
      <w:pPr>
        <w:spacing w:before="60" w:beforeAutospacing="0" w:after="60" w:afterAutospacing="0" w:line="276" w:lineRule="auto"/>
        <w:ind w:firstLine="284"/>
        <w:jc w:val="both"/>
        <w:rPr>
          <w:rFonts w:ascii="Times New Roman" w:hAnsi="Times New Roman" w:cs="Times New Roman"/>
          <w:bCs/>
          <w:sz w:val="24"/>
          <w:szCs w:val="24"/>
        </w:rPr>
      </w:pPr>
      <w:r w:rsidRPr="002A3F16">
        <w:rPr>
          <w:rFonts w:ascii="Times New Roman" w:hAnsi="Times New Roman" w:cs="Times New Roman"/>
          <w:bCs/>
          <w:sz w:val="24"/>
          <w:szCs w:val="24"/>
        </w:rPr>
        <w:t>Selon cette section, les subventions publiques correspondent à des transferts de ressources publiques destinés à compenser des coûts supportés ou à supporter par le bénéficiaire de la subvention du fait qu’il s’est conformé ou qu’il se conformera à certaines conditions liées à ses activités. En revanche, cette norme définie également les règles de comptabilisation de ces subventions en compte de résultat.</w:t>
      </w:r>
    </w:p>
    <w:p w:rsidR="002A3F16" w:rsidRPr="002A3F16" w:rsidRDefault="002A3F16" w:rsidP="002A3F16">
      <w:pPr>
        <w:numPr>
          <w:ilvl w:val="0"/>
          <w:numId w:val="51"/>
        </w:numPr>
        <w:spacing w:before="60" w:beforeAutospacing="0" w:after="60" w:afterAutospacing="0" w:line="276" w:lineRule="auto"/>
        <w:ind w:left="357" w:hanging="357"/>
        <w:jc w:val="both"/>
        <w:rPr>
          <w:rFonts w:ascii="Times New Roman" w:hAnsi="Times New Roman" w:cs="Times New Roman"/>
          <w:b/>
          <w:sz w:val="24"/>
        </w:rPr>
      </w:pPr>
      <w:r w:rsidRPr="002A3F16">
        <w:rPr>
          <w:rFonts w:ascii="Times New Roman" w:hAnsi="Times New Roman" w:cs="Times New Roman"/>
          <w:b/>
          <w:sz w:val="24"/>
        </w:rPr>
        <w:t>Provisions pour risques et charges</w:t>
      </w:r>
    </w:p>
    <w:p w:rsidR="002A3F16" w:rsidRPr="002A3F16" w:rsidRDefault="002A3F16" w:rsidP="002A3F16">
      <w:pPr>
        <w:spacing w:before="60" w:beforeAutospacing="0" w:after="60" w:afterAutospacing="0" w:line="276" w:lineRule="auto"/>
        <w:ind w:firstLine="284"/>
        <w:jc w:val="both"/>
        <w:rPr>
          <w:rFonts w:ascii="Times New Roman" w:hAnsi="Times New Roman" w:cs="Times New Roman"/>
          <w:bCs/>
          <w:sz w:val="24"/>
          <w:szCs w:val="24"/>
        </w:rPr>
      </w:pPr>
      <w:r w:rsidRPr="002A3F16">
        <w:rPr>
          <w:rFonts w:ascii="Times New Roman" w:hAnsi="Times New Roman" w:cs="Times New Roman"/>
          <w:bCs/>
          <w:sz w:val="24"/>
          <w:szCs w:val="24"/>
        </w:rPr>
        <w:t xml:space="preserve">Au même titre que les autres éléments du bilan, la section consacrée aux provisions pour risques et charges détermine la définition de ces provisions, les conditions de leur constatation et la méthode d’évaluation de ces dernières. </w:t>
      </w:r>
    </w:p>
    <w:p w:rsidR="002A3F16" w:rsidRPr="002A3F16" w:rsidRDefault="002A3F16" w:rsidP="002A3F16">
      <w:pPr>
        <w:numPr>
          <w:ilvl w:val="0"/>
          <w:numId w:val="51"/>
        </w:numPr>
        <w:spacing w:before="60" w:beforeAutospacing="0" w:after="60" w:afterAutospacing="0" w:line="276" w:lineRule="auto"/>
        <w:jc w:val="both"/>
        <w:rPr>
          <w:rFonts w:ascii="Times New Roman" w:hAnsi="Times New Roman" w:cs="Times New Roman"/>
          <w:b/>
          <w:sz w:val="24"/>
        </w:rPr>
      </w:pPr>
      <w:r w:rsidRPr="002A3F16">
        <w:rPr>
          <w:rFonts w:ascii="Times New Roman" w:hAnsi="Times New Roman" w:cs="Times New Roman"/>
          <w:b/>
          <w:sz w:val="24"/>
        </w:rPr>
        <w:t>Emprunts et autres passifs financiers</w:t>
      </w:r>
    </w:p>
    <w:p w:rsidR="002A3F16" w:rsidRPr="002A3F16" w:rsidRDefault="002A3F16" w:rsidP="002A3F16">
      <w:pPr>
        <w:spacing w:before="60" w:beforeAutospacing="0" w:after="60" w:afterAutospacing="0" w:line="276" w:lineRule="auto"/>
        <w:ind w:firstLine="284"/>
        <w:jc w:val="both"/>
        <w:rPr>
          <w:rFonts w:ascii="Times New Roman" w:hAnsi="Times New Roman" w:cs="Times New Roman"/>
          <w:b/>
          <w:sz w:val="24"/>
        </w:rPr>
      </w:pPr>
      <w:r w:rsidRPr="002A3F16">
        <w:rPr>
          <w:rFonts w:ascii="Times New Roman" w:hAnsi="Times New Roman" w:cs="Times New Roman"/>
          <w:bCs/>
          <w:sz w:val="24"/>
          <w:szCs w:val="24"/>
        </w:rPr>
        <w:t>Cette partie définie les méthodes d’évaluation des Emprunts et autres passifs financiers, ainsi que le traitement des coûts liés à un emprunt</w:t>
      </w:r>
      <w:r w:rsidRPr="002A3F16">
        <w:rPr>
          <w:rFonts w:ascii="Times New Roman" w:hAnsi="Times New Roman" w:cs="Times New Roman"/>
          <w:sz w:val="24"/>
        </w:rPr>
        <w:t>.</w:t>
      </w:r>
    </w:p>
    <w:p w:rsidR="002A3F16" w:rsidRPr="002A3F16" w:rsidRDefault="002A3F16" w:rsidP="002A3F16">
      <w:pPr>
        <w:numPr>
          <w:ilvl w:val="0"/>
          <w:numId w:val="51"/>
        </w:numPr>
        <w:spacing w:before="60" w:beforeAutospacing="0" w:after="60" w:afterAutospacing="0" w:line="276" w:lineRule="auto"/>
        <w:jc w:val="both"/>
        <w:rPr>
          <w:rFonts w:ascii="Times New Roman" w:hAnsi="Times New Roman" w:cs="Times New Roman"/>
          <w:sz w:val="24"/>
        </w:rPr>
      </w:pPr>
      <w:r w:rsidRPr="002A3F16">
        <w:rPr>
          <w:rFonts w:ascii="Times New Roman" w:hAnsi="Times New Roman" w:cs="Times New Roman"/>
          <w:sz w:val="24"/>
        </w:rPr>
        <w:t>Et l’évaluation des charges et produits financiers</w:t>
      </w:r>
    </w:p>
    <w:p w:rsidR="002A3F16" w:rsidRPr="002A3F16" w:rsidRDefault="002A3F16" w:rsidP="002A3F16">
      <w:pPr>
        <w:spacing w:before="60" w:beforeAutospacing="0" w:after="60" w:afterAutospacing="0" w:line="276" w:lineRule="auto"/>
        <w:jc w:val="both"/>
        <w:rPr>
          <w:rFonts w:ascii="Times New Roman" w:hAnsi="Times New Roman" w:cs="Times New Roman"/>
          <w:b/>
          <w:sz w:val="24"/>
        </w:rPr>
      </w:pPr>
      <w:r w:rsidRPr="002A3F16">
        <w:rPr>
          <w:rFonts w:ascii="Times New Roman" w:hAnsi="Times New Roman" w:cs="Times New Roman"/>
          <w:b/>
          <w:sz w:val="24"/>
        </w:rPr>
        <w:t>3.1.3. Les modalités particulières de traitement</w:t>
      </w:r>
    </w:p>
    <w:p w:rsidR="002A3F16" w:rsidRPr="002A3F16" w:rsidRDefault="002A3F16" w:rsidP="002A3F16">
      <w:pPr>
        <w:spacing w:before="60" w:beforeAutospacing="0" w:after="60" w:afterAutospacing="0" w:line="276" w:lineRule="auto"/>
        <w:ind w:firstLine="284"/>
        <w:jc w:val="both"/>
        <w:rPr>
          <w:rFonts w:ascii="Times New Roman" w:hAnsi="Times New Roman" w:cs="Times New Roman"/>
          <w:bCs/>
          <w:sz w:val="24"/>
          <w:szCs w:val="24"/>
        </w:rPr>
      </w:pPr>
      <w:r w:rsidRPr="002A3F16">
        <w:rPr>
          <w:rFonts w:ascii="Times New Roman" w:hAnsi="Times New Roman" w:cs="Times New Roman"/>
          <w:bCs/>
          <w:sz w:val="24"/>
          <w:szCs w:val="24"/>
        </w:rPr>
        <w:t>Le SCF définit les modalités particulières d’évaluation et de comptabilisation liées à certaines opérations, qui ont un traitement particuliers non traitées par les règles générales de comptabilisation et d’évaluation. Ces opérations concernent :</w:t>
      </w:r>
    </w:p>
    <w:p w:rsidR="002A3F16" w:rsidRPr="002A3F16" w:rsidRDefault="002A3F16" w:rsidP="002A3F16">
      <w:pPr>
        <w:numPr>
          <w:ilvl w:val="0"/>
          <w:numId w:val="51"/>
        </w:numPr>
        <w:spacing w:before="60" w:beforeAutospacing="0" w:after="60" w:afterAutospacing="0" w:line="276" w:lineRule="auto"/>
        <w:ind w:left="357" w:hanging="357"/>
        <w:jc w:val="both"/>
        <w:rPr>
          <w:rFonts w:ascii="Times New Roman" w:hAnsi="Times New Roman" w:cs="Times New Roman"/>
          <w:bCs/>
          <w:sz w:val="24"/>
          <w:szCs w:val="24"/>
        </w:rPr>
      </w:pPr>
      <w:r w:rsidRPr="002A3F16">
        <w:rPr>
          <w:rFonts w:ascii="Times New Roman" w:hAnsi="Times New Roman" w:cs="Times New Roman"/>
          <w:bCs/>
          <w:sz w:val="24"/>
          <w:szCs w:val="24"/>
        </w:rPr>
        <w:t>Opérations faites en commun ou pour le compte de tiers ;</w:t>
      </w:r>
    </w:p>
    <w:p w:rsidR="002A3F16" w:rsidRPr="002A3F16" w:rsidRDefault="002A3F16" w:rsidP="002A3F16">
      <w:pPr>
        <w:numPr>
          <w:ilvl w:val="0"/>
          <w:numId w:val="51"/>
        </w:numPr>
        <w:spacing w:before="60" w:beforeAutospacing="0" w:after="60" w:afterAutospacing="0" w:line="276" w:lineRule="auto"/>
        <w:ind w:left="357" w:hanging="357"/>
        <w:jc w:val="both"/>
        <w:rPr>
          <w:rFonts w:ascii="Times New Roman" w:hAnsi="Times New Roman" w:cs="Times New Roman"/>
          <w:bCs/>
          <w:sz w:val="24"/>
          <w:szCs w:val="24"/>
        </w:rPr>
      </w:pPr>
      <w:r w:rsidRPr="002A3F16">
        <w:rPr>
          <w:rFonts w:ascii="Times New Roman" w:hAnsi="Times New Roman" w:cs="Times New Roman"/>
          <w:bCs/>
          <w:sz w:val="24"/>
          <w:szCs w:val="24"/>
        </w:rPr>
        <w:t>Consolidation - Regroupement d’entités Comptes consolidés ;</w:t>
      </w:r>
    </w:p>
    <w:p w:rsidR="002A3F16" w:rsidRPr="002A3F16" w:rsidRDefault="002A3F16" w:rsidP="002A3F16">
      <w:pPr>
        <w:numPr>
          <w:ilvl w:val="0"/>
          <w:numId w:val="51"/>
        </w:numPr>
        <w:spacing w:before="60" w:beforeAutospacing="0" w:after="60" w:afterAutospacing="0" w:line="276" w:lineRule="auto"/>
        <w:ind w:left="357" w:hanging="357"/>
        <w:jc w:val="both"/>
        <w:rPr>
          <w:rFonts w:ascii="Times New Roman" w:hAnsi="Times New Roman" w:cs="Times New Roman"/>
          <w:bCs/>
          <w:sz w:val="24"/>
          <w:szCs w:val="24"/>
        </w:rPr>
      </w:pPr>
      <w:r w:rsidRPr="002A3F16">
        <w:rPr>
          <w:rFonts w:ascii="Times New Roman" w:hAnsi="Times New Roman" w:cs="Times New Roman"/>
          <w:bCs/>
          <w:sz w:val="24"/>
          <w:szCs w:val="24"/>
        </w:rPr>
        <w:t>Contrats à long terme ;</w:t>
      </w:r>
    </w:p>
    <w:p w:rsidR="002A3F16" w:rsidRPr="002A3F16" w:rsidRDefault="002A3F16" w:rsidP="002A3F16">
      <w:pPr>
        <w:numPr>
          <w:ilvl w:val="0"/>
          <w:numId w:val="51"/>
        </w:numPr>
        <w:spacing w:before="60" w:beforeAutospacing="0" w:after="60" w:afterAutospacing="0" w:line="276" w:lineRule="auto"/>
        <w:ind w:left="357" w:hanging="357"/>
        <w:jc w:val="both"/>
        <w:rPr>
          <w:rFonts w:ascii="Times New Roman" w:hAnsi="Times New Roman" w:cs="Times New Roman"/>
          <w:bCs/>
          <w:sz w:val="24"/>
          <w:szCs w:val="24"/>
        </w:rPr>
      </w:pPr>
      <w:r w:rsidRPr="002A3F16">
        <w:rPr>
          <w:rFonts w:ascii="Times New Roman" w:hAnsi="Times New Roman" w:cs="Times New Roman"/>
          <w:bCs/>
          <w:sz w:val="24"/>
          <w:szCs w:val="24"/>
        </w:rPr>
        <w:t>Impôts différés ;</w:t>
      </w:r>
    </w:p>
    <w:p w:rsidR="002A3F16" w:rsidRPr="002A3F16" w:rsidRDefault="002A3F16" w:rsidP="002A3F16">
      <w:pPr>
        <w:numPr>
          <w:ilvl w:val="0"/>
          <w:numId w:val="51"/>
        </w:numPr>
        <w:spacing w:before="60" w:beforeAutospacing="0" w:after="60" w:afterAutospacing="0" w:line="276" w:lineRule="auto"/>
        <w:ind w:left="357" w:hanging="357"/>
        <w:jc w:val="both"/>
        <w:rPr>
          <w:rFonts w:ascii="Times New Roman" w:hAnsi="Times New Roman" w:cs="Times New Roman"/>
          <w:bCs/>
          <w:sz w:val="24"/>
          <w:szCs w:val="24"/>
        </w:rPr>
      </w:pPr>
      <w:r w:rsidRPr="002A3F16">
        <w:rPr>
          <w:rFonts w:ascii="Times New Roman" w:hAnsi="Times New Roman" w:cs="Times New Roman"/>
          <w:bCs/>
          <w:sz w:val="24"/>
          <w:szCs w:val="24"/>
        </w:rPr>
        <w:lastRenderedPageBreak/>
        <w:t>Contrats de location – financement ;</w:t>
      </w:r>
    </w:p>
    <w:p w:rsidR="002A3F16" w:rsidRPr="002A3F16" w:rsidRDefault="002A3F16" w:rsidP="002A3F16">
      <w:pPr>
        <w:numPr>
          <w:ilvl w:val="0"/>
          <w:numId w:val="51"/>
        </w:numPr>
        <w:spacing w:before="60" w:beforeAutospacing="0" w:after="60" w:afterAutospacing="0" w:line="276" w:lineRule="auto"/>
        <w:ind w:left="357" w:hanging="357"/>
        <w:jc w:val="both"/>
        <w:rPr>
          <w:rFonts w:ascii="Times New Roman" w:hAnsi="Times New Roman" w:cs="Times New Roman"/>
          <w:bCs/>
          <w:sz w:val="24"/>
          <w:szCs w:val="24"/>
        </w:rPr>
      </w:pPr>
      <w:r w:rsidRPr="002A3F16">
        <w:rPr>
          <w:rFonts w:ascii="Times New Roman" w:hAnsi="Times New Roman" w:cs="Times New Roman"/>
          <w:bCs/>
          <w:sz w:val="24"/>
          <w:szCs w:val="24"/>
        </w:rPr>
        <w:t>Avantages octroyés au personnel ;</w:t>
      </w:r>
    </w:p>
    <w:p w:rsidR="002A3F16" w:rsidRPr="002A3F16" w:rsidRDefault="002A3F16" w:rsidP="002A3F16">
      <w:pPr>
        <w:numPr>
          <w:ilvl w:val="0"/>
          <w:numId w:val="51"/>
        </w:numPr>
        <w:spacing w:before="60" w:beforeAutospacing="0" w:after="60" w:afterAutospacing="0" w:line="276" w:lineRule="auto"/>
        <w:ind w:left="357" w:hanging="357"/>
        <w:jc w:val="both"/>
        <w:rPr>
          <w:rFonts w:ascii="Times New Roman" w:hAnsi="Times New Roman" w:cs="Times New Roman"/>
          <w:bCs/>
          <w:sz w:val="24"/>
          <w:szCs w:val="24"/>
        </w:rPr>
      </w:pPr>
      <w:r w:rsidRPr="002A3F16">
        <w:rPr>
          <w:rFonts w:ascii="Times New Roman" w:hAnsi="Times New Roman" w:cs="Times New Roman"/>
          <w:bCs/>
          <w:sz w:val="24"/>
          <w:szCs w:val="24"/>
        </w:rPr>
        <w:t>Opérations effectuées en monnaies étrangères ;</w:t>
      </w:r>
    </w:p>
    <w:p w:rsidR="002A3F16" w:rsidRPr="002A3F16" w:rsidRDefault="002A3F16" w:rsidP="002A3F16">
      <w:pPr>
        <w:numPr>
          <w:ilvl w:val="0"/>
          <w:numId w:val="51"/>
        </w:numPr>
        <w:spacing w:before="60" w:beforeAutospacing="0" w:after="60" w:afterAutospacing="0" w:line="276" w:lineRule="auto"/>
        <w:ind w:left="357" w:hanging="357"/>
        <w:jc w:val="both"/>
        <w:rPr>
          <w:rFonts w:ascii="Times New Roman" w:hAnsi="Times New Roman" w:cs="Times New Roman"/>
          <w:bCs/>
          <w:sz w:val="24"/>
          <w:szCs w:val="24"/>
        </w:rPr>
      </w:pPr>
      <w:r w:rsidRPr="002A3F16">
        <w:rPr>
          <w:rFonts w:ascii="Times New Roman" w:hAnsi="Times New Roman" w:cs="Times New Roman"/>
          <w:bCs/>
          <w:sz w:val="24"/>
          <w:szCs w:val="24"/>
        </w:rPr>
        <w:t>Changements d’estimations, changement de méthodes comptables et corrections d’erreurs ou d’omissions significatives;</w:t>
      </w:r>
    </w:p>
    <w:p w:rsidR="002A3F16" w:rsidRPr="002A3F16" w:rsidRDefault="002A3F16" w:rsidP="002A3F16">
      <w:pPr>
        <w:numPr>
          <w:ilvl w:val="0"/>
          <w:numId w:val="51"/>
        </w:numPr>
        <w:spacing w:before="60" w:beforeAutospacing="0" w:after="60" w:afterAutospacing="0" w:line="276" w:lineRule="auto"/>
        <w:ind w:left="357" w:hanging="357"/>
        <w:jc w:val="both"/>
        <w:rPr>
          <w:rFonts w:ascii="Times New Roman" w:hAnsi="Times New Roman" w:cs="Times New Roman"/>
          <w:bCs/>
          <w:sz w:val="24"/>
          <w:szCs w:val="24"/>
        </w:rPr>
      </w:pPr>
      <w:r w:rsidRPr="002A3F16">
        <w:rPr>
          <w:rFonts w:ascii="Times New Roman" w:hAnsi="Times New Roman" w:cs="Times New Roman"/>
          <w:bCs/>
          <w:sz w:val="24"/>
          <w:szCs w:val="24"/>
        </w:rPr>
        <w:t>Cas particulier des petites entités.</w:t>
      </w:r>
    </w:p>
    <w:p w:rsidR="002A3F16" w:rsidRPr="002A3F16" w:rsidRDefault="002A3F16" w:rsidP="002A3F16">
      <w:pPr>
        <w:spacing w:before="60" w:beforeAutospacing="0" w:after="60" w:afterAutospacing="0" w:line="276" w:lineRule="auto"/>
        <w:jc w:val="both"/>
        <w:rPr>
          <w:rFonts w:ascii="Times New Roman" w:hAnsi="Times New Roman" w:cs="Times New Roman"/>
          <w:b/>
          <w:sz w:val="24"/>
        </w:rPr>
      </w:pPr>
      <w:r w:rsidRPr="002A3F16">
        <w:rPr>
          <w:rFonts w:ascii="Times New Roman" w:hAnsi="Times New Roman" w:cs="Times New Roman"/>
          <w:b/>
          <w:sz w:val="24"/>
        </w:rPr>
        <w:t>3.1.4. Les états financiers</w:t>
      </w:r>
    </w:p>
    <w:p w:rsidR="002A3F16" w:rsidRPr="002A3F16" w:rsidRDefault="002A3F16" w:rsidP="002A3F16">
      <w:pPr>
        <w:spacing w:before="60" w:beforeAutospacing="0" w:after="60" w:afterAutospacing="0" w:line="276" w:lineRule="auto"/>
        <w:ind w:firstLine="284"/>
        <w:jc w:val="both"/>
        <w:rPr>
          <w:rFonts w:ascii="Times New Roman" w:hAnsi="Times New Roman" w:cs="Times New Roman"/>
          <w:sz w:val="24"/>
        </w:rPr>
      </w:pPr>
      <w:r w:rsidRPr="002A3F16">
        <w:rPr>
          <w:rFonts w:ascii="Times New Roman" w:hAnsi="Times New Roman" w:cs="Times New Roman"/>
          <w:sz w:val="24"/>
        </w:rPr>
        <w:t>L’article 25 de la loi n° 07-11 portant sur le système comptable et financier définit les composantes des états financiers comme suit :</w:t>
      </w:r>
    </w:p>
    <w:p w:rsidR="002A3F16" w:rsidRPr="002A3F16" w:rsidRDefault="002A3F16" w:rsidP="002A3F16">
      <w:pPr>
        <w:numPr>
          <w:ilvl w:val="0"/>
          <w:numId w:val="53"/>
        </w:numPr>
        <w:spacing w:before="60" w:beforeAutospacing="0" w:after="60" w:afterAutospacing="0" w:line="276" w:lineRule="auto"/>
        <w:jc w:val="both"/>
        <w:rPr>
          <w:rFonts w:ascii="Times New Roman" w:hAnsi="Times New Roman" w:cs="Times New Roman"/>
          <w:b/>
          <w:i/>
          <w:sz w:val="24"/>
        </w:rPr>
      </w:pPr>
      <w:r w:rsidRPr="002A3F16">
        <w:rPr>
          <w:rFonts w:ascii="Times New Roman" w:hAnsi="Times New Roman" w:cs="Times New Roman"/>
          <w:b/>
          <w:i/>
          <w:sz w:val="24"/>
        </w:rPr>
        <w:t xml:space="preserve">Le Bilan  </w:t>
      </w:r>
    </w:p>
    <w:p w:rsidR="002A3F16" w:rsidRPr="002A3F16" w:rsidRDefault="002A3F16" w:rsidP="002A3F16">
      <w:pPr>
        <w:spacing w:before="60" w:beforeAutospacing="0" w:after="60" w:afterAutospacing="0" w:line="276" w:lineRule="auto"/>
        <w:ind w:firstLine="284"/>
        <w:jc w:val="both"/>
        <w:rPr>
          <w:rFonts w:ascii="Times New Roman" w:hAnsi="Times New Roman" w:cs="Times New Roman"/>
          <w:sz w:val="24"/>
        </w:rPr>
      </w:pPr>
      <w:r w:rsidRPr="002A3F16">
        <w:rPr>
          <w:rFonts w:ascii="Times New Roman" w:hAnsi="Times New Roman" w:cs="Times New Roman"/>
          <w:sz w:val="24"/>
        </w:rPr>
        <w:t>Le bilan est un état qui reflète la situation financière de l’entité ; il décrit séparément les éléments d’actif et les éléments du passif. Le cadre conceptuel du SCF a défini d’une manière précise les différents éléments du bilan, à savoir les actifs, les passifs et les capitaux propres.</w:t>
      </w:r>
    </w:p>
    <w:p w:rsidR="002A3F16" w:rsidRPr="002A3F16" w:rsidRDefault="002A3F16" w:rsidP="002A3F16">
      <w:pPr>
        <w:spacing w:before="60" w:beforeAutospacing="0" w:after="60" w:afterAutospacing="0" w:line="360" w:lineRule="auto"/>
        <w:jc w:val="both"/>
        <w:rPr>
          <w:rFonts w:ascii="Times New Roman" w:hAnsi="Times New Roman" w:cs="Times New Roman"/>
          <w:sz w:val="24"/>
        </w:rPr>
      </w:pPr>
      <w:r w:rsidRPr="002A3F16">
        <w:rPr>
          <w:rFonts w:ascii="Times New Roman" w:hAnsi="Times New Roman" w:cs="Times New Roman"/>
          <w:i/>
          <w:sz w:val="24"/>
          <w:u w:val="single"/>
        </w:rPr>
        <w:t>L’actif</w:t>
      </w:r>
      <w:r w:rsidRPr="002A3F16">
        <w:rPr>
          <w:rFonts w:ascii="Times New Roman" w:hAnsi="Times New Roman" w:cs="Times New Roman"/>
          <w:i/>
          <w:sz w:val="24"/>
        </w:rPr>
        <w:t> :</w:t>
      </w:r>
      <w:r w:rsidRPr="002A3F16">
        <w:rPr>
          <w:rFonts w:ascii="Times New Roman" w:hAnsi="Times New Roman" w:cs="Times New Roman"/>
          <w:sz w:val="24"/>
        </w:rPr>
        <w:t xml:space="preserve"> Un actif est défini comme étant une ressource contrôlée par l’entité du fait d’évènements passés et dont les avantages économiques futurs sont attendus par l’entité.</w:t>
      </w:r>
    </w:p>
    <w:p w:rsidR="002A3F16" w:rsidRPr="002A3F16" w:rsidRDefault="002A3F16" w:rsidP="002A3F16">
      <w:pPr>
        <w:spacing w:before="60" w:beforeAutospacing="0" w:after="60" w:afterAutospacing="0" w:line="360" w:lineRule="auto"/>
        <w:jc w:val="both"/>
        <w:rPr>
          <w:rFonts w:ascii="Times New Roman" w:hAnsi="Times New Roman" w:cs="Times New Roman"/>
          <w:sz w:val="24"/>
        </w:rPr>
      </w:pPr>
      <w:r w:rsidRPr="002A3F16">
        <w:rPr>
          <w:rFonts w:ascii="Times New Roman" w:hAnsi="Times New Roman" w:cs="Times New Roman"/>
          <w:i/>
          <w:sz w:val="24"/>
          <w:u w:val="single"/>
        </w:rPr>
        <w:t>Le passif</w:t>
      </w:r>
      <w:r w:rsidRPr="002A3F16">
        <w:rPr>
          <w:rFonts w:ascii="Times New Roman" w:hAnsi="Times New Roman" w:cs="Times New Roman"/>
          <w:sz w:val="24"/>
        </w:rPr>
        <w:t> : Un passif est une obligation actuelle de l’entité résultant d’évènements passés et dont le règlement attendu doit résulter en une sortie de l’entité de ressources représentatives d’avantages économiques.</w:t>
      </w:r>
    </w:p>
    <w:p w:rsidR="002A3F16" w:rsidRPr="002A3F16" w:rsidRDefault="002A3F16" w:rsidP="002A3F16">
      <w:pPr>
        <w:spacing w:before="60" w:beforeAutospacing="0" w:after="60" w:afterAutospacing="0" w:line="360" w:lineRule="auto"/>
        <w:jc w:val="both"/>
        <w:rPr>
          <w:rFonts w:ascii="Times New Roman" w:hAnsi="Times New Roman" w:cs="Times New Roman"/>
          <w:sz w:val="24"/>
        </w:rPr>
      </w:pPr>
      <w:r w:rsidRPr="002A3F16">
        <w:rPr>
          <w:rFonts w:ascii="Times New Roman" w:hAnsi="Times New Roman" w:cs="Times New Roman"/>
          <w:i/>
          <w:sz w:val="24"/>
          <w:u w:val="single"/>
        </w:rPr>
        <w:t>Les capitaux propres</w:t>
      </w:r>
      <w:r w:rsidRPr="002A3F16">
        <w:rPr>
          <w:rFonts w:ascii="Times New Roman" w:hAnsi="Times New Roman" w:cs="Times New Roman"/>
          <w:sz w:val="24"/>
        </w:rPr>
        <w:t> : Les capitaux propres sont l’intérêt résiduel dans les actifs de l’entité après déduction de tous les passifs.</w:t>
      </w:r>
    </w:p>
    <w:p w:rsidR="002A3F16" w:rsidRPr="002A3F16" w:rsidRDefault="002A3F16" w:rsidP="002A3F16">
      <w:pPr>
        <w:spacing w:before="60" w:beforeAutospacing="0" w:after="60" w:afterAutospacing="0" w:line="276" w:lineRule="auto"/>
        <w:ind w:firstLine="284"/>
        <w:jc w:val="both"/>
        <w:rPr>
          <w:rFonts w:ascii="Times New Roman" w:hAnsi="Times New Roman" w:cs="Times New Roman"/>
          <w:sz w:val="24"/>
        </w:rPr>
      </w:pPr>
      <w:r w:rsidRPr="002A3F16">
        <w:rPr>
          <w:rFonts w:ascii="Times New Roman" w:hAnsi="Times New Roman" w:cs="Times New Roman"/>
          <w:sz w:val="24"/>
        </w:rPr>
        <w:t>Le SCF impose aux entités de présenter au bilan, séparément les actifs courants et non courants et les passifs courants et non courants.  Toutefois lorsqu’une présentation est plus appropriée, l’entité doit classer ses actifs et ses passifs en fonction de leur liquidité.</w:t>
      </w:r>
    </w:p>
    <w:p w:rsidR="002A3F16" w:rsidRPr="002A3F16" w:rsidRDefault="002A3F16" w:rsidP="002A3F16">
      <w:pPr>
        <w:numPr>
          <w:ilvl w:val="0"/>
          <w:numId w:val="53"/>
        </w:numPr>
        <w:spacing w:before="60" w:beforeAutospacing="0" w:after="60" w:afterAutospacing="0" w:line="276" w:lineRule="auto"/>
        <w:jc w:val="both"/>
        <w:rPr>
          <w:rFonts w:ascii="Times New Roman" w:hAnsi="Times New Roman" w:cs="Times New Roman"/>
          <w:b/>
          <w:i/>
          <w:sz w:val="24"/>
        </w:rPr>
      </w:pPr>
      <w:r w:rsidRPr="002A3F16">
        <w:rPr>
          <w:rFonts w:ascii="Times New Roman" w:hAnsi="Times New Roman" w:cs="Times New Roman"/>
          <w:b/>
          <w:i/>
          <w:sz w:val="24"/>
        </w:rPr>
        <w:t xml:space="preserve">Le Compte de Résultat  </w:t>
      </w:r>
    </w:p>
    <w:p w:rsidR="002A3F16" w:rsidRPr="002A3F16" w:rsidRDefault="002A3F16" w:rsidP="002A3F16">
      <w:pPr>
        <w:spacing w:before="60" w:beforeAutospacing="0" w:after="60" w:afterAutospacing="0" w:line="276" w:lineRule="auto"/>
        <w:ind w:firstLine="284"/>
        <w:jc w:val="both"/>
        <w:rPr>
          <w:rFonts w:ascii="Times New Roman" w:hAnsi="Times New Roman" w:cs="Times New Roman"/>
          <w:sz w:val="24"/>
        </w:rPr>
      </w:pPr>
      <w:r w:rsidRPr="002A3F16">
        <w:rPr>
          <w:rFonts w:ascii="Times New Roman" w:hAnsi="Times New Roman" w:cs="Times New Roman"/>
          <w:sz w:val="24"/>
        </w:rPr>
        <w:t>Le compte de résultat est un état récapitulatif des charges et des produits réalisés par l’entité au cours de l’exercice. Egalement comme pour les éléments du bilan, le cadre conceptuel définit clairement les éléments du compte de résultat et les informations à présenter dans cet état.</w:t>
      </w:r>
    </w:p>
    <w:p w:rsidR="002A3F16" w:rsidRPr="002A3F16" w:rsidRDefault="002A3F16" w:rsidP="002A3F16">
      <w:pPr>
        <w:spacing w:before="60" w:beforeAutospacing="0" w:after="60" w:afterAutospacing="0" w:line="276" w:lineRule="auto"/>
        <w:ind w:firstLine="284"/>
        <w:jc w:val="both"/>
        <w:rPr>
          <w:rFonts w:ascii="Times New Roman" w:hAnsi="Times New Roman" w:cs="Times New Roman"/>
          <w:sz w:val="24"/>
        </w:rPr>
      </w:pPr>
      <w:r w:rsidRPr="002A3F16">
        <w:rPr>
          <w:rFonts w:ascii="Times New Roman" w:hAnsi="Times New Roman" w:cs="Times New Roman"/>
          <w:sz w:val="24"/>
        </w:rPr>
        <w:t xml:space="preserve">Selon le SCF, les charges et produits sont définis comme suit :  </w:t>
      </w:r>
    </w:p>
    <w:p w:rsidR="002A3F16" w:rsidRPr="002A3F16" w:rsidRDefault="002A3F16" w:rsidP="002A3F16">
      <w:pPr>
        <w:spacing w:before="60" w:beforeAutospacing="0" w:after="60" w:afterAutospacing="0" w:line="276" w:lineRule="auto"/>
        <w:ind w:firstLine="284"/>
        <w:jc w:val="both"/>
        <w:rPr>
          <w:rFonts w:ascii="Times New Roman" w:hAnsi="Times New Roman" w:cs="Times New Roman"/>
          <w:sz w:val="24"/>
        </w:rPr>
      </w:pPr>
      <w:r w:rsidRPr="002A3F16">
        <w:rPr>
          <w:rFonts w:ascii="Times New Roman" w:hAnsi="Times New Roman" w:cs="Times New Roman"/>
          <w:i/>
          <w:sz w:val="24"/>
          <w:u w:val="single"/>
        </w:rPr>
        <w:t>Les produits</w:t>
      </w:r>
      <w:r w:rsidRPr="002A3F16">
        <w:rPr>
          <w:rFonts w:ascii="Times New Roman" w:hAnsi="Times New Roman" w:cs="Times New Roman"/>
          <w:i/>
          <w:sz w:val="24"/>
        </w:rPr>
        <w:t> :</w:t>
      </w:r>
      <w:r w:rsidRPr="002A3F16">
        <w:rPr>
          <w:rFonts w:ascii="Times New Roman" w:hAnsi="Times New Roman" w:cs="Times New Roman"/>
          <w:sz w:val="24"/>
        </w:rPr>
        <w:t xml:space="preserve"> sont des accroissements d’avantages économiques au cours de la période comptable, sous la forme d’accroissements d’actifs ou de diminutions de passifs qui ont pour résultat l’augmentation des capitaux propres autres que l’augmentation provenant des contributions des propriétaires du capital.</w:t>
      </w:r>
    </w:p>
    <w:p w:rsidR="002A3F16" w:rsidRPr="002A3F16" w:rsidRDefault="002A3F16" w:rsidP="002A3F16">
      <w:pPr>
        <w:spacing w:before="60" w:beforeAutospacing="0" w:after="60" w:afterAutospacing="0" w:line="276" w:lineRule="auto"/>
        <w:ind w:firstLine="284"/>
        <w:jc w:val="both"/>
        <w:rPr>
          <w:rFonts w:ascii="Times New Roman" w:hAnsi="Times New Roman" w:cs="Times New Roman"/>
          <w:sz w:val="24"/>
        </w:rPr>
      </w:pPr>
      <w:r w:rsidRPr="002A3F16">
        <w:rPr>
          <w:rFonts w:ascii="Times New Roman" w:hAnsi="Times New Roman" w:cs="Times New Roman"/>
          <w:i/>
          <w:sz w:val="24"/>
          <w:u w:val="single"/>
        </w:rPr>
        <w:lastRenderedPageBreak/>
        <w:t>Les charges</w:t>
      </w:r>
      <w:r w:rsidRPr="002A3F16">
        <w:rPr>
          <w:rFonts w:ascii="Times New Roman" w:hAnsi="Times New Roman" w:cs="Times New Roman"/>
          <w:i/>
          <w:sz w:val="24"/>
        </w:rPr>
        <w:t> :</w:t>
      </w:r>
      <w:r w:rsidRPr="002A3F16">
        <w:rPr>
          <w:rFonts w:ascii="Times New Roman" w:hAnsi="Times New Roman" w:cs="Times New Roman"/>
          <w:sz w:val="24"/>
        </w:rPr>
        <w:t xml:space="preserve"> sont des diminutions d’avantages économiques au cours de la période comptable sous la forme de sorties ou de diminutions des valeurs d’actifs, ou de survenances de dettes qui ont pour résultat de faire diminuer les capitaux propres autrement que par des distributions aux propriétaires du capital.</w:t>
      </w:r>
    </w:p>
    <w:p w:rsidR="002A3F16" w:rsidRPr="002A3F16" w:rsidRDefault="002A3F16" w:rsidP="002A3F16">
      <w:pPr>
        <w:numPr>
          <w:ilvl w:val="0"/>
          <w:numId w:val="53"/>
        </w:numPr>
        <w:spacing w:before="60" w:beforeAutospacing="0" w:after="60" w:afterAutospacing="0" w:line="276" w:lineRule="auto"/>
        <w:jc w:val="both"/>
        <w:rPr>
          <w:rFonts w:ascii="Times New Roman" w:hAnsi="Times New Roman" w:cs="Times New Roman"/>
          <w:b/>
          <w:i/>
          <w:sz w:val="24"/>
        </w:rPr>
      </w:pPr>
      <w:r w:rsidRPr="002A3F16">
        <w:rPr>
          <w:rFonts w:ascii="Times New Roman" w:hAnsi="Times New Roman" w:cs="Times New Roman"/>
          <w:b/>
          <w:i/>
          <w:sz w:val="24"/>
        </w:rPr>
        <w:t xml:space="preserve"> L’Etat de variation des capitaux propres</w:t>
      </w:r>
    </w:p>
    <w:p w:rsidR="002A3F16" w:rsidRPr="002A3F16" w:rsidRDefault="002A3F16" w:rsidP="002A3F16">
      <w:pPr>
        <w:spacing w:before="60" w:beforeAutospacing="0" w:after="60" w:afterAutospacing="0" w:line="276" w:lineRule="auto"/>
        <w:ind w:firstLine="284"/>
        <w:jc w:val="both"/>
        <w:rPr>
          <w:rFonts w:ascii="Times New Roman" w:hAnsi="Times New Roman" w:cs="Times New Roman"/>
          <w:sz w:val="24"/>
        </w:rPr>
      </w:pPr>
      <w:r w:rsidRPr="002A3F16">
        <w:rPr>
          <w:rFonts w:ascii="Times New Roman" w:hAnsi="Times New Roman" w:cs="Times New Roman"/>
          <w:sz w:val="24"/>
        </w:rPr>
        <w:t>L’état de variation des capitaux propres constitue une analyse des  mouvements ayant affecté chacune des rubriques constituant les capitaux propres de l’entité au cours de l’exercice. Il a pour objectif de présenter l’évolution de la situation financière d’une entité (ses capitaux propres) entre deux périodes. Dès lors, la présentation d’un état des variations des capitaux propres est requise pour mettre en évidence le total des produits et des charges de l’entité, y compris ceux qui sont comptabilisés directement dans les capitaux propres. En conséquence, les informations minimales à présenter dans cet état concernent les mouvements liés :</w:t>
      </w:r>
    </w:p>
    <w:p w:rsidR="002A3F16" w:rsidRPr="002A3F16" w:rsidRDefault="002A3F16" w:rsidP="002A3F16">
      <w:pPr>
        <w:numPr>
          <w:ilvl w:val="0"/>
          <w:numId w:val="49"/>
        </w:numPr>
        <w:spacing w:before="60" w:beforeAutospacing="0" w:after="60" w:afterAutospacing="0" w:line="276" w:lineRule="auto"/>
        <w:contextualSpacing/>
        <w:jc w:val="both"/>
        <w:rPr>
          <w:rFonts w:ascii="Times New Roman" w:hAnsi="Times New Roman" w:cs="Times New Roman"/>
          <w:sz w:val="24"/>
        </w:rPr>
      </w:pPr>
      <w:r w:rsidRPr="002A3F16">
        <w:rPr>
          <w:rFonts w:ascii="Times New Roman" w:hAnsi="Times New Roman" w:cs="Times New Roman"/>
          <w:sz w:val="24"/>
        </w:rPr>
        <w:t>au résultat net de l’exercice ;</w:t>
      </w:r>
    </w:p>
    <w:p w:rsidR="002A3F16" w:rsidRPr="002A3F16" w:rsidRDefault="002A3F16" w:rsidP="002A3F16">
      <w:pPr>
        <w:numPr>
          <w:ilvl w:val="0"/>
          <w:numId w:val="49"/>
        </w:numPr>
        <w:spacing w:before="60" w:beforeAutospacing="0" w:after="60" w:afterAutospacing="0" w:line="276" w:lineRule="auto"/>
        <w:contextualSpacing/>
        <w:jc w:val="both"/>
        <w:rPr>
          <w:rFonts w:ascii="Times New Roman" w:hAnsi="Times New Roman" w:cs="Times New Roman"/>
          <w:sz w:val="24"/>
        </w:rPr>
      </w:pPr>
      <w:r w:rsidRPr="002A3F16">
        <w:rPr>
          <w:rFonts w:ascii="Times New Roman" w:hAnsi="Times New Roman" w:cs="Times New Roman"/>
          <w:sz w:val="24"/>
        </w:rPr>
        <w:t>aux changements de méthode comptables et aux corrections d’erreurs significatives dont l’impact est directement enregistré en capitaux propres ;</w:t>
      </w:r>
    </w:p>
    <w:p w:rsidR="002A3F16" w:rsidRPr="002A3F16" w:rsidRDefault="002A3F16" w:rsidP="002A3F16">
      <w:pPr>
        <w:numPr>
          <w:ilvl w:val="0"/>
          <w:numId w:val="49"/>
        </w:numPr>
        <w:spacing w:before="60" w:beforeAutospacing="0" w:after="60" w:afterAutospacing="0" w:line="276" w:lineRule="auto"/>
        <w:contextualSpacing/>
        <w:jc w:val="both"/>
        <w:rPr>
          <w:rFonts w:ascii="Times New Roman" w:hAnsi="Times New Roman" w:cs="Times New Roman"/>
          <w:sz w:val="24"/>
        </w:rPr>
      </w:pPr>
      <w:r w:rsidRPr="002A3F16">
        <w:rPr>
          <w:rFonts w:ascii="Times New Roman" w:hAnsi="Times New Roman" w:cs="Times New Roman"/>
          <w:sz w:val="24"/>
        </w:rPr>
        <w:t>aux opérations en capital (augmentation, diminution, remboursement.) ;</w:t>
      </w:r>
    </w:p>
    <w:p w:rsidR="002A3F16" w:rsidRPr="002A3F16" w:rsidRDefault="002A3F16" w:rsidP="002A3F16">
      <w:pPr>
        <w:numPr>
          <w:ilvl w:val="0"/>
          <w:numId w:val="49"/>
        </w:numPr>
        <w:spacing w:before="60" w:beforeAutospacing="0" w:after="60" w:afterAutospacing="0" w:line="276" w:lineRule="auto"/>
        <w:ind w:left="357" w:hanging="357"/>
        <w:jc w:val="both"/>
        <w:rPr>
          <w:rFonts w:ascii="Times New Roman" w:hAnsi="Times New Roman" w:cs="Times New Roman"/>
          <w:sz w:val="24"/>
        </w:rPr>
      </w:pPr>
      <w:r w:rsidRPr="002A3F16">
        <w:rPr>
          <w:rFonts w:ascii="Times New Roman" w:hAnsi="Times New Roman" w:cs="Times New Roman"/>
          <w:sz w:val="24"/>
        </w:rPr>
        <w:t>aux distributions de résultat et affectations décidées au cours de l’exercice.</w:t>
      </w:r>
    </w:p>
    <w:p w:rsidR="002A3F16" w:rsidRPr="002A3F16" w:rsidRDefault="002A3F16" w:rsidP="002A3F16">
      <w:pPr>
        <w:numPr>
          <w:ilvl w:val="0"/>
          <w:numId w:val="53"/>
        </w:numPr>
        <w:spacing w:before="60" w:beforeAutospacing="0" w:after="60" w:afterAutospacing="0" w:line="276" w:lineRule="auto"/>
        <w:ind w:left="714" w:hanging="357"/>
        <w:jc w:val="both"/>
        <w:rPr>
          <w:rFonts w:ascii="Times New Roman" w:hAnsi="Times New Roman" w:cs="Times New Roman"/>
          <w:b/>
        </w:rPr>
      </w:pPr>
      <w:r w:rsidRPr="002A3F16">
        <w:rPr>
          <w:rFonts w:ascii="Times New Roman" w:hAnsi="Times New Roman" w:cs="Times New Roman"/>
          <w:b/>
          <w:i/>
          <w:sz w:val="24"/>
        </w:rPr>
        <w:t>Le Tableau des flux de trésorerie</w:t>
      </w:r>
      <w:r w:rsidRPr="002A3F16">
        <w:rPr>
          <w:rFonts w:ascii="Times New Roman" w:hAnsi="Times New Roman" w:cs="Times New Roman"/>
          <w:b/>
          <w:i/>
        </w:rPr>
        <w:t> </w:t>
      </w:r>
      <w:r w:rsidRPr="002A3F16">
        <w:rPr>
          <w:rFonts w:ascii="Times New Roman" w:hAnsi="Times New Roman" w:cs="Times New Roman"/>
          <w:b/>
        </w:rPr>
        <w:tab/>
      </w:r>
    </w:p>
    <w:p w:rsidR="002A3F16" w:rsidRPr="002A3F16" w:rsidRDefault="002A3F16" w:rsidP="002A3F16">
      <w:pPr>
        <w:spacing w:before="60" w:beforeAutospacing="0" w:after="60" w:afterAutospacing="0" w:line="276" w:lineRule="auto"/>
        <w:ind w:firstLine="284"/>
        <w:jc w:val="both"/>
        <w:rPr>
          <w:rFonts w:ascii="Times New Roman" w:hAnsi="Times New Roman" w:cs="Times New Roman"/>
          <w:sz w:val="24"/>
        </w:rPr>
      </w:pPr>
      <w:r w:rsidRPr="002A3F16">
        <w:rPr>
          <w:rFonts w:ascii="Times New Roman" w:hAnsi="Times New Roman" w:cs="Times New Roman"/>
          <w:sz w:val="24"/>
        </w:rPr>
        <w:t>Le Tableau des flux de trésorerie a pour but d’apporter aux utilisateurs des états financiers une base d’évaluation de la capacité de l’entité à générer de la trésorerie et des équivalents de trésorerie, ainsi que des informations sur l’utilisation de ces flux de trésorerie. Il présente les variations de la situation financière de l’entité en matière de provenance et utilisation du cash dans ses activités d’investissement, d’exploitation et de financement.</w:t>
      </w:r>
    </w:p>
    <w:p w:rsidR="002A3F16" w:rsidRPr="002A3F16" w:rsidRDefault="002A3F16" w:rsidP="002A3F16">
      <w:pPr>
        <w:spacing w:before="60" w:beforeAutospacing="0" w:after="60" w:afterAutospacing="0" w:line="276" w:lineRule="auto"/>
        <w:ind w:firstLine="284"/>
        <w:jc w:val="both"/>
        <w:rPr>
          <w:rFonts w:ascii="Times New Roman" w:hAnsi="Times New Roman" w:cs="Times New Roman"/>
          <w:sz w:val="24"/>
        </w:rPr>
      </w:pPr>
      <w:r w:rsidRPr="002A3F16">
        <w:rPr>
          <w:rFonts w:ascii="Times New Roman" w:hAnsi="Times New Roman" w:cs="Times New Roman"/>
          <w:sz w:val="24"/>
        </w:rPr>
        <w:t>Autrement dit,  l’objectif du TFT consiste à expliquer la variation du solde de la trésorerie entre le début et la fin de l’exercice. Pour le faire le TFT doit présenter les différentes entrées et sorties de trésorerie comptabilisées durant l’exercice selon leur nature.</w:t>
      </w:r>
    </w:p>
    <w:p w:rsidR="002A3F16" w:rsidRPr="002A3F16" w:rsidRDefault="002A3F16" w:rsidP="002A3F16">
      <w:pPr>
        <w:numPr>
          <w:ilvl w:val="0"/>
          <w:numId w:val="53"/>
        </w:numPr>
        <w:spacing w:before="60" w:beforeAutospacing="0" w:after="60" w:afterAutospacing="0" w:line="276" w:lineRule="auto"/>
        <w:jc w:val="both"/>
        <w:rPr>
          <w:rFonts w:ascii="Times New Roman" w:hAnsi="Times New Roman" w:cs="Times New Roman"/>
          <w:b/>
          <w:i/>
          <w:sz w:val="24"/>
        </w:rPr>
      </w:pPr>
      <w:r w:rsidRPr="002A3F16">
        <w:rPr>
          <w:rFonts w:ascii="Times New Roman" w:hAnsi="Times New Roman" w:cs="Times New Roman"/>
          <w:b/>
          <w:i/>
          <w:sz w:val="24"/>
        </w:rPr>
        <w:t xml:space="preserve">L’Annexe </w:t>
      </w:r>
    </w:p>
    <w:p w:rsidR="002A3F16" w:rsidRPr="002A3F16" w:rsidRDefault="002A3F16" w:rsidP="002A3F16">
      <w:pPr>
        <w:spacing w:before="60" w:beforeAutospacing="0" w:after="60" w:afterAutospacing="0" w:line="276" w:lineRule="auto"/>
        <w:ind w:firstLine="284"/>
        <w:jc w:val="both"/>
        <w:rPr>
          <w:rFonts w:ascii="Times New Roman" w:hAnsi="Times New Roman" w:cs="Times New Roman"/>
          <w:sz w:val="24"/>
        </w:rPr>
      </w:pPr>
      <w:r w:rsidRPr="002A3F16">
        <w:rPr>
          <w:rFonts w:ascii="Times New Roman" w:hAnsi="Times New Roman" w:cs="Times New Roman"/>
          <w:sz w:val="24"/>
        </w:rPr>
        <w:t>Pour aider les utilisateurs à comprendre les états financiers et à les comparer à ceux d’autres entités, l’annexe doit :</w:t>
      </w:r>
    </w:p>
    <w:p w:rsidR="002A3F16" w:rsidRPr="002A3F16" w:rsidRDefault="002A3F16" w:rsidP="002A3F16">
      <w:pPr>
        <w:numPr>
          <w:ilvl w:val="0"/>
          <w:numId w:val="49"/>
        </w:numPr>
        <w:spacing w:before="60" w:beforeAutospacing="0" w:after="60" w:afterAutospacing="0" w:line="276" w:lineRule="auto"/>
        <w:contextualSpacing/>
        <w:jc w:val="both"/>
        <w:rPr>
          <w:rFonts w:ascii="Times New Roman" w:hAnsi="Times New Roman" w:cs="Times New Roman"/>
          <w:sz w:val="24"/>
        </w:rPr>
      </w:pPr>
      <w:r w:rsidRPr="002A3F16">
        <w:rPr>
          <w:rFonts w:ascii="Times New Roman" w:hAnsi="Times New Roman" w:cs="Times New Roman"/>
          <w:sz w:val="24"/>
        </w:rPr>
        <w:t>Présenter des informations sur la base d’établissement des états financiers et sur les méthodes comptables spécifiques choisies et appliquées aux transactions et évènements importants ;</w:t>
      </w:r>
    </w:p>
    <w:p w:rsidR="002A3F16" w:rsidRPr="002A3F16" w:rsidRDefault="002A3F16" w:rsidP="002A3F16">
      <w:pPr>
        <w:numPr>
          <w:ilvl w:val="0"/>
          <w:numId w:val="49"/>
        </w:numPr>
        <w:spacing w:before="60" w:beforeAutospacing="0" w:after="60" w:afterAutospacing="0" w:line="276" w:lineRule="auto"/>
        <w:contextualSpacing/>
        <w:jc w:val="both"/>
        <w:rPr>
          <w:rFonts w:ascii="Times New Roman" w:hAnsi="Times New Roman" w:cs="Times New Roman"/>
          <w:sz w:val="24"/>
        </w:rPr>
      </w:pPr>
      <w:r w:rsidRPr="002A3F16">
        <w:rPr>
          <w:rFonts w:ascii="Times New Roman" w:hAnsi="Times New Roman" w:cs="Times New Roman"/>
          <w:sz w:val="24"/>
        </w:rPr>
        <w:t>Fournir les compléments d’information nécessaires à une bonne compréhension des autres états financiers ;</w:t>
      </w:r>
    </w:p>
    <w:p w:rsidR="002A3F16" w:rsidRPr="002A3F16" w:rsidRDefault="002A3F16" w:rsidP="002A3F16">
      <w:pPr>
        <w:numPr>
          <w:ilvl w:val="0"/>
          <w:numId w:val="49"/>
        </w:numPr>
        <w:spacing w:before="60" w:beforeAutospacing="0" w:after="60" w:afterAutospacing="0" w:line="276" w:lineRule="auto"/>
        <w:contextualSpacing/>
        <w:jc w:val="both"/>
        <w:rPr>
          <w:rFonts w:ascii="Times New Roman" w:hAnsi="Times New Roman" w:cs="Times New Roman"/>
          <w:sz w:val="24"/>
        </w:rPr>
      </w:pPr>
      <w:r w:rsidRPr="002A3F16">
        <w:rPr>
          <w:rFonts w:ascii="Times New Roman" w:hAnsi="Times New Roman" w:cs="Times New Roman"/>
          <w:sz w:val="24"/>
        </w:rPr>
        <w:lastRenderedPageBreak/>
        <w:t>Fournir les informations concernant les entités associées, les co-entreprises, les filiales ou la société mère ainsi que les transactions ayant éventuellement eu lieu avec ces entités ou leurs dirigeants ;</w:t>
      </w:r>
    </w:p>
    <w:p w:rsidR="002A3F16" w:rsidRPr="002A3F16" w:rsidRDefault="002A3F16" w:rsidP="002A3F16">
      <w:pPr>
        <w:numPr>
          <w:ilvl w:val="0"/>
          <w:numId w:val="49"/>
        </w:numPr>
        <w:spacing w:before="60" w:beforeAutospacing="0" w:after="60" w:afterAutospacing="0" w:line="276" w:lineRule="auto"/>
        <w:contextualSpacing/>
        <w:jc w:val="both"/>
        <w:rPr>
          <w:rFonts w:ascii="Times New Roman" w:hAnsi="Times New Roman" w:cs="Times New Roman"/>
          <w:sz w:val="24"/>
        </w:rPr>
      </w:pPr>
      <w:r w:rsidRPr="002A3F16">
        <w:rPr>
          <w:rFonts w:ascii="Times New Roman" w:hAnsi="Times New Roman" w:cs="Times New Roman"/>
          <w:sz w:val="24"/>
        </w:rPr>
        <w:t>Fournir les informations à caractère général ou concernant certaines opérations particulières nécessaires à l’obtention d’une image fidèle (effectif moyen, les informations sectorielles…) ;</w:t>
      </w:r>
    </w:p>
    <w:p w:rsidR="002A3F16" w:rsidRPr="002A3F16" w:rsidRDefault="002A3F16" w:rsidP="002A3F16">
      <w:pPr>
        <w:spacing w:before="60" w:beforeAutospacing="0" w:after="60" w:afterAutospacing="0" w:line="276" w:lineRule="auto"/>
        <w:ind w:firstLine="284"/>
        <w:jc w:val="both"/>
        <w:rPr>
          <w:rFonts w:ascii="Times New Roman" w:hAnsi="Times New Roman" w:cs="Times New Roman"/>
          <w:sz w:val="24"/>
        </w:rPr>
      </w:pPr>
      <w:r w:rsidRPr="002A3F16">
        <w:rPr>
          <w:rFonts w:ascii="Times New Roman" w:hAnsi="Times New Roman" w:cs="Times New Roman"/>
          <w:sz w:val="24"/>
        </w:rPr>
        <w:t xml:space="preserve">Pour les entités faisant  appel public à l’épargne, ils doivent fournir, plus des informations précédentes, les informations spécifiques nécessaires aux utilisateurs des états  pour comprendre les performances passées et évaluer les risques et la rentabilité de l’entité. C’est-à-dire fournir les informations nécessaires qui permettront aux investisseurs d’évaluer les risques et la rentabilité de l’entité.  </w:t>
      </w:r>
    </w:p>
    <w:p w:rsidR="002A3F16" w:rsidRPr="002A3F16" w:rsidRDefault="002A3F16" w:rsidP="002A3F16">
      <w:pPr>
        <w:spacing w:before="120" w:beforeAutospacing="0" w:after="120" w:afterAutospacing="0" w:line="276" w:lineRule="auto"/>
        <w:jc w:val="both"/>
        <w:rPr>
          <w:rFonts w:ascii="Times New Roman" w:hAnsi="Times New Roman" w:cs="Times New Roman"/>
          <w:b/>
          <w:sz w:val="26"/>
          <w:szCs w:val="26"/>
        </w:rPr>
      </w:pPr>
      <w:r w:rsidRPr="002A3F16">
        <w:rPr>
          <w:rFonts w:ascii="Times New Roman" w:hAnsi="Times New Roman" w:cs="Times New Roman"/>
          <w:b/>
          <w:sz w:val="26"/>
          <w:szCs w:val="26"/>
        </w:rPr>
        <w:t>3.2. Divergences entre l’ancien Plan Comptable National (PCN) et le Système Comptable et Financier (SCF)</w:t>
      </w:r>
    </w:p>
    <w:p w:rsidR="002A3F16" w:rsidRPr="002A3F16" w:rsidRDefault="002A3F16" w:rsidP="002A3F16">
      <w:pPr>
        <w:spacing w:before="60" w:beforeAutospacing="0" w:after="60" w:afterAutospacing="0" w:line="276" w:lineRule="auto"/>
        <w:ind w:firstLine="284"/>
        <w:jc w:val="both"/>
        <w:rPr>
          <w:rFonts w:ascii="Times New Roman" w:hAnsi="Times New Roman" w:cs="Times New Roman"/>
          <w:sz w:val="24"/>
        </w:rPr>
      </w:pPr>
      <w:r w:rsidRPr="002A3F16">
        <w:rPr>
          <w:rFonts w:ascii="Times New Roman" w:hAnsi="Times New Roman" w:cs="Times New Roman"/>
          <w:sz w:val="24"/>
        </w:rPr>
        <w:t>Le SCF se présente comme une véritable réforme comptable, qui vient remplacer le PCN 1975. En outre, les principales évolutions que présentent le SCF par apport au PCN 1975 peuvent être résumées dans les points suivants.</w:t>
      </w:r>
    </w:p>
    <w:p w:rsidR="002A3F16" w:rsidRPr="002A3F16" w:rsidRDefault="002A3F16" w:rsidP="002A3F16">
      <w:pPr>
        <w:numPr>
          <w:ilvl w:val="0"/>
          <w:numId w:val="42"/>
        </w:numPr>
        <w:spacing w:before="60" w:beforeAutospacing="0" w:after="60" w:afterAutospacing="0" w:line="276" w:lineRule="auto"/>
        <w:ind w:left="357" w:hanging="357"/>
        <w:jc w:val="both"/>
        <w:rPr>
          <w:rFonts w:ascii="Times New Roman" w:eastAsia="Times New Roman" w:hAnsi="Times New Roman" w:cs="Times New Roman"/>
          <w:b/>
          <w:sz w:val="24"/>
          <w:szCs w:val="24"/>
          <w:lang w:eastAsia="fr-FR"/>
        </w:rPr>
      </w:pPr>
      <w:r w:rsidRPr="002A3F16">
        <w:rPr>
          <w:rFonts w:ascii="Times New Roman" w:eastAsia="Times New Roman" w:hAnsi="Times New Roman" w:cs="Times New Roman"/>
          <w:b/>
          <w:sz w:val="24"/>
          <w:szCs w:val="24"/>
          <w:lang w:eastAsia="fr-FR"/>
        </w:rPr>
        <w:t>Principes et conventions comptables</w:t>
      </w:r>
    </w:p>
    <w:p w:rsidR="002A3F16" w:rsidRPr="002A3F16" w:rsidRDefault="002A3F16" w:rsidP="002A3F16">
      <w:pPr>
        <w:spacing w:before="60" w:beforeAutospacing="0" w:after="60" w:afterAutospacing="0" w:line="276" w:lineRule="auto"/>
        <w:ind w:firstLine="284"/>
        <w:jc w:val="both"/>
        <w:rPr>
          <w:rFonts w:ascii="Times New Roman" w:hAnsi="Times New Roman" w:cs="Times New Roman"/>
          <w:sz w:val="24"/>
        </w:rPr>
      </w:pPr>
      <w:r w:rsidRPr="002A3F16">
        <w:rPr>
          <w:rFonts w:ascii="Times New Roman" w:hAnsi="Times New Roman" w:cs="Times New Roman"/>
          <w:sz w:val="24"/>
        </w:rPr>
        <w:t>Pour le PCN il n’existait pas de cadre conceptuel pour la comptabilité, de ce fait les principes comptables sont implicites dans les textes de lois. Hors que le SCF donne une importance accrue aux principes de la comptabilité qui sont explicitement définis dans un cadre conceptuel. En termes de contenu, le SCF accorde une importance particulière à la qualité de l’information financière, ce qui a donné lieu à l’instauration de nouveaux principes différents de ceux du PCN, tel que le principe de prééminence de la réalité économique sur la forme juridique ; qui constitue une véritable révolution par rapport au PCN, la comptabilité d’engagement et autres.</w:t>
      </w:r>
    </w:p>
    <w:p w:rsidR="002A3F16" w:rsidRPr="002A3F16" w:rsidRDefault="002A3F16" w:rsidP="002A3F16">
      <w:pPr>
        <w:numPr>
          <w:ilvl w:val="0"/>
          <w:numId w:val="42"/>
        </w:numPr>
        <w:spacing w:before="60" w:beforeAutospacing="0" w:after="60" w:afterAutospacing="0" w:line="276" w:lineRule="auto"/>
        <w:ind w:left="357" w:hanging="357"/>
        <w:jc w:val="both"/>
        <w:rPr>
          <w:rFonts w:ascii="Times New Roman" w:eastAsia="Times New Roman" w:hAnsi="Times New Roman" w:cs="Times New Roman"/>
          <w:b/>
          <w:sz w:val="24"/>
          <w:szCs w:val="24"/>
          <w:lang w:eastAsia="fr-FR"/>
        </w:rPr>
      </w:pPr>
      <w:r w:rsidRPr="002A3F16">
        <w:rPr>
          <w:rFonts w:ascii="Times New Roman" w:eastAsia="Times New Roman" w:hAnsi="Times New Roman" w:cs="Times New Roman"/>
          <w:b/>
          <w:sz w:val="24"/>
          <w:szCs w:val="24"/>
          <w:lang w:eastAsia="fr-FR"/>
        </w:rPr>
        <w:t>Règles de comptabilisation</w:t>
      </w:r>
    </w:p>
    <w:p w:rsidR="002A3F16" w:rsidRPr="002A3F16" w:rsidRDefault="002A3F16" w:rsidP="002A3F16">
      <w:pPr>
        <w:spacing w:before="60" w:beforeAutospacing="0" w:after="60" w:afterAutospacing="0" w:line="276" w:lineRule="auto"/>
        <w:ind w:firstLine="284"/>
        <w:jc w:val="both"/>
        <w:rPr>
          <w:rFonts w:ascii="Times New Roman" w:hAnsi="Times New Roman" w:cs="Times New Roman"/>
          <w:sz w:val="24"/>
        </w:rPr>
      </w:pPr>
      <w:r w:rsidRPr="002A3F16">
        <w:rPr>
          <w:rFonts w:ascii="Times New Roman" w:hAnsi="Times New Roman" w:cs="Times New Roman"/>
          <w:sz w:val="24"/>
        </w:rPr>
        <w:t>Le SCF définie les règles de comptabilisation des actifs, des passifs, des charges et des produits. A cet effet, nous notons des divergences concernant les règles de comptabilisations de ces éléments par rapport au PCN, à savoir :</w:t>
      </w:r>
    </w:p>
    <w:p w:rsidR="002A3F16" w:rsidRPr="002A3F16" w:rsidRDefault="002A3F16" w:rsidP="002A3F16">
      <w:pPr>
        <w:numPr>
          <w:ilvl w:val="0"/>
          <w:numId w:val="49"/>
        </w:numPr>
        <w:spacing w:before="60" w:beforeAutospacing="0" w:after="60" w:afterAutospacing="0" w:line="276" w:lineRule="auto"/>
        <w:contextualSpacing/>
        <w:jc w:val="both"/>
        <w:rPr>
          <w:rFonts w:ascii="Times New Roman" w:hAnsi="Times New Roman" w:cs="Times New Roman"/>
          <w:sz w:val="24"/>
        </w:rPr>
      </w:pPr>
      <w:r w:rsidRPr="002A3F16">
        <w:rPr>
          <w:rFonts w:ascii="Times New Roman" w:hAnsi="Times New Roman" w:cs="Times New Roman"/>
          <w:sz w:val="24"/>
        </w:rPr>
        <w:t>La comptabilisation des actifs est faite selon le principe de contrôle et non pas selon des considérations juridiques seulement ;</w:t>
      </w:r>
    </w:p>
    <w:p w:rsidR="002A3F16" w:rsidRPr="002A3F16" w:rsidRDefault="002A3F16" w:rsidP="002A3F16">
      <w:pPr>
        <w:numPr>
          <w:ilvl w:val="0"/>
          <w:numId w:val="49"/>
        </w:numPr>
        <w:spacing w:before="60" w:beforeAutospacing="0" w:after="60" w:afterAutospacing="0" w:line="276" w:lineRule="auto"/>
        <w:contextualSpacing/>
        <w:jc w:val="both"/>
        <w:rPr>
          <w:rFonts w:ascii="Times New Roman" w:hAnsi="Times New Roman" w:cs="Times New Roman"/>
          <w:sz w:val="24"/>
        </w:rPr>
      </w:pPr>
      <w:r w:rsidRPr="002A3F16">
        <w:rPr>
          <w:rFonts w:ascii="Times New Roman" w:hAnsi="Times New Roman" w:cs="Times New Roman"/>
          <w:sz w:val="24"/>
        </w:rPr>
        <w:t>Dès lors, les contrats de location financement sont traités de façon différente en SCF; Ces contrats doivent être comptabilisés à l'actif et en dettes pour un montant correspondant à la plus faible des deux valeurs suivantes : la juste valeur du bien loué et la valeur actualisée des loyers minimaux calculée sur base du taux d'intérêt implicite du contrat de location ;</w:t>
      </w:r>
    </w:p>
    <w:p w:rsidR="002A3F16" w:rsidRPr="002A3F16" w:rsidRDefault="002A3F16" w:rsidP="002A3F16">
      <w:pPr>
        <w:numPr>
          <w:ilvl w:val="0"/>
          <w:numId w:val="49"/>
        </w:numPr>
        <w:spacing w:before="60" w:beforeAutospacing="0" w:after="60" w:afterAutospacing="0" w:line="276" w:lineRule="auto"/>
        <w:contextualSpacing/>
        <w:jc w:val="both"/>
        <w:rPr>
          <w:rFonts w:ascii="Times New Roman" w:hAnsi="Times New Roman" w:cs="Times New Roman"/>
          <w:sz w:val="24"/>
        </w:rPr>
      </w:pPr>
      <w:r w:rsidRPr="002A3F16">
        <w:rPr>
          <w:rFonts w:ascii="Times New Roman" w:hAnsi="Times New Roman" w:cs="Times New Roman"/>
          <w:sz w:val="24"/>
        </w:rPr>
        <w:t xml:space="preserve">Egalement, Il faut savoir que le Goodwill, inscrit au compte 210 selon le plan comptable national algérien ne peut être comptabilisé en immobilisations </w:t>
      </w:r>
      <w:r w:rsidRPr="002A3F16">
        <w:rPr>
          <w:rFonts w:ascii="Times New Roman" w:hAnsi="Times New Roman" w:cs="Times New Roman"/>
          <w:sz w:val="24"/>
        </w:rPr>
        <w:lastRenderedPageBreak/>
        <w:t>incorporelles car celui-ci ne répond pas aux critères de comptabilisation. En effet, son coût ne peut être évalué de façon fiable ; de plus, il ne s'agit pas d'un élément identifiable contrôlé par l'entreprise.</w:t>
      </w:r>
    </w:p>
    <w:p w:rsidR="002A3F16" w:rsidRPr="002A3F16" w:rsidRDefault="002A3F16" w:rsidP="002A3F16">
      <w:pPr>
        <w:numPr>
          <w:ilvl w:val="0"/>
          <w:numId w:val="49"/>
        </w:numPr>
        <w:spacing w:before="60" w:beforeAutospacing="0" w:after="60" w:afterAutospacing="0" w:line="276" w:lineRule="auto"/>
        <w:contextualSpacing/>
        <w:jc w:val="both"/>
        <w:rPr>
          <w:rFonts w:ascii="Times New Roman" w:hAnsi="Times New Roman" w:cs="Times New Roman"/>
          <w:sz w:val="24"/>
        </w:rPr>
      </w:pPr>
      <w:r w:rsidRPr="002A3F16">
        <w:rPr>
          <w:rFonts w:ascii="Times New Roman" w:hAnsi="Times New Roman" w:cs="Times New Roman"/>
          <w:sz w:val="24"/>
        </w:rPr>
        <w:t>En conclusion, la nouvelle définition des actifs et passifs donne lieu à la suppression de certains actifs et passifs du bilan, tel est le cas : des frais préliminaires et certaines charges provisionnées ;</w:t>
      </w:r>
    </w:p>
    <w:p w:rsidR="002A3F16" w:rsidRPr="002A3F16" w:rsidRDefault="002A3F16" w:rsidP="002A3F16">
      <w:pPr>
        <w:numPr>
          <w:ilvl w:val="0"/>
          <w:numId w:val="49"/>
        </w:numPr>
        <w:spacing w:before="60" w:beforeAutospacing="0" w:after="60" w:afterAutospacing="0" w:line="276" w:lineRule="auto"/>
        <w:contextualSpacing/>
        <w:jc w:val="both"/>
        <w:rPr>
          <w:rFonts w:ascii="Times New Roman" w:hAnsi="Times New Roman" w:cs="Times New Roman"/>
          <w:sz w:val="24"/>
        </w:rPr>
      </w:pPr>
      <w:r w:rsidRPr="002A3F16">
        <w:rPr>
          <w:rFonts w:ascii="Times New Roman" w:hAnsi="Times New Roman" w:cs="Times New Roman"/>
          <w:sz w:val="24"/>
        </w:rPr>
        <w:t>Les critères de constatation des provisions pour charges sont différents ; dans le cadre du SCF il n’est plus autorisé de constituer des provisions pour des charges à venir, de ce fait une provision n’est comptabilisée que si elle résulte d’un événement passé ; en effet, le bilan est supposé être toujours le reflet de la situation financière de l'entreprise à la clôture de l'exercice et non le reflet de la situation financière future potentielle. Par conséquent, aucune provision ne peut être constituée pour des coûts futurs attendus (tels que les provisions pour grosses réparations et gros entretiens requises par le PCN) ;</w:t>
      </w:r>
    </w:p>
    <w:p w:rsidR="002A3F16" w:rsidRPr="002A3F16" w:rsidRDefault="002A3F16" w:rsidP="002A3F16">
      <w:pPr>
        <w:numPr>
          <w:ilvl w:val="0"/>
          <w:numId w:val="42"/>
        </w:numPr>
        <w:spacing w:before="60" w:beforeAutospacing="0" w:after="60" w:afterAutospacing="0" w:line="276" w:lineRule="auto"/>
        <w:ind w:left="357" w:hanging="357"/>
        <w:jc w:val="both"/>
        <w:rPr>
          <w:rFonts w:ascii="Times New Roman" w:eastAsia="Times New Roman" w:hAnsi="Times New Roman" w:cs="Times New Roman"/>
          <w:sz w:val="24"/>
          <w:szCs w:val="24"/>
          <w:lang w:eastAsia="fr-FR"/>
        </w:rPr>
      </w:pPr>
      <w:r w:rsidRPr="002A3F16">
        <w:rPr>
          <w:rFonts w:ascii="Times New Roman" w:eastAsia="Times New Roman" w:hAnsi="Times New Roman" w:cs="Times New Roman"/>
          <w:b/>
          <w:sz w:val="24"/>
          <w:szCs w:val="24"/>
          <w:lang w:eastAsia="fr-FR"/>
        </w:rPr>
        <w:t>Méthodes d’évaluation et d’estimation</w:t>
      </w:r>
    </w:p>
    <w:p w:rsidR="002A3F16" w:rsidRPr="002A3F16" w:rsidRDefault="002A3F16" w:rsidP="002A3F16">
      <w:pPr>
        <w:spacing w:before="60" w:beforeAutospacing="0" w:after="60" w:afterAutospacing="0" w:line="276" w:lineRule="auto"/>
        <w:ind w:firstLine="284"/>
        <w:jc w:val="both"/>
        <w:rPr>
          <w:rFonts w:ascii="Times New Roman" w:hAnsi="Times New Roman" w:cs="Times New Roman"/>
          <w:sz w:val="24"/>
        </w:rPr>
      </w:pPr>
      <w:r w:rsidRPr="002A3F16">
        <w:rPr>
          <w:rFonts w:ascii="Times New Roman" w:hAnsi="Times New Roman" w:cs="Times New Roman"/>
          <w:sz w:val="24"/>
        </w:rPr>
        <w:t>Au même titre que les règles de comptabilisation, les méthodes d’évaluation en SCF présentent des divergences par rapport à celles appliquées dans le cadre du PCN. Il s’agit des points suivants :</w:t>
      </w:r>
    </w:p>
    <w:p w:rsidR="002A3F16" w:rsidRPr="002A3F16" w:rsidRDefault="002A3F16" w:rsidP="002A3F16">
      <w:pPr>
        <w:numPr>
          <w:ilvl w:val="0"/>
          <w:numId w:val="43"/>
        </w:numPr>
        <w:spacing w:before="60" w:beforeAutospacing="0" w:after="60" w:afterAutospacing="0" w:line="276" w:lineRule="auto"/>
        <w:jc w:val="both"/>
        <w:rPr>
          <w:rFonts w:ascii="Times New Roman" w:eastAsia="Times New Roman" w:hAnsi="Times New Roman" w:cs="Times New Roman"/>
          <w:sz w:val="24"/>
          <w:szCs w:val="24"/>
          <w:lang w:eastAsia="fr-FR"/>
        </w:rPr>
      </w:pPr>
      <w:r w:rsidRPr="002A3F16">
        <w:rPr>
          <w:rFonts w:ascii="Times New Roman" w:eastAsia="Times New Roman" w:hAnsi="Times New Roman" w:cs="Times New Roman"/>
          <w:sz w:val="24"/>
          <w:szCs w:val="24"/>
          <w:lang w:eastAsia="fr-FR"/>
        </w:rPr>
        <w:t xml:space="preserve">Réévaluations ponctuelles des immobilisations interdites en PCN et permise en SCF </w:t>
      </w:r>
    </w:p>
    <w:p w:rsidR="002A3F16" w:rsidRPr="002A3F16" w:rsidRDefault="002A3F16" w:rsidP="002A3F16">
      <w:pPr>
        <w:numPr>
          <w:ilvl w:val="0"/>
          <w:numId w:val="43"/>
        </w:numPr>
        <w:spacing w:before="60" w:beforeAutospacing="0" w:after="60" w:afterAutospacing="0" w:line="276" w:lineRule="auto"/>
        <w:jc w:val="both"/>
        <w:rPr>
          <w:rFonts w:ascii="Times New Roman" w:eastAsia="Times New Roman" w:hAnsi="Times New Roman" w:cs="Times New Roman"/>
          <w:sz w:val="24"/>
          <w:szCs w:val="24"/>
          <w:lang w:eastAsia="fr-FR"/>
        </w:rPr>
      </w:pPr>
      <w:r w:rsidRPr="002A3F16">
        <w:rPr>
          <w:rFonts w:ascii="Times New Roman" w:eastAsia="Times New Roman" w:hAnsi="Times New Roman" w:cs="Times New Roman"/>
          <w:sz w:val="24"/>
          <w:szCs w:val="24"/>
          <w:lang w:eastAsia="fr-FR"/>
        </w:rPr>
        <w:t>Lors de l’évaluation initiale, la composition du coût des immobilisations et des stocks est différente (le coût d’acquisition, de réalisation ou de production est majoré des honoraires des professionnels, des frais de démantèlement</w:t>
      </w:r>
      <w:r w:rsidRPr="002A3F16">
        <w:rPr>
          <w:rFonts w:ascii="Times New Roman" w:hAnsi="Times New Roman" w:cs="Times New Roman"/>
          <w:sz w:val="24"/>
          <w:szCs w:val="24"/>
          <w:vertAlign w:val="superscript"/>
        </w:rPr>
        <w:footnoteReference w:id="101"/>
      </w:r>
      <w:r w:rsidRPr="002A3F16">
        <w:rPr>
          <w:rFonts w:ascii="Times New Roman" w:eastAsia="Times New Roman" w:hAnsi="Times New Roman" w:cs="Times New Roman"/>
          <w:sz w:val="24"/>
          <w:szCs w:val="24"/>
          <w:lang w:eastAsia="fr-FR"/>
        </w:rPr>
        <w:t xml:space="preserve"> en plus du coût d’emprunt</w:t>
      </w:r>
      <w:r w:rsidRPr="002A3F16">
        <w:rPr>
          <w:rFonts w:ascii="Times New Roman" w:hAnsi="Times New Roman" w:cs="Times New Roman"/>
          <w:sz w:val="24"/>
          <w:szCs w:val="24"/>
          <w:vertAlign w:val="superscript"/>
        </w:rPr>
        <w:footnoteReference w:id="102"/>
      </w:r>
      <w:r w:rsidRPr="002A3F16">
        <w:rPr>
          <w:rFonts w:ascii="Times New Roman" w:eastAsia="Times New Roman" w:hAnsi="Times New Roman" w:cs="Times New Roman"/>
          <w:sz w:val="24"/>
          <w:szCs w:val="24"/>
          <w:lang w:eastAsia="fr-FR"/>
        </w:rPr>
        <w:t xml:space="preserve"> ; Cependant les frais généraux et les frais de mise en exploitation, pendant la période intérimaire entre la fin de son installation (date d’arrêt du cumul des coûts d’entrée) et son utilisation à capacité normale, ne sont pas incluses au coût initial de l’actif.  </w:t>
      </w:r>
    </w:p>
    <w:p w:rsidR="002A3F16" w:rsidRPr="002A3F16" w:rsidRDefault="002A3F16" w:rsidP="002A3F16">
      <w:pPr>
        <w:numPr>
          <w:ilvl w:val="0"/>
          <w:numId w:val="43"/>
        </w:numPr>
        <w:spacing w:before="60" w:beforeAutospacing="0" w:after="60" w:afterAutospacing="0" w:line="276" w:lineRule="auto"/>
        <w:jc w:val="both"/>
        <w:rPr>
          <w:rFonts w:ascii="Times New Roman" w:eastAsia="Times New Roman" w:hAnsi="Times New Roman" w:cs="Times New Roman"/>
          <w:sz w:val="24"/>
          <w:szCs w:val="24"/>
          <w:lang w:eastAsia="fr-FR"/>
        </w:rPr>
      </w:pPr>
      <w:r w:rsidRPr="002A3F16">
        <w:rPr>
          <w:rFonts w:ascii="Times New Roman" w:eastAsia="Times New Roman" w:hAnsi="Times New Roman" w:cs="Times New Roman"/>
          <w:sz w:val="24"/>
          <w:szCs w:val="24"/>
          <w:lang w:eastAsia="fr-FR"/>
        </w:rPr>
        <w:t>Recours, en SCF, à la juste valeur pour l'évaluation de certains instruments financiers (détenue à des fins de transaction et des actifs financiers disponibles à la vente) ;</w:t>
      </w:r>
    </w:p>
    <w:p w:rsidR="002A3F16" w:rsidRPr="002A3F16" w:rsidRDefault="002A3F16" w:rsidP="002A3F16">
      <w:pPr>
        <w:numPr>
          <w:ilvl w:val="0"/>
          <w:numId w:val="43"/>
        </w:numPr>
        <w:spacing w:before="60" w:beforeAutospacing="0" w:after="60" w:afterAutospacing="0" w:line="276" w:lineRule="auto"/>
        <w:jc w:val="both"/>
        <w:rPr>
          <w:rFonts w:ascii="Times New Roman" w:eastAsia="Times New Roman" w:hAnsi="Times New Roman" w:cs="Times New Roman"/>
          <w:sz w:val="24"/>
          <w:szCs w:val="24"/>
          <w:lang w:eastAsia="fr-FR"/>
        </w:rPr>
      </w:pPr>
      <w:r w:rsidRPr="002A3F16">
        <w:rPr>
          <w:rFonts w:ascii="Times New Roman" w:eastAsia="Times New Roman" w:hAnsi="Times New Roman" w:cs="Times New Roman"/>
          <w:sz w:val="24"/>
          <w:szCs w:val="24"/>
          <w:lang w:eastAsia="fr-FR"/>
        </w:rPr>
        <w:t>Recours, en SCF, à la notion d'actualisation pour l'évaluation des prêts et créances (emprunt) émis par l'entreprise ;</w:t>
      </w:r>
    </w:p>
    <w:p w:rsidR="002A3F16" w:rsidRPr="002A3F16" w:rsidRDefault="002A3F16" w:rsidP="002A3F16">
      <w:pPr>
        <w:numPr>
          <w:ilvl w:val="0"/>
          <w:numId w:val="43"/>
        </w:numPr>
        <w:spacing w:before="60" w:beforeAutospacing="0" w:after="60" w:afterAutospacing="0" w:line="276" w:lineRule="auto"/>
        <w:jc w:val="both"/>
        <w:rPr>
          <w:rFonts w:ascii="Times New Roman" w:eastAsia="Times New Roman" w:hAnsi="Times New Roman" w:cs="Times New Roman"/>
          <w:sz w:val="24"/>
          <w:szCs w:val="24"/>
          <w:lang w:eastAsia="fr-FR"/>
        </w:rPr>
      </w:pPr>
      <w:r w:rsidRPr="002A3F16">
        <w:rPr>
          <w:rFonts w:ascii="Times New Roman" w:eastAsia="Times New Roman" w:hAnsi="Times New Roman" w:cs="Times New Roman"/>
          <w:sz w:val="24"/>
          <w:szCs w:val="24"/>
          <w:lang w:eastAsia="fr-FR"/>
        </w:rPr>
        <w:t>Constatation de perte de valeur sur actif (provision pour dépréciation selon PCN).</w:t>
      </w:r>
    </w:p>
    <w:p w:rsidR="002A3F16" w:rsidRPr="002A3F16" w:rsidRDefault="002A3F16" w:rsidP="002A3F16">
      <w:pPr>
        <w:numPr>
          <w:ilvl w:val="0"/>
          <w:numId w:val="43"/>
        </w:numPr>
        <w:spacing w:before="60" w:beforeAutospacing="0" w:after="60" w:afterAutospacing="0" w:line="276" w:lineRule="auto"/>
        <w:jc w:val="both"/>
        <w:rPr>
          <w:rFonts w:ascii="Times New Roman" w:eastAsia="Times New Roman" w:hAnsi="Times New Roman" w:cs="Times New Roman"/>
          <w:sz w:val="24"/>
          <w:szCs w:val="24"/>
          <w:lang w:eastAsia="fr-FR"/>
        </w:rPr>
      </w:pPr>
      <w:r w:rsidRPr="002A3F16">
        <w:rPr>
          <w:rFonts w:ascii="Times New Roman" w:eastAsia="Times New Roman" w:hAnsi="Times New Roman" w:cs="Times New Roman"/>
          <w:sz w:val="24"/>
          <w:szCs w:val="24"/>
          <w:lang w:eastAsia="fr-FR"/>
        </w:rPr>
        <w:t>Pour le suivi des stocks, le SCF n’autorise que deux méthodes : la méthode FIFO ou le coût moyen pondéré ;</w:t>
      </w:r>
    </w:p>
    <w:p w:rsidR="002A3F16" w:rsidRPr="002A3F16" w:rsidRDefault="002A3F16" w:rsidP="002A3F16">
      <w:pPr>
        <w:numPr>
          <w:ilvl w:val="0"/>
          <w:numId w:val="43"/>
        </w:numPr>
        <w:spacing w:before="60" w:beforeAutospacing="0" w:after="60" w:afterAutospacing="0" w:line="276" w:lineRule="auto"/>
        <w:jc w:val="both"/>
        <w:rPr>
          <w:rFonts w:ascii="Times New Roman" w:eastAsia="Times New Roman" w:hAnsi="Times New Roman" w:cs="Times New Roman"/>
          <w:sz w:val="24"/>
          <w:szCs w:val="24"/>
          <w:lang w:eastAsia="fr-FR"/>
        </w:rPr>
      </w:pPr>
      <w:r w:rsidRPr="002A3F16">
        <w:rPr>
          <w:rFonts w:ascii="Times New Roman" w:eastAsia="Times New Roman" w:hAnsi="Times New Roman" w:cs="Times New Roman"/>
          <w:sz w:val="24"/>
          <w:szCs w:val="24"/>
          <w:lang w:eastAsia="fr-FR"/>
        </w:rPr>
        <w:lastRenderedPageBreak/>
        <w:t>Les durées et méthodes d'amortissements sont basées uniquement sur des facteurs économiques, en revanche, elles étaient souvent influencées par des considérations fiscales dans le cadre du PCN.</w:t>
      </w:r>
    </w:p>
    <w:p w:rsidR="002A3F16" w:rsidRPr="002A3F16" w:rsidRDefault="002A3F16" w:rsidP="002A3F16">
      <w:pPr>
        <w:numPr>
          <w:ilvl w:val="0"/>
          <w:numId w:val="43"/>
        </w:numPr>
        <w:spacing w:before="60" w:beforeAutospacing="0" w:after="60" w:afterAutospacing="0" w:line="276" w:lineRule="auto"/>
        <w:contextualSpacing/>
        <w:jc w:val="both"/>
        <w:rPr>
          <w:rFonts w:ascii="Times New Roman" w:eastAsia="Calibri" w:hAnsi="Times New Roman" w:cs="Times New Roman"/>
          <w:sz w:val="24"/>
          <w:lang w:eastAsia="fr-FR"/>
        </w:rPr>
      </w:pPr>
      <w:r w:rsidRPr="002A3F16">
        <w:rPr>
          <w:rFonts w:ascii="Times New Roman" w:eastAsia="Calibri" w:hAnsi="Times New Roman" w:cs="Times New Roman"/>
          <w:sz w:val="24"/>
          <w:lang w:eastAsia="fr-FR"/>
        </w:rPr>
        <w:t>A la différence du PCN, le SCF traite en détail les notions relatives au traitement des avantages au personnel. En effet, il introduit deux nouvelles notions :</w:t>
      </w:r>
    </w:p>
    <w:p w:rsidR="002A3F16" w:rsidRPr="002A3F16" w:rsidRDefault="002A3F16" w:rsidP="002A3F16">
      <w:pPr>
        <w:numPr>
          <w:ilvl w:val="0"/>
          <w:numId w:val="45"/>
        </w:numPr>
        <w:spacing w:before="60" w:beforeAutospacing="0" w:after="60" w:afterAutospacing="0" w:line="276" w:lineRule="auto"/>
        <w:jc w:val="both"/>
        <w:rPr>
          <w:rFonts w:ascii="Times New Roman" w:eastAsia="Calibri" w:hAnsi="Times New Roman" w:cs="Times New Roman"/>
          <w:sz w:val="24"/>
        </w:rPr>
      </w:pPr>
      <w:r w:rsidRPr="002A3F16">
        <w:rPr>
          <w:rFonts w:ascii="Times New Roman" w:eastAsia="Calibri" w:hAnsi="Times New Roman" w:cs="Times New Roman"/>
          <w:b/>
          <w:bCs/>
          <w:i/>
          <w:iCs/>
          <w:sz w:val="24"/>
        </w:rPr>
        <w:t>La notion de provisionnement :</w:t>
      </w:r>
      <w:r w:rsidRPr="002A3F16">
        <w:rPr>
          <w:rFonts w:ascii="Times New Roman" w:eastAsia="Calibri" w:hAnsi="Times New Roman" w:cs="Times New Roman"/>
          <w:sz w:val="24"/>
        </w:rPr>
        <w:t xml:space="preserve"> qui consiste à constater des provisions pour droits acquis chaque exercice. </w:t>
      </w:r>
    </w:p>
    <w:p w:rsidR="002A3F16" w:rsidRPr="002A3F16" w:rsidRDefault="002A3F16" w:rsidP="002A3F16">
      <w:pPr>
        <w:numPr>
          <w:ilvl w:val="0"/>
          <w:numId w:val="45"/>
        </w:numPr>
        <w:spacing w:before="60" w:beforeAutospacing="0" w:after="60" w:afterAutospacing="0" w:line="276" w:lineRule="auto"/>
        <w:jc w:val="both"/>
        <w:rPr>
          <w:rFonts w:ascii="Times New Roman" w:eastAsia="Calibri" w:hAnsi="Times New Roman" w:cs="Times New Roman"/>
          <w:sz w:val="24"/>
        </w:rPr>
      </w:pPr>
      <w:r w:rsidRPr="002A3F16">
        <w:rPr>
          <w:rFonts w:ascii="Times New Roman" w:eastAsia="Calibri" w:hAnsi="Times New Roman" w:cs="Times New Roman"/>
          <w:b/>
          <w:bCs/>
          <w:i/>
          <w:iCs/>
          <w:sz w:val="24"/>
        </w:rPr>
        <w:t>La notion de calcul actuariel :</w:t>
      </w:r>
      <w:r w:rsidRPr="002A3F16">
        <w:rPr>
          <w:rFonts w:ascii="Times New Roman" w:eastAsia="Calibri" w:hAnsi="Times New Roman" w:cs="Times New Roman"/>
          <w:sz w:val="24"/>
        </w:rPr>
        <w:t xml:space="preserve"> Dont l’objectif est la détermination de la valeur actuelle d’un montant exigible à une date future, la valeur d’une unité monétaire actuelle n’étant pas la même que sa valeur future ; ce calcul prend en compte un taux d’actualisation défini suivant des méthodes de calcul basées sur des probabilités.</w:t>
      </w:r>
    </w:p>
    <w:p w:rsidR="002A3F16" w:rsidRPr="002A3F16" w:rsidRDefault="002A3F16" w:rsidP="002A3F16">
      <w:pPr>
        <w:numPr>
          <w:ilvl w:val="0"/>
          <w:numId w:val="43"/>
        </w:numPr>
        <w:spacing w:before="60" w:beforeAutospacing="0" w:after="60" w:afterAutospacing="0" w:line="276" w:lineRule="auto"/>
        <w:ind w:left="357" w:hanging="357"/>
        <w:jc w:val="both"/>
        <w:rPr>
          <w:rFonts w:ascii="Times New Roman" w:eastAsia="Times New Roman" w:hAnsi="Times New Roman" w:cs="Times New Roman"/>
          <w:sz w:val="24"/>
          <w:szCs w:val="24"/>
          <w:lang w:eastAsia="fr-FR"/>
        </w:rPr>
      </w:pPr>
      <w:r w:rsidRPr="002A3F16">
        <w:rPr>
          <w:rFonts w:ascii="Times New Roman" w:eastAsia="Times New Roman" w:hAnsi="Times New Roman" w:cs="Times New Roman"/>
          <w:sz w:val="24"/>
          <w:szCs w:val="24"/>
          <w:lang w:eastAsia="fr-FR"/>
        </w:rPr>
        <w:t>Le SCF traite aussi l'évaluation de certains éléments, comme les actifs et passif en monnaies étrangers, les événements postérieurs à la clôture, les prestations et services en cours en fin d'exercice, qui n’étaient pas traités en PCN.</w:t>
      </w:r>
    </w:p>
    <w:p w:rsidR="002A3F16" w:rsidRPr="002A3F16" w:rsidRDefault="002A3F16" w:rsidP="002A3F16">
      <w:pPr>
        <w:numPr>
          <w:ilvl w:val="0"/>
          <w:numId w:val="42"/>
        </w:numPr>
        <w:spacing w:before="60" w:beforeAutospacing="0" w:after="60" w:afterAutospacing="0" w:line="276" w:lineRule="auto"/>
        <w:ind w:left="357" w:hanging="357"/>
        <w:jc w:val="both"/>
        <w:rPr>
          <w:rFonts w:ascii="Times New Roman" w:eastAsia="Times New Roman" w:hAnsi="Times New Roman" w:cs="Times New Roman"/>
          <w:sz w:val="24"/>
          <w:szCs w:val="24"/>
          <w:lang w:eastAsia="fr-FR"/>
        </w:rPr>
      </w:pPr>
      <w:r w:rsidRPr="002A3F16">
        <w:rPr>
          <w:rFonts w:ascii="Times New Roman" w:eastAsia="Times New Roman" w:hAnsi="Times New Roman" w:cs="Times New Roman"/>
          <w:b/>
          <w:sz w:val="24"/>
          <w:szCs w:val="24"/>
          <w:lang w:eastAsia="fr-FR"/>
        </w:rPr>
        <w:t>Présentation des états financiers</w:t>
      </w:r>
    </w:p>
    <w:p w:rsidR="002A3F16" w:rsidRPr="002A3F16" w:rsidRDefault="002A3F16" w:rsidP="002A3F16">
      <w:pPr>
        <w:numPr>
          <w:ilvl w:val="0"/>
          <w:numId w:val="44"/>
        </w:numPr>
        <w:spacing w:before="60" w:beforeAutospacing="0" w:after="60" w:afterAutospacing="0" w:line="276" w:lineRule="auto"/>
        <w:ind w:left="357" w:hanging="357"/>
        <w:jc w:val="both"/>
        <w:rPr>
          <w:rFonts w:ascii="Times New Roman" w:eastAsia="Times New Roman" w:hAnsi="Times New Roman" w:cs="Times New Roman"/>
          <w:sz w:val="24"/>
          <w:szCs w:val="15"/>
          <w:lang w:eastAsia="fr-FR"/>
        </w:rPr>
      </w:pPr>
      <w:r w:rsidRPr="002A3F16">
        <w:rPr>
          <w:rFonts w:ascii="Times New Roman" w:eastAsia="Times New Roman" w:hAnsi="Times New Roman" w:cs="Times New Roman"/>
          <w:bCs/>
          <w:iCs/>
          <w:sz w:val="24"/>
          <w:szCs w:val="15"/>
          <w:lang w:eastAsia="fr-FR"/>
        </w:rPr>
        <w:t>Le PCN imposait aux entités de présenter 17 tableaux de synthèse dont le bilan et le compte de résultat. Alors que, le SCF a remplacé ces tableaux par cinq (05) états financiers à publier obligatoirement au moins une fois par an. Parmi ces états, on trouve l’état de variation des capitaux propres, le tableau des flux de trésorerie et l’annexe qui représentent des notions tout à fait nouvelles, sachant que les entreprises algériennes n’avaient pas l’habitude de présenter ces états même dans le cadre d’autres utilisations.</w:t>
      </w:r>
    </w:p>
    <w:p w:rsidR="002A3F16" w:rsidRPr="002A3F16" w:rsidRDefault="002A3F16" w:rsidP="002A3F16">
      <w:pPr>
        <w:numPr>
          <w:ilvl w:val="0"/>
          <w:numId w:val="44"/>
        </w:numPr>
        <w:spacing w:before="60" w:beforeAutospacing="0" w:after="60" w:afterAutospacing="0" w:line="276" w:lineRule="auto"/>
        <w:ind w:left="357" w:hanging="357"/>
        <w:jc w:val="both"/>
        <w:rPr>
          <w:rFonts w:ascii="Times New Roman" w:eastAsia="Times New Roman" w:hAnsi="Times New Roman" w:cs="Times New Roman"/>
          <w:sz w:val="24"/>
          <w:szCs w:val="15"/>
          <w:lang w:eastAsia="fr-FR"/>
        </w:rPr>
      </w:pPr>
      <w:r w:rsidRPr="002A3F16">
        <w:rPr>
          <w:rFonts w:ascii="Times New Roman" w:eastAsia="Times New Roman" w:hAnsi="Times New Roman" w:cs="Times New Roman"/>
          <w:sz w:val="24"/>
          <w:szCs w:val="15"/>
          <w:lang w:eastAsia="fr-FR"/>
        </w:rPr>
        <w:t>Contrairement au PCN, le SCF permet la distinction entre les actifs courants/non courants et entre les passifs courants/non courants, ainsi que la classification des dettes et des créances par nature, ce qui facilitera l'analyse financière ;</w:t>
      </w:r>
    </w:p>
    <w:p w:rsidR="002A3F16" w:rsidRPr="002A3F16" w:rsidRDefault="002A3F16" w:rsidP="002A3F16">
      <w:pPr>
        <w:numPr>
          <w:ilvl w:val="0"/>
          <w:numId w:val="44"/>
        </w:numPr>
        <w:spacing w:before="60" w:beforeAutospacing="0" w:after="60" w:afterAutospacing="0" w:line="276" w:lineRule="auto"/>
        <w:ind w:left="357" w:hanging="357"/>
        <w:jc w:val="both"/>
        <w:rPr>
          <w:rFonts w:ascii="Times New Roman" w:eastAsia="Times New Roman" w:hAnsi="Times New Roman" w:cs="Times New Roman"/>
          <w:sz w:val="24"/>
          <w:szCs w:val="15"/>
          <w:lang w:eastAsia="fr-FR"/>
        </w:rPr>
      </w:pPr>
      <w:r w:rsidRPr="002A3F16">
        <w:rPr>
          <w:rFonts w:ascii="Times New Roman" w:eastAsia="Times New Roman" w:hAnsi="Times New Roman" w:cs="Times New Roman"/>
          <w:sz w:val="24"/>
          <w:szCs w:val="15"/>
          <w:lang w:eastAsia="fr-FR"/>
        </w:rPr>
        <w:t>La forme des états financiers fait référence aux données de l'exercice précédent, pour répondre au principe de comparabilité. De plus, la préparation de ces états est faite selon le principe d’importance relative, ce qui donne lieu à des regroupements significatifs des informations contenues dans les états financiers ;</w:t>
      </w:r>
    </w:p>
    <w:p w:rsidR="002A3F16" w:rsidRPr="002A3F16" w:rsidRDefault="002A3F16" w:rsidP="002A3F16">
      <w:pPr>
        <w:numPr>
          <w:ilvl w:val="0"/>
          <w:numId w:val="44"/>
        </w:numPr>
        <w:spacing w:before="60" w:beforeAutospacing="0" w:after="60" w:afterAutospacing="0" w:line="276" w:lineRule="auto"/>
        <w:ind w:left="357" w:hanging="357"/>
        <w:jc w:val="both"/>
        <w:rPr>
          <w:rFonts w:ascii="Times New Roman" w:eastAsia="Times New Roman" w:hAnsi="Times New Roman" w:cs="Times New Roman"/>
          <w:sz w:val="24"/>
          <w:szCs w:val="15"/>
          <w:lang w:eastAsia="fr-FR"/>
        </w:rPr>
      </w:pPr>
      <w:r w:rsidRPr="002A3F16">
        <w:rPr>
          <w:rFonts w:ascii="Times New Roman" w:eastAsia="Times New Roman" w:hAnsi="Times New Roman" w:cs="Times New Roman"/>
          <w:sz w:val="24"/>
          <w:szCs w:val="15"/>
          <w:lang w:eastAsia="fr-FR"/>
        </w:rPr>
        <w:t>Au niveau du bilan, la situation économique est privilégiée à la situation patrimoniale ;</w:t>
      </w:r>
    </w:p>
    <w:p w:rsidR="002A3F16" w:rsidRPr="002A3F16" w:rsidRDefault="002A3F16" w:rsidP="002A3F16">
      <w:pPr>
        <w:numPr>
          <w:ilvl w:val="0"/>
          <w:numId w:val="44"/>
        </w:numPr>
        <w:spacing w:before="60" w:beforeAutospacing="0" w:after="60" w:afterAutospacing="0" w:line="276" w:lineRule="auto"/>
        <w:ind w:left="357" w:hanging="357"/>
        <w:jc w:val="both"/>
        <w:rPr>
          <w:rFonts w:ascii="Times New Roman" w:eastAsia="Times New Roman" w:hAnsi="Times New Roman" w:cs="Times New Roman"/>
          <w:sz w:val="24"/>
          <w:szCs w:val="15"/>
          <w:lang w:eastAsia="fr-FR"/>
        </w:rPr>
      </w:pPr>
      <w:r w:rsidRPr="002A3F16">
        <w:rPr>
          <w:rFonts w:ascii="Times New Roman" w:eastAsia="Times New Roman" w:hAnsi="Times New Roman" w:cs="Times New Roman"/>
          <w:sz w:val="24"/>
          <w:szCs w:val="15"/>
          <w:lang w:eastAsia="fr-FR"/>
        </w:rPr>
        <w:t>Le TCR fait distinction entre le résultat opérationnel et le résultat financier et fait ressortir certains soldes intermédiaires de gestion reconnus au niveau international.</w:t>
      </w:r>
    </w:p>
    <w:p w:rsidR="002A3F16" w:rsidRPr="002A3F16" w:rsidRDefault="002A3F16" w:rsidP="002A3F16">
      <w:pPr>
        <w:spacing w:before="60" w:beforeAutospacing="0" w:after="60" w:afterAutospacing="0" w:line="276" w:lineRule="auto"/>
        <w:ind w:firstLine="284"/>
        <w:jc w:val="both"/>
        <w:rPr>
          <w:rFonts w:ascii="Times New Roman" w:hAnsi="Times New Roman" w:cs="Times New Roman"/>
          <w:bCs/>
          <w:sz w:val="24"/>
          <w:szCs w:val="24"/>
        </w:rPr>
      </w:pPr>
      <w:r w:rsidRPr="002A3F16">
        <w:rPr>
          <w:rFonts w:ascii="Times New Roman" w:hAnsi="Times New Roman" w:cs="Times New Roman"/>
          <w:bCs/>
          <w:sz w:val="24"/>
          <w:szCs w:val="24"/>
        </w:rPr>
        <w:t>En plus de ces éléments, le SCF a introduit d’autres notions qui n’ont pas été traitées par le PCN. C’est le cas des impôts différés qui constituent un aspect tout à fait nouveau introduit par le SCF.</w:t>
      </w:r>
    </w:p>
    <w:p w:rsidR="002A3F16" w:rsidRPr="002A3F16" w:rsidRDefault="002A3F16" w:rsidP="002A3F16">
      <w:pPr>
        <w:spacing w:before="120" w:beforeAutospacing="0" w:after="120" w:afterAutospacing="0" w:line="276" w:lineRule="auto"/>
        <w:ind w:left="567" w:hanging="567"/>
        <w:jc w:val="both"/>
        <w:rPr>
          <w:rFonts w:ascii="Times New Roman" w:hAnsi="Times New Roman" w:cs="Times New Roman"/>
          <w:b/>
          <w:sz w:val="26"/>
          <w:szCs w:val="26"/>
        </w:rPr>
      </w:pPr>
      <w:r w:rsidRPr="002A3F16">
        <w:rPr>
          <w:rFonts w:ascii="Times New Roman" w:hAnsi="Times New Roman" w:cs="Times New Roman"/>
          <w:b/>
          <w:sz w:val="26"/>
          <w:szCs w:val="26"/>
        </w:rPr>
        <w:lastRenderedPageBreak/>
        <w:t>3.3. L’impact d’application des normes du Système Comptable et Financier sur les capitaux propres et résultats des entreprises</w:t>
      </w:r>
    </w:p>
    <w:p w:rsidR="002A3F16" w:rsidRPr="002A3F16" w:rsidRDefault="002A3F16" w:rsidP="002A3F16">
      <w:pPr>
        <w:spacing w:before="60" w:beforeAutospacing="0" w:after="60" w:afterAutospacing="0" w:line="276" w:lineRule="auto"/>
        <w:ind w:firstLine="284"/>
        <w:jc w:val="both"/>
        <w:rPr>
          <w:rFonts w:ascii="Times New Roman" w:hAnsi="Times New Roman" w:cs="Times New Roman"/>
          <w:bCs/>
          <w:sz w:val="24"/>
          <w:szCs w:val="24"/>
        </w:rPr>
      </w:pPr>
      <w:r w:rsidRPr="002A3F16">
        <w:rPr>
          <w:rFonts w:ascii="Times New Roman" w:hAnsi="Times New Roman" w:cs="Times New Roman"/>
          <w:bCs/>
          <w:sz w:val="24"/>
          <w:szCs w:val="24"/>
        </w:rPr>
        <w:t xml:space="preserve">Pour la première application du SCF, l’impact constaté sur les capitaux propres et résultats des entreprises est lié principalement à l’application des nouvelles dispositions arrêtées (dans le cadre du nouveau système), en matière de traitement comptable relatif à certains éléments ou opérations tels que : le traitement des immobilisations, les impôts différés, le traitement des avantages liés au personnel et autres. </w:t>
      </w:r>
    </w:p>
    <w:p w:rsidR="002A3F16" w:rsidRPr="002A3F16" w:rsidRDefault="002A3F16" w:rsidP="002A3F16">
      <w:pPr>
        <w:spacing w:before="60" w:beforeAutospacing="0" w:after="60" w:afterAutospacing="0" w:line="276" w:lineRule="auto"/>
        <w:ind w:firstLine="284"/>
        <w:jc w:val="both"/>
        <w:rPr>
          <w:rFonts w:ascii="Times New Roman" w:hAnsi="Times New Roman" w:cs="Times New Roman"/>
          <w:bCs/>
          <w:sz w:val="24"/>
          <w:szCs w:val="24"/>
        </w:rPr>
      </w:pPr>
      <w:r w:rsidRPr="002A3F16">
        <w:rPr>
          <w:rFonts w:ascii="Times New Roman" w:hAnsi="Times New Roman" w:cs="Times New Roman"/>
          <w:bCs/>
          <w:sz w:val="24"/>
          <w:szCs w:val="24"/>
        </w:rPr>
        <w:t>En outre, il est à noter que l’impact sur les capitaux propres peut être définitif ou temporaire, suivant les cas cités ci-après.</w:t>
      </w:r>
    </w:p>
    <w:p w:rsidR="002A3F16" w:rsidRPr="002A3F16" w:rsidRDefault="002A3F16" w:rsidP="002A3F16">
      <w:pPr>
        <w:numPr>
          <w:ilvl w:val="0"/>
          <w:numId w:val="44"/>
        </w:numPr>
        <w:spacing w:before="60" w:beforeAutospacing="0" w:after="60" w:afterAutospacing="0" w:line="276" w:lineRule="auto"/>
        <w:contextualSpacing/>
        <w:jc w:val="both"/>
        <w:rPr>
          <w:rFonts w:ascii="Times New Roman" w:hAnsi="Times New Roman" w:cs="Times New Roman"/>
          <w:bCs/>
          <w:sz w:val="24"/>
          <w:szCs w:val="24"/>
        </w:rPr>
      </w:pPr>
      <w:r w:rsidRPr="002A3F16">
        <w:rPr>
          <w:rFonts w:ascii="Times New Roman" w:hAnsi="Times New Roman" w:cs="Times New Roman"/>
          <w:bCs/>
          <w:sz w:val="24"/>
          <w:szCs w:val="24"/>
        </w:rPr>
        <w:t xml:space="preserve">Impact définitif : cet impact est constaté dans le cas où le traitement effectué concerne des normes qui sont supposées impacter les résultats si elles étaient toujours appliquées, et où l’impact est enregistré en capitaux propres du fait de leur première application. Il s’agit à titre d’exemple, de l’impact lié à la comptabilisation des avantages au personnel non constatés (avant la transition au SCF) ; </w:t>
      </w:r>
    </w:p>
    <w:p w:rsidR="002A3F16" w:rsidRPr="002A3F16" w:rsidRDefault="002A3F16" w:rsidP="002A3F16">
      <w:pPr>
        <w:numPr>
          <w:ilvl w:val="0"/>
          <w:numId w:val="44"/>
        </w:numPr>
        <w:spacing w:before="60" w:beforeAutospacing="0" w:after="60" w:afterAutospacing="0" w:line="276" w:lineRule="auto"/>
        <w:contextualSpacing/>
        <w:jc w:val="both"/>
        <w:rPr>
          <w:rFonts w:ascii="Times New Roman" w:hAnsi="Times New Roman" w:cs="Times New Roman"/>
          <w:bCs/>
          <w:sz w:val="24"/>
          <w:szCs w:val="24"/>
        </w:rPr>
      </w:pPr>
      <w:r w:rsidRPr="002A3F16">
        <w:rPr>
          <w:rFonts w:ascii="Times New Roman" w:hAnsi="Times New Roman" w:cs="Times New Roman"/>
          <w:bCs/>
          <w:sz w:val="24"/>
          <w:szCs w:val="24"/>
        </w:rPr>
        <w:t>Impact temporaire : il concerne le traitement lié à des normes  qui  impactent les capitaux propres si elles étaient toujours appliquées. Il s’agit par  exemple des écarts de réévaluation ou d’évaluation.</w:t>
      </w:r>
    </w:p>
    <w:p w:rsidR="002A3F16" w:rsidRPr="002A3F16" w:rsidRDefault="002A3F16" w:rsidP="002A3F16">
      <w:pPr>
        <w:spacing w:before="60" w:beforeAutospacing="0" w:after="60" w:afterAutospacing="0" w:line="276" w:lineRule="auto"/>
        <w:jc w:val="both"/>
        <w:rPr>
          <w:rFonts w:ascii="Times New Roman" w:hAnsi="Times New Roman" w:cs="Times New Roman"/>
          <w:bCs/>
          <w:sz w:val="24"/>
          <w:szCs w:val="24"/>
        </w:rPr>
      </w:pPr>
      <w:r w:rsidRPr="002A3F16">
        <w:rPr>
          <w:rFonts w:ascii="Times New Roman" w:hAnsi="Times New Roman" w:cs="Times New Roman"/>
          <w:bCs/>
          <w:sz w:val="24"/>
          <w:szCs w:val="24"/>
        </w:rPr>
        <w:t>Au même titre, les décalages constatés sur le compte de résultat entre le résultat PCN et celui obtenu après retraitement selon le SCF peuvent également être définitifs ou temporaires :</w:t>
      </w:r>
    </w:p>
    <w:p w:rsidR="002A3F16" w:rsidRPr="002A3F16" w:rsidRDefault="002A3F16" w:rsidP="002A3F16">
      <w:pPr>
        <w:numPr>
          <w:ilvl w:val="0"/>
          <w:numId w:val="44"/>
        </w:numPr>
        <w:spacing w:before="60" w:beforeAutospacing="0" w:after="60" w:afterAutospacing="0" w:line="276" w:lineRule="auto"/>
        <w:contextualSpacing/>
        <w:jc w:val="both"/>
        <w:rPr>
          <w:rFonts w:ascii="Times New Roman" w:hAnsi="Times New Roman" w:cs="Times New Roman"/>
          <w:bCs/>
          <w:sz w:val="24"/>
          <w:szCs w:val="24"/>
        </w:rPr>
      </w:pPr>
      <w:r w:rsidRPr="002A3F16">
        <w:rPr>
          <w:rFonts w:ascii="Times New Roman" w:hAnsi="Times New Roman" w:cs="Times New Roman"/>
          <w:bCs/>
          <w:sz w:val="24"/>
          <w:szCs w:val="24"/>
        </w:rPr>
        <w:t>Ces décalages sont définitifs dans le cas où le nouveau référentiel interdit ou rend obligatoire un traitement comptable ;</w:t>
      </w:r>
    </w:p>
    <w:p w:rsidR="002A3F16" w:rsidRPr="002A3F16" w:rsidRDefault="002A3F16" w:rsidP="002A3F16">
      <w:pPr>
        <w:numPr>
          <w:ilvl w:val="0"/>
          <w:numId w:val="44"/>
        </w:numPr>
        <w:spacing w:before="60" w:beforeAutospacing="0" w:after="60" w:afterAutospacing="0" w:line="276" w:lineRule="auto"/>
        <w:contextualSpacing/>
        <w:jc w:val="both"/>
        <w:rPr>
          <w:rFonts w:ascii="Times New Roman" w:hAnsi="Times New Roman" w:cs="Times New Roman"/>
          <w:bCs/>
          <w:sz w:val="24"/>
          <w:szCs w:val="24"/>
        </w:rPr>
      </w:pPr>
      <w:r w:rsidRPr="002A3F16">
        <w:rPr>
          <w:rFonts w:ascii="Times New Roman" w:hAnsi="Times New Roman" w:cs="Times New Roman"/>
          <w:bCs/>
          <w:sz w:val="24"/>
          <w:szCs w:val="24"/>
        </w:rPr>
        <w:t>Hors que, les effets temporaires sont dus à des modes d’évaluation différents ou à une prise en compte différente des résultats dans le temps. Exemple : étalement actuariel des primes.</w:t>
      </w:r>
    </w:p>
    <w:p w:rsidR="002A3F16" w:rsidRPr="002A3F16" w:rsidRDefault="002A3F16" w:rsidP="002A3F16">
      <w:pPr>
        <w:spacing w:before="60" w:beforeAutospacing="0" w:after="60" w:afterAutospacing="0" w:line="276" w:lineRule="auto"/>
        <w:ind w:firstLine="284"/>
        <w:jc w:val="both"/>
        <w:rPr>
          <w:rFonts w:ascii="Times New Roman" w:hAnsi="Times New Roman" w:cs="Times New Roman"/>
          <w:bCs/>
          <w:sz w:val="24"/>
          <w:szCs w:val="24"/>
        </w:rPr>
      </w:pPr>
      <w:r w:rsidRPr="002A3F16">
        <w:rPr>
          <w:rFonts w:ascii="Times New Roman" w:hAnsi="Times New Roman" w:cs="Times New Roman"/>
          <w:bCs/>
          <w:sz w:val="24"/>
          <w:szCs w:val="24"/>
        </w:rPr>
        <w:t>Nous présenterons dans ce qui suit les principales dispositions du SCF qui peuvent donner lieu à un impact sur les comptes des entreprises.</w:t>
      </w:r>
    </w:p>
    <w:p w:rsidR="002A3F16" w:rsidRPr="002A3F16" w:rsidRDefault="002A3F16" w:rsidP="002A3F16">
      <w:pPr>
        <w:spacing w:before="60" w:beforeAutospacing="0" w:after="60" w:afterAutospacing="0" w:line="276" w:lineRule="auto"/>
        <w:jc w:val="both"/>
        <w:rPr>
          <w:rFonts w:ascii="Times New Roman" w:hAnsi="Times New Roman" w:cs="Times New Roman"/>
          <w:bCs/>
          <w:sz w:val="24"/>
          <w:szCs w:val="24"/>
        </w:rPr>
      </w:pPr>
      <w:r w:rsidRPr="002A3F16">
        <w:rPr>
          <w:rFonts w:ascii="Times New Roman" w:hAnsi="Times New Roman" w:cs="Times New Roman"/>
          <w:b/>
          <w:bCs/>
          <w:sz w:val="24"/>
          <w:szCs w:val="24"/>
        </w:rPr>
        <w:t>3.3.1.</w:t>
      </w:r>
      <w:r w:rsidRPr="002A3F16">
        <w:rPr>
          <w:rFonts w:ascii="Times New Roman" w:hAnsi="Times New Roman" w:cs="Times New Roman"/>
          <w:bCs/>
          <w:sz w:val="24"/>
          <w:szCs w:val="24"/>
        </w:rPr>
        <w:t xml:space="preserve"> </w:t>
      </w:r>
      <w:r w:rsidRPr="002A3F16">
        <w:rPr>
          <w:rFonts w:ascii="Times New Roman" w:hAnsi="Times New Roman" w:cs="Times New Roman"/>
          <w:b/>
          <w:bCs/>
          <w:sz w:val="24"/>
          <w:szCs w:val="24"/>
        </w:rPr>
        <w:t>Traitement des immobilisations corporelles et incorporelles</w:t>
      </w:r>
    </w:p>
    <w:p w:rsidR="002A3F16" w:rsidRPr="002A3F16" w:rsidRDefault="002A3F16" w:rsidP="002A3F16">
      <w:pPr>
        <w:spacing w:before="60" w:beforeAutospacing="0" w:after="60" w:afterAutospacing="0" w:line="276" w:lineRule="auto"/>
        <w:ind w:firstLine="284"/>
        <w:jc w:val="both"/>
        <w:rPr>
          <w:rFonts w:ascii="Times New Roman" w:hAnsi="Times New Roman" w:cs="Times New Roman"/>
          <w:bCs/>
          <w:sz w:val="24"/>
          <w:szCs w:val="24"/>
        </w:rPr>
      </w:pPr>
      <w:r w:rsidRPr="002A3F16">
        <w:rPr>
          <w:rFonts w:ascii="Times New Roman" w:hAnsi="Times New Roman" w:cs="Times New Roman"/>
          <w:bCs/>
          <w:sz w:val="24"/>
          <w:szCs w:val="24"/>
        </w:rPr>
        <w:t>Une immobilisation corporelle est définie comme  étant "un actif corporel détenu par une entité pour la production, la fourniture de services, la location, l’utilisation à des fins administratives et dont la durée d’utilisation est censée se prolonger au-delà de la durée d’un exercice"</w:t>
      </w:r>
      <w:r w:rsidRPr="002A3F16">
        <w:rPr>
          <w:rFonts w:ascii="Times New Roman" w:hAnsi="Times New Roman" w:cs="Times New Roman"/>
          <w:bCs/>
          <w:sz w:val="24"/>
          <w:szCs w:val="24"/>
          <w:vertAlign w:val="superscript"/>
        </w:rPr>
        <w:footnoteReference w:id="103"/>
      </w:r>
      <w:r w:rsidRPr="002A3F16">
        <w:rPr>
          <w:rFonts w:ascii="Times New Roman" w:hAnsi="Times New Roman" w:cs="Times New Roman"/>
          <w:bCs/>
          <w:sz w:val="24"/>
          <w:szCs w:val="24"/>
        </w:rPr>
        <w:t xml:space="preserve">. </w:t>
      </w:r>
      <w:r w:rsidRPr="002A3F16">
        <w:rPr>
          <w:rFonts w:ascii="Times New Roman" w:eastAsia="Calibri" w:hAnsi="Times New Roman" w:cs="Times New Roman"/>
          <w:sz w:val="24"/>
        </w:rPr>
        <w:t xml:space="preserve">Alors qu’une immobilisation </w:t>
      </w:r>
      <w:r w:rsidRPr="002A3F16">
        <w:rPr>
          <w:rFonts w:ascii="Times New Roman" w:eastAsia="Calibri" w:hAnsi="Times New Roman" w:cs="Times New Roman"/>
          <w:b/>
          <w:bCs/>
          <w:sz w:val="24"/>
        </w:rPr>
        <w:t>incorporelle</w:t>
      </w:r>
      <w:r w:rsidRPr="002A3F16">
        <w:rPr>
          <w:rFonts w:ascii="Times New Roman" w:eastAsia="Calibri" w:hAnsi="Times New Roman" w:cs="Times New Roman"/>
          <w:sz w:val="24"/>
        </w:rPr>
        <w:t xml:space="preserve"> est définie comme "un actif identifiable, non monétaire et immatériel, contrôlé et utilisé par l’entité dans le cadre de ses activités ordinaires"</w:t>
      </w:r>
      <w:r w:rsidRPr="002A3F16">
        <w:rPr>
          <w:rFonts w:ascii="Times New Roman" w:eastAsia="Calibri" w:hAnsi="Times New Roman" w:cs="Times New Roman"/>
          <w:sz w:val="24"/>
          <w:vertAlign w:val="superscript"/>
        </w:rPr>
        <w:footnoteReference w:id="104"/>
      </w:r>
      <w:r w:rsidRPr="002A3F16">
        <w:rPr>
          <w:rFonts w:ascii="Times New Roman" w:eastAsia="Calibri" w:hAnsi="Times New Roman" w:cs="Times New Roman"/>
          <w:sz w:val="24"/>
        </w:rPr>
        <w:t>.</w:t>
      </w:r>
    </w:p>
    <w:p w:rsidR="002A3F16" w:rsidRPr="002A3F16" w:rsidRDefault="002A3F16" w:rsidP="002A3F16">
      <w:pPr>
        <w:spacing w:before="60" w:beforeAutospacing="0" w:after="60" w:afterAutospacing="0" w:line="276" w:lineRule="auto"/>
        <w:jc w:val="left"/>
        <w:rPr>
          <w:rFonts w:ascii="Times New Roman" w:eastAsia="Calibri" w:hAnsi="Times New Roman" w:cs="Times New Roman"/>
          <w:b/>
          <w:i/>
          <w:sz w:val="24"/>
        </w:rPr>
      </w:pPr>
      <w:r w:rsidRPr="002A3F16">
        <w:rPr>
          <w:rFonts w:ascii="Times New Roman" w:eastAsia="Calibri" w:hAnsi="Times New Roman" w:cs="Times New Roman"/>
          <w:b/>
          <w:i/>
          <w:sz w:val="24"/>
        </w:rPr>
        <w:t>Les Règles de comptabilisation des immobilisations corporelles et incorporelles</w:t>
      </w:r>
    </w:p>
    <w:p w:rsidR="002A3F16" w:rsidRPr="002A3F16" w:rsidRDefault="002A3F16" w:rsidP="002A3F16">
      <w:pPr>
        <w:spacing w:before="60" w:beforeAutospacing="0" w:after="60" w:afterAutospacing="0" w:line="276" w:lineRule="auto"/>
        <w:ind w:firstLine="284"/>
        <w:jc w:val="both"/>
        <w:rPr>
          <w:rFonts w:ascii="Times New Roman" w:eastAsia="Calibri" w:hAnsi="Times New Roman" w:cs="Times New Roman"/>
          <w:sz w:val="24"/>
        </w:rPr>
      </w:pPr>
      <w:r w:rsidRPr="002A3F16">
        <w:rPr>
          <w:rFonts w:ascii="Times New Roman" w:eastAsia="Calibri" w:hAnsi="Times New Roman" w:cs="Times New Roman"/>
          <w:sz w:val="24"/>
        </w:rPr>
        <w:lastRenderedPageBreak/>
        <w:t xml:space="preserve">Le SCF précise qu’une immobilisation corporelle ou incorporelle ne peut être comptabilisée en actif   que s’il est probable que des avantages économiques futurs associés à cet actif iront à l’entité et que son coût peut être évalué de façon fiable. L’innovation majeure, qu’apporte le SCF concernant cet aspect, est liée à la comptabilisation des actifs par composants. Cette approche consiste à inscrire des immobilisations à l’inventaire, cela en dissociant leurs  éléments en composants pour lesquels il faut définir un rythme d’utilisation et/ou une fréquence de renouvellement. Par ailleurs, le SCF préconise de rattacher aux immobilisations toute pièce de rechange ou matériels d’entretien spécifiques dont l’utilisation est liée à ces immobilisations et la durée d’utilisation est supérieure à un exercice. </w:t>
      </w:r>
    </w:p>
    <w:p w:rsidR="002A3F16" w:rsidRPr="002A3F16" w:rsidRDefault="002A3F16" w:rsidP="002A3F16">
      <w:pPr>
        <w:spacing w:before="60" w:beforeAutospacing="0" w:after="60" w:afterAutospacing="0" w:line="276" w:lineRule="auto"/>
        <w:ind w:firstLine="284"/>
        <w:jc w:val="both"/>
        <w:rPr>
          <w:rFonts w:ascii="Times New Roman" w:eastAsia="Calibri" w:hAnsi="Times New Roman" w:cs="Times New Roman"/>
          <w:b/>
          <w:i/>
          <w:sz w:val="24"/>
          <w:u w:val="single"/>
        </w:rPr>
      </w:pPr>
      <w:r w:rsidRPr="002A3F16">
        <w:rPr>
          <w:rFonts w:ascii="Times New Roman" w:eastAsia="Calibri" w:hAnsi="Times New Roman" w:cs="Times New Roman"/>
          <w:sz w:val="24"/>
        </w:rPr>
        <w:t>Ces nouvelles dispositions vont impacter en premier lieu la composition des actifs non courant de l’entité suite aux reclassements de ces actifs ainsi que la sortie d’actif de certains biens comme il peut y avoir un impact sur le compte du résultat.</w:t>
      </w:r>
    </w:p>
    <w:p w:rsidR="002A3F16" w:rsidRPr="002A3F16" w:rsidRDefault="002A3F16" w:rsidP="002A3F16">
      <w:pPr>
        <w:spacing w:before="60" w:beforeAutospacing="0" w:after="60" w:afterAutospacing="0" w:line="276" w:lineRule="auto"/>
        <w:jc w:val="left"/>
        <w:rPr>
          <w:rFonts w:ascii="Times New Roman" w:eastAsia="Calibri" w:hAnsi="Times New Roman" w:cs="Times New Roman"/>
          <w:b/>
          <w:i/>
          <w:sz w:val="24"/>
        </w:rPr>
      </w:pPr>
      <w:r w:rsidRPr="002A3F16">
        <w:rPr>
          <w:rFonts w:ascii="Times New Roman" w:eastAsia="Calibri" w:hAnsi="Times New Roman" w:cs="Times New Roman"/>
          <w:b/>
          <w:i/>
          <w:sz w:val="24"/>
        </w:rPr>
        <w:t>Les Règles d’évaluation des immobilisations corporelles et incorporelles</w:t>
      </w:r>
    </w:p>
    <w:p w:rsidR="002A3F16" w:rsidRPr="002A3F16" w:rsidRDefault="002A3F16" w:rsidP="002A3F16">
      <w:pPr>
        <w:spacing w:before="60" w:beforeAutospacing="0" w:after="60" w:afterAutospacing="0" w:line="276" w:lineRule="auto"/>
        <w:ind w:firstLine="284"/>
        <w:jc w:val="both"/>
        <w:rPr>
          <w:rFonts w:ascii="Times New Roman" w:eastAsia="Calibri" w:hAnsi="Times New Roman" w:cs="Times New Roman"/>
          <w:b/>
        </w:rPr>
      </w:pPr>
      <w:r w:rsidRPr="002A3F16">
        <w:rPr>
          <w:rFonts w:ascii="Times New Roman" w:eastAsia="Calibri" w:hAnsi="Times New Roman" w:cs="Times New Roman"/>
          <w:sz w:val="24"/>
        </w:rPr>
        <w:t>La méthode d’évaluation des éléments inscrits en comptabilité est fondée en règle générale sur la convention du coût historique, qui demeure comme traitement de référence. Cependant, d’autres traitements alternatifs sont autorisés.</w:t>
      </w:r>
    </w:p>
    <w:p w:rsidR="002A3F16" w:rsidRPr="002A3F16" w:rsidRDefault="002A3F16" w:rsidP="002A3F16">
      <w:pPr>
        <w:numPr>
          <w:ilvl w:val="0"/>
          <w:numId w:val="44"/>
        </w:numPr>
        <w:spacing w:before="60" w:beforeAutospacing="0" w:after="60" w:afterAutospacing="0" w:line="276" w:lineRule="auto"/>
        <w:contextualSpacing/>
        <w:jc w:val="both"/>
        <w:rPr>
          <w:rFonts w:ascii="Times New Roman" w:eastAsia="Calibri" w:hAnsi="Times New Roman" w:cs="Times New Roman"/>
          <w:b/>
          <w:bCs/>
          <w:sz w:val="24"/>
        </w:rPr>
      </w:pPr>
      <w:r w:rsidRPr="002A3F16">
        <w:rPr>
          <w:rFonts w:ascii="Times New Roman" w:eastAsia="Calibri" w:hAnsi="Times New Roman" w:cs="Times New Roman"/>
          <w:b/>
          <w:bCs/>
          <w:sz w:val="24"/>
        </w:rPr>
        <w:t>Evaluation initiale des immobilisations corporelles</w:t>
      </w:r>
    </w:p>
    <w:p w:rsidR="002A3F16" w:rsidRPr="002A3F16" w:rsidRDefault="002A3F16" w:rsidP="002A3F16">
      <w:pPr>
        <w:spacing w:before="60" w:beforeAutospacing="0" w:after="60" w:afterAutospacing="0" w:line="276" w:lineRule="auto"/>
        <w:ind w:firstLine="284"/>
        <w:jc w:val="both"/>
        <w:rPr>
          <w:rFonts w:ascii="Times New Roman" w:eastAsia="Calibri" w:hAnsi="Times New Roman" w:cs="Times New Roman"/>
          <w:sz w:val="24"/>
        </w:rPr>
      </w:pPr>
      <w:r w:rsidRPr="002A3F16">
        <w:rPr>
          <w:rFonts w:ascii="Times New Roman" w:eastAsia="Calibri" w:hAnsi="Times New Roman" w:cs="Times New Roman"/>
          <w:sz w:val="24"/>
        </w:rPr>
        <w:t>Lors de sa comptabilisation initiale, une immobilisation peut être valorisé selon :</w:t>
      </w:r>
    </w:p>
    <w:p w:rsidR="002A3F16" w:rsidRPr="002A3F16" w:rsidRDefault="002A3F16" w:rsidP="002A3F16">
      <w:pPr>
        <w:numPr>
          <w:ilvl w:val="1"/>
          <w:numId w:val="19"/>
        </w:numPr>
        <w:spacing w:before="60" w:beforeAutospacing="0" w:after="60" w:afterAutospacing="0" w:line="276" w:lineRule="auto"/>
        <w:contextualSpacing/>
        <w:jc w:val="both"/>
        <w:rPr>
          <w:rFonts w:ascii="Times New Roman" w:eastAsia="Calibri" w:hAnsi="Times New Roman" w:cs="Times New Roman"/>
          <w:sz w:val="24"/>
          <w:lang w:bidi="en-US"/>
        </w:rPr>
      </w:pPr>
      <w:r w:rsidRPr="002A3F16">
        <w:rPr>
          <w:rFonts w:ascii="Times New Roman" w:eastAsia="Calibri" w:hAnsi="Times New Roman" w:cs="Times New Roman"/>
          <w:sz w:val="24"/>
          <w:lang w:bidi="en-US"/>
        </w:rPr>
        <w:t>Le coût d’</w:t>
      </w:r>
      <w:r w:rsidRPr="002A3F16">
        <w:rPr>
          <w:rFonts w:ascii="Times New Roman" w:eastAsia="Calibri" w:hAnsi="Times New Roman" w:cs="Times New Roman"/>
          <w:sz w:val="24"/>
          <w:u w:val="single"/>
          <w:lang w:bidi="en-US"/>
        </w:rPr>
        <w:t>acquisition</w:t>
      </w:r>
    </w:p>
    <w:p w:rsidR="002A3F16" w:rsidRPr="002A3F16" w:rsidRDefault="002A3F16" w:rsidP="002A3F16">
      <w:pPr>
        <w:numPr>
          <w:ilvl w:val="1"/>
          <w:numId w:val="19"/>
        </w:numPr>
        <w:spacing w:before="60" w:beforeAutospacing="0" w:after="60" w:afterAutospacing="0" w:line="276" w:lineRule="auto"/>
        <w:contextualSpacing/>
        <w:jc w:val="both"/>
        <w:rPr>
          <w:rFonts w:ascii="Times New Roman" w:eastAsia="Calibri" w:hAnsi="Times New Roman" w:cs="Times New Roman"/>
          <w:sz w:val="24"/>
          <w:lang w:bidi="en-US"/>
        </w:rPr>
      </w:pPr>
      <w:r w:rsidRPr="002A3F16">
        <w:rPr>
          <w:rFonts w:ascii="Times New Roman" w:eastAsia="Calibri" w:hAnsi="Times New Roman" w:cs="Times New Roman"/>
          <w:sz w:val="24"/>
          <w:lang w:bidi="en-US"/>
        </w:rPr>
        <w:t>La valeur d’apport</w:t>
      </w:r>
    </w:p>
    <w:p w:rsidR="002A3F16" w:rsidRPr="002A3F16" w:rsidRDefault="002A3F16" w:rsidP="002A3F16">
      <w:pPr>
        <w:numPr>
          <w:ilvl w:val="1"/>
          <w:numId w:val="19"/>
        </w:numPr>
        <w:spacing w:before="60" w:beforeAutospacing="0" w:after="60" w:afterAutospacing="0" w:line="276" w:lineRule="auto"/>
        <w:contextualSpacing/>
        <w:jc w:val="both"/>
        <w:rPr>
          <w:rFonts w:ascii="Times New Roman" w:eastAsia="Calibri" w:hAnsi="Times New Roman" w:cs="Times New Roman"/>
          <w:sz w:val="24"/>
          <w:lang w:bidi="en-US"/>
        </w:rPr>
      </w:pPr>
      <w:r w:rsidRPr="002A3F16">
        <w:rPr>
          <w:rFonts w:ascii="Times New Roman" w:eastAsia="Calibri" w:hAnsi="Times New Roman" w:cs="Times New Roman"/>
          <w:sz w:val="24"/>
        </w:rPr>
        <w:t xml:space="preserve">La juste valeur à la date d’entrée </w:t>
      </w:r>
    </w:p>
    <w:p w:rsidR="002A3F16" w:rsidRPr="002A3F16" w:rsidRDefault="002A3F16" w:rsidP="002A3F16">
      <w:pPr>
        <w:numPr>
          <w:ilvl w:val="1"/>
          <w:numId w:val="19"/>
        </w:numPr>
        <w:spacing w:before="60" w:beforeAutospacing="0" w:after="60" w:afterAutospacing="0" w:line="276" w:lineRule="auto"/>
        <w:contextualSpacing/>
        <w:jc w:val="both"/>
        <w:rPr>
          <w:rFonts w:ascii="Times New Roman" w:eastAsia="Calibri" w:hAnsi="Times New Roman" w:cs="Times New Roman"/>
          <w:sz w:val="24"/>
          <w:lang w:bidi="en-US"/>
        </w:rPr>
      </w:pPr>
      <w:r w:rsidRPr="002A3F16">
        <w:rPr>
          <w:rFonts w:ascii="Times New Roman" w:eastAsia="Calibri" w:hAnsi="Times New Roman" w:cs="Times New Roman"/>
          <w:sz w:val="24"/>
        </w:rPr>
        <w:t>Voie d’échange à la juste valeur s’ils sont dissemblables, ou à la valeur des actif donnés en échange s’ils sont similaires.</w:t>
      </w:r>
    </w:p>
    <w:p w:rsidR="002A3F16" w:rsidRPr="002A3F16" w:rsidRDefault="002A3F16" w:rsidP="002A3F16">
      <w:pPr>
        <w:spacing w:before="60" w:beforeAutospacing="0" w:after="60" w:afterAutospacing="0" w:line="276" w:lineRule="auto"/>
        <w:ind w:firstLine="284"/>
        <w:jc w:val="both"/>
        <w:rPr>
          <w:rFonts w:ascii="Times New Roman" w:eastAsia="Calibri" w:hAnsi="Times New Roman" w:cs="Times New Roman"/>
          <w:sz w:val="24"/>
        </w:rPr>
      </w:pPr>
      <w:r w:rsidRPr="002A3F16">
        <w:rPr>
          <w:rFonts w:ascii="Times New Roman" w:eastAsia="Calibri" w:hAnsi="Times New Roman" w:cs="Times New Roman"/>
          <w:sz w:val="24"/>
        </w:rPr>
        <w:t>En outre, l’évaluation initiale doit être réalisée au coût initial. Les composantes du coût sont les suivantes : Prix d’achat, Droits de douanes et taxes non récupérables, Frais directement attribuables engagés pour mettre l’actif en état de marche (frais d’installation), Déduction des remises et rabais, Coût de préparation du site, Frais de livraison et manutention, Honoraires professionnels, Coût de démantèlement et transport d’actifs.</w:t>
      </w:r>
    </w:p>
    <w:p w:rsidR="002A3F16" w:rsidRPr="002A3F16" w:rsidRDefault="002A3F16" w:rsidP="002A3F16">
      <w:pPr>
        <w:spacing w:before="60" w:beforeAutospacing="0" w:after="60" w:afterAutospacing="0" w:line="276" w:lineRule="auto"/>
        <w:ind w:firstLine="284"/>
        <w:jc w:val="both"/>
        <w:rPr>
          <w:rFonts w:ascii="Times New Roman" w:eastAsia="Calibri" w:hAnsi="Times New Roman" w:cs="Times New Roman"/>
          <w:sz w:val="24"/>
        </w:rPr>
      </w:pPr>
      <w:r w:rsidRPr="002A3F16">
        <w:rPr>
          <w:rFonts w:ascii="Times New Roman" w:eastAsia="Calibri" w:hAnsi="Times New Roman" w:cs="Times New Roman"/>
          <w:sz w:val="24"/>
        </w:rPr>
        <w:t>Cependant, des dépenses ultérieures doivent être ajoutées à la valeur comptable de l’actif lorsqu’il est probable que des avantages économiques futurs iront à l’entreprise, améliorant ainsi le niveau de performance de l’actif défini à l’origine. (Exemples : adoption de nouveaux processus de production / modification d’une unité de production / dépenses liées à la sécurité et à l’environnement).</w:t>
      </w:r>
    </w:p>
    <w:p w:rsidR="002A3F16" w:rsidRPr="002A3F16" w:rsidRDefault="002A3F16" w:rsidP="002A3F16">
      <w:pPr>
        <w:spacing w:before="60" w:beforeAutospacing="0" w:after="60" w:afterAutospacing="0" w:line="276" w:lineRule="auto"/>
        <w:ind w:firstLine="284"/>
        <w:jc w:val="both"/>
        <w:rPr>
          <w:rFonts w:ascii="Times New Roman" w:eastAsia="Calibri" w:hAnsi="Times New Roman" w:cs="Times New Roman"/>
          <w:sz w:val="24"/>
        </w:rPr>
      </w:pPr>
      <w:r w:rsidRPr="002A3F16">
        <w:rPr>
          <w:rFonts w:ascii="Times New Roman" w:eastAsia="Calibri" w:hAnsi="Times New Roman" w:cs="Times New Roman"/>
          <w:sz w:val="24"/>
        </w:rPr>
        <w:t xml:space="preserve">Nous constatons que la composition du coût des immobilisations a changé dans le cadre du SCF, et l’incorporation de ces coûts aura un impact sur la valeur des immobilisations en particulier lors de la première adoption et impactera ainsi les capitaux propres et le résultat de l’entreprise. </w:t>
      </w:r>
    </w:p>
    <w:p w:rsidR="002A3F16" w:rsidRPr="002A3F16" w:rsidRDefault="002A3F16" w:rsidP="002A3F16">
      <w:pPr>
        <w:numPr>
          <w:ilvl w:val="0"/>
          <w:numId w:val="44"/>
        </w:numPr>
        <w:spacing w:before="60" w:beforeAutospacing="0" w:after="60" w:afterAutospacing="0" w:line="276" w:lineRule="auto"/>
        <w:jc w:val="both"/>
        <w:rPr>
          <w:rFonts w:ascii="Times New Roman" w:eastAsia="Calibri" w:hAnsi="Times New Roman" w:cs="Times New Roman"/>
          <w:b/>
          <w:bCs/>
          <w:sz w:val="24"/>
        </w:rPr>
      </w:pPr>
      <w:r w:rsidRPr="002A3F16">
        <w:rPr>
          <w:rFonts w:ascii="Times New Roman" w:eastAsia="Calibri" w:hAnsi="Times New Roman" w:cs="Times New Roman"/>
          <w:b/>
          <w:bCs/>
          <w:sz w:val="24"/>
        </w:rPr>
        <w:lastRenderedPageBreak/>
        <w:t>Evaluation postérieure à la comptabilisation initiale</w:t>
      </w:r>
    </w:p>
    <w:p w:rsidR="002A3F16" w:rsidRPr="002A3F16" w:rsidRDefault="002A3F16" w:rsidP="002A3F16">
      <w:pPr>
        <w:spacing w:before="60" w:beforeAutospacing="0" w:after="60" w:afterAutospacing="0" w:line="276" w:lineRule="auto"/>
        <w:ind w:firstLine="284"/>
        <w:jc w:val="both"/>
        <w:rPr>
          <w:rFonts w:ascii="Times New Roman" w:eastAsia="Calibri" w:hAnsi="Times New Roman" w:cs="Times New Roman"/>
          <w:sz w:val="24"/>
        </w:rPr>
      </w:pPr>
      <w:r w:rsidRPr="002A3F16">
        <w:rPr>
          <w:rFonts w:ascii="Times New Roman" w:eastAsia="Calibri" w:hAnsi="Times New Roman" w:cs="Times New Roman"/>
          <w:sz w:val="24"/>
        </w:rPr>
        <w:t>Il existe deux options :</w:t>
      </w:r>
    </w:p>
    <w:p w:rsidR="002A3F16" w:rsidRPr="002A3F16" w:rsidRDefault="002A3F16" w:rsidP="002A3F16">
      <w:pPr>
        <w:numPr>
          <w:ilvl w:val="0"/>
          <w:numId w:val="54"/>
        </w:numPr>
        <w:spacing w:before="60" w:beforeAutospacing="0" w:after="60" w:afterAutospacing="0" w:line="276" w:lineRule="auto"/>
        <w:jc w:val="both"/>
        <w:rPr>
          <w:rFonts w:ascii="Times New Roman" w:eastAsia="Calibri" w:hAnsi="Times New Roman" w:cs="Times New Roman"/>
          <w:b/>
          <w:bCs/>
          <w:sz w:val="24"/>
        </w:rPr>
      </w:pPr>
      <w:r w:rsidRPr="002A3F16">
        <w:rPr>
          <w:rFonts w:ascii="Times New Roman" w:eastAsia="Calibri" w:hAnsi="Times New Roman" w:cs="Times New Roman"/>
          <w:b/>
          <w:bCs/>
          <w:sz w:val="24"/>
        </w:rPr>
        <w:t>Traitement de référence</w:t>
      </w:r>
    </w:p>
    <w:p w:rsidR="002A3F16" w:rsidRPr="002A3F16" w:rsidRDefault="002A3F16" w:rsidP="002A3F16">
      <w:pPr>
        <w:spacing w:before="60" w:beforeAutospacing="0" w:after="60" w:afterAutospacing="0" w:line="276" w:lineRule="auto"/>
        <w:ind w:firstLine="284"/>
        <w:jc w:val="both"/>
        <w:rPr>
          <w:rFonts w:ascii="Times New Roman" w:eastAsia="Calibri" w:hAnsi="Times New Roman" w:cs="Times New Roman"/>
          <w:sz w:val="24"/>
        </w:rPr>
      </w:pPr>
      <w:r w:rsidRPr="002A3F16">
        <w:rPr>
          <w:rFonts w:ascii="Times New Roman" w:eastAsia="Calibri" w:hAnsi="Times New Roman" w:cs="Times New Roman"/>
          <w:sz w:val="24"/>
        </w:rPr>
        <w:t>Après une comptabilisation initiale en tant qu’actif, une immobilisation corporelle doit être comptabilisée à son coût diminué du cumul des amortissements et du cumul des pertes de valeur.</w:t>
      </w:r>
    </w:p>
    <w:p w:rsidR="002A3F16" w:rsidRPr="002A3F16" w:rsidRDefault="002A3F16" w:rsidP="002A3F16">
      <w:pPr>
        <w:numPr>
          <w:ilvl w:val="0"/>
          <w:numId w:val="54"/>
        </w:numPr>
        <w:spacing w:before="60" w:beforeAutospacing="0" w:after="60" w:afterAutospacing="0" w:line="276" w:lineRule="auto"/>
        <w:jc w:val="both"/>
        <w:rPr>
          <w:rFonts w:ascii="Times New Roman" w:eastAsia="Calibri" w:hAnsi="Times New Roman" w:cs="Times New Roman"/>
          <w:b/>
          <w:bCs/>
          <w:sz w:val="24"/>
        </w:rPr>
      </w:pPr>
      <w:r w:rsidRPr="002A3F16">
        <w:rPr>
          <w:rFonts w:ascii="Times New Roman" w:eastAsia="Calibri" w:hAnsi="Times New Roman" w:cs="Times New Roman"/>
          <w:b/>
          <w:bCs/>
          <w:sz w:val="24"/>
        </w:rPr>
        <w:t>Traitement alternatif (réévaluation des immobilisations)</w:t>
      </w:r>
    </w:p>
    <w:p w:rsidR="002A3F16" w:rsidRPr="002A3F16" w:rsidRDefault="002A3F16" w:rsidP="002A3F16">
      <w:pPr>
        <w:numPr>
          <w:ilvl w:val="0"/>
          <w:numId w:val="20"/>
        </w:numPr>
        <w:spacing w:before="60" w:beforeAutospacing="0" w:after="60" w:afterAutospacing="0" w:line="276" w:lineRule="auto"/>
        <w:jc w:val="both"/>
        <w:rPr>
          <w:rFonts w:ascii="Times New Roman" w:eastAsia="Calibri" w:hAnsi="Times New Roman" w:cs="Times New Roman"/>
          <w:sz w:val="24"/>
        </w:rPr>
      </w:pPr>
      <w:r w:rsidRPr="002A3F16">
        <w:rPr>
          <w:rFonts w:ascii="Times New Roman" w:eastAsia="Calibri" w:hAnsi="Times New Roman" w:cs="Times New Roman"/>
          <w:sz w:val="24"/>
        </w:rPr>
        <w:t xml:space="preserve">Chaque immobilisation, après sa comptabilisation initiale en tant qu’actif est  comptabilisée à son montant réévalué, c'est-à-dire à sa juste valeur à la date de la  réévaluation, diminué du cumul des amortissements ultérieurs et du cumul des pertes  de valeurs ultérieures. </w:t>
      </w:r>
    </w:p>
    <w:p w:rsidR="002A3F16" w:rsidRPr="002A3F16" w:rsidRDefault="002A3F16" w:rsidP="002A3F16">
      <w:pPr>
        <w:numPr>
          <w:ilvl w:val="0"/>
          <w:numId w:val="20"/>
        </w:numPr>
        <w:spacing w:before="60" w:beforeAutospacing="0" w:after="60" w:afterAutospacing="0" w:line="276" w:lineRule="auto"/>
        <w:jc w:val="both"/>
        <w:rPr>
          <w:rFonts w:ascii="Times New Roman" w:eastAsia="Calibri" w:hAnsi="Times New Roman" w:cs="Times New Roman"/>
          <w:sz w:val="24"/>
        </w:rPr>
      </w:pPr>
      <w:r w:rsidRPr="002A3F16">
        <w:rPr>
          <w:rFonts w:ascii="Times New Roman" w:eastAsia="Calibri" w:hAnsi="Times New Roman" w:cs="Times New Roman"/>
          <w:sz w:val="24"/>
        </w:rPr>
        <w:t>Les réévaluations doivent être effectuées avec une régularité suffisante pour que la valeur comptable des immobilisations concernée ne diffère pas de façon significative de celle qui aurait été déterminée en utilisant la juste valeur.</w:t>
      </w:r>
    </w:p>
    <w:p w:rsidR="002A3F16" w:rsidRPr="002A3F16" w:rsidRDefault="002A3F16" w:rsidP="002A3F16">
      <w:pPr>
        <w:numPr>
          <w:ilvl w:val="0"/>
          <w:numId w:val="20"/>
        </w:numPr>
        <w:spacing w:before="60" w:beforeAutospacing="0" w:after="60" w:afterAutospacing="0" w:line="276" w:lineRule="auto"/>
        <w:jc w:val="both"/>
        <w:rPr>
          <w:rFonts w:ascii="Times New Roman" w:eastAsia="Calibri" w:hAnsi="Times New Roman" w:cs="Times New Roman"/>
          <w:sz w:val="24"/>
        </w:rPr>
      </w:pPr>
      <w:r w:rsidRPr="002A3F16">
        <w:rPr>
          <w:rFonts w:ascii="Times New Roman" w:eastAsia="Calibri" w:hAnsi="Times New Roman" w:cs="Times New Roman"/>
          <w:sz w:val="24"/>
        </w:rPr>
        <w:t xml:space="preserve">La juste valeur des terrains et des constructions est habituellement leur valeur de marché. La valeur de marché peut être selon  les  hypothèses, la valeur   vénale  du  bien  ou toute autre valeur jugée pertinente. Cette valeur  est déterminée sur la base d’une estimation effectuée par des évaluateurs professionnels qualifiés. </w:t>
      </w:r>
    </w:p>
    <w:p w:rsidR="002A3F16" w:rsidRPr="002A3F16" w:rsidRDefault="002A3F16" w:rsidP="002A3F16">
      <w:pPr>
        <w:numPr>
          <w:ilvl w:val="0"/>
          <w:numId w:val="20"/>
        </w:numPr>
        <w:spacing w:before="60" w:beforeAutospacing="0" w:after="60" w:afterAutospacing="0" w:line="276" w:lineRule="auto"/>
        <w:jc w:val="both"/>
        <w:rPr>
          <w:rFonts w:ascii="Times New Roman" w:eastAsia="Calibri" w:hAnsi="Times New Roman" w:cs="Times New Roman"/>
          <w:sz w:val="24"/>
        </w:rPr>
      </w:pPr>
      <w:r w:rsidRPr="002A3F16">
        <w:rPr>
          <w:rFonts w:ascii="Times New Roman" w:eastAsia="Calibri" w:hAnsi="Times New Roman" w:cs="Times New Roman"/>
          <w:sz w:val="24"/>
        </w:rPr>
        <w:t>La juste valeur des installations de production est également leur valeur de marché. En l’absence de l’existence d’un marché, un bien peut être évalué à son coût  de remplacement net d’amortissement.</w:t>
      </w:r>
    </w:p>
    <w:p w:rsidR="002A3F16" w:rsidRPr="002A3F16" w:rsidRDefault="002A3F16" w:rsidP="002A3F16">
      <w:pPr>
        <w:spacing w:before="60" w:beforeAutospacing="0" w:after="60" w:afterAutospacing="0" w:line="276" w:lineRule="auto"/>
        <w:ind w:firstLine="284"/>
        <w:jc w:val="both"/>
        <w:rPr>
          <w:rFonts w:ascii="Times New Roman" w:eastAsia="Calibri" w:hAnsi="Times New Roman" w:cs="Times New Roman"/>
          <w:sz w:val="24"/>
        </w:rPr>
      </w:pPr>
      <w:r w:rsidRPr="002A3F16">
        <w:rPr>
          <w:rFonts w:ascii="Times New Roman" w:eastAsia="Calibri" w:hAnsi="Times New Roman" w:cs="Times New Roman"/>
          <w:sz w:val="24"/>
        </w:rPr>
        <w:t>Selon le  SCF, le traitement de la réévaluation d’une immobilisation consiste :</w:t>
      </w:r>
    </w:p>
    <w:p w:rsidR="002A3F16" w:rsidRPr="002A3F16" w:rsidRDefault="002A3F16" w:rsidP="002A3F16">
      <w:pPr>
        <w:numPr>
          <w:ilvl w:val="0"/>
          <w:numId w:val="21"/>
        </w:numPr>
        <w:spacing w:before="60" w:beforeAutospacing="0" w:after="60" w:afterAutospacing="0" w:line="276" w:lineRule="auto"/>
        <w:jc w:val="both"/>
        <w:rPr>
          <w:rFonts w:ascii="Times New Roman" w:eastAsia="Calibri" w:hAnsi="Times New Roman" w:cs="Times New Roman"/>
          <w:sz w:val="24"/>
        </w:rPr>
      </w:pPr>
      <w:r w:rsidRPr="002A3F16">
        <w:rPr>
          <w:rFonts w:ascii="Times New Roman" w:eastAsia="Calibri" w:hAnsi="Times New Roman" w:cs="Times New Roman"/>
          <w:sz w:val="24"/>
        </w:rPr>
        <w:t>A ajuster proportionnellement le cumul des amortissements à la date de la réévaluation à la valeur brute comptable de l’actif de sorte que la valeur comptable de cet actif soit égale au montant réévalué.</w:t>
      </w:r>
    </w:p>
    <w:p w:rsidR="002A3F16" w:rsidRPr="002A3F16" w:rsidRDefault="002A3F16" w:rsidP="002A3F16">
      <w:pPr>
        <w:numPr>
          <w:ilvl w:val="0"/>
          <w:numId w:val="21"/>
        </w:numPr>
        <w:spacing w:before="60" w:beforeAutospacing="0" w:after="60" w:afterAutospacing="0" w:line="276" w:lineRule="auto"/>
        <w:jc w:val="both"/>
        <w:rPr>
          <w:rFonts w:ascii="Times New Roman" w:eastAsia="Calibri" w:hAnsi="Times New Roman" w:cs="Times New Roman"/>
          <w:sz w:val="24"/>
        </w:rPr>
      </w:pPr>
      <w:r w:rsidRPr="002A3F16">
        <w:rPr>
          <w:rFonts w:ascii="Times New Roman" w:eastAsia="Calibri" w:hAnsi="Times New Roman" w:cs="Times New Roman"/>
          <w:sz w:val="24"/>
        </w:rPr>
        <w:t>Une réévaluation positive augmente l’actif par le crédit des capitaux propres « Ecart de réévaluation » - Une réévaluation positive est comptabilisée en produit dans la mesure où elle compense une réévaluation négative du même actif antérieurement comptabilisé en charge.</w:t>
      </w:r>
    </w:p>
    <w:p w:rsidR="002A3F16" w:rsidRPr="002A3F16" w:rsidRDefault="002A3F16" w:rsidP="002A3F16">
      <w:pPr>
        <w:numPr>
          <w:ilvl w:val="0"/>
          <w:numId w:val="21"/>
        </w:numPr>
        <w:spacing w:before="60" w:beforeAutospacing="0" w:after="60" w:afterAutospacing="0" w:line="276" w:lineRule="auto"/>
        <w:jc w:val="both"/>
        <w:rPr>
          <w:rFonts w:ascii="Times New Roman" w:eastAsia="Calibri" w:hAnsi="Times New Roman" w:cs="Times New Roman"/>
          <w:sz w:val="24"/>
        </w:rPr>
      </w:pPr>
      <w:r w:rsidRPr="002A3F16">
        <w:rPr>
          <w:rFonts w:ascii="Times New Roman" w:eastAsia="Calibri" w:hAnsi="Times New Roman" w:cs="Times New Roman"/>
          <w:sz w:val="24"/>
        </w:rPr>
        <w:t>Une réévaluation négative d’un actif  entraine une perte de valeur qui sera imputée en priorité sur l’écart de réévaluation antérieurement comptabilisé au titre de ce même actif. Le solde éventuel est constaté en charge.</w:t>
      </w:r>
    </w:p>
    <w:p w:rsidR="002A3F16" w:rsidRPr="002A3F16" w:rsidRDefault="002A3F16" w:rsidP="002A3F16">
      <w:pPr>
        <w:numPr>
          <w:ilvl w:val="0"/>
          <w:numId w:val="21"/>
        </w:numPr>
        <w:spacing w:before="60" w:beforeAutospacing="0" w:after="60" w:afterAutospacing="0" w:line="276" w:lineRule="auto"/>
        <w:jc w:val="both"/>
        <w:rPr>
          <w:rFonts w:ascii="Times New Roman" w:eastAsia="Calibri" w:hAnsi="Times New Roman" w:cs="Times New Roman"/>
        </w:rPr>
      </w:pPr>
      <w:r w:rsidRPr="002A3F16">
        <w:rPr>
          <w:rFonts w:ascii="Times New Roman" w:eastAsia="Calibri" w:hAnsi="Times New Roman" w:cs="Times New Roman"/>
          <w:sz w:val="24"/>
        </w:rPr>
        <w:t xml:space="preserve">Toute reprise de perte de valeur d’un actif réévalué est enregistrée comme une réévaluation lorsque la constatation de la perte de valeur a été antérieurement enregistrée comme une réévaluation négative. </w:t>
      </w:r>
    </w:p>
    <w:p w:rsidR="002A3F16" w:rsidRPr="002A3F16" w:rsidRDefault="002A3F16" w:rsidP="002A3F16">
      <w:pPr>
        <w:spacing w:before="60" w:beforeAutospacing="0" w:after="60" w:afterAutospacing="0" w:line="276" w:lineRule="auto"/>
        <w:jc w:val="left"/>
        <w:rPr>
          <w:rFonts w:ascii="Times New Roman" w:eastAsia="Calibri" w:hAnsi="Times New Roman" w:cs="Times New Roman"/>
          <w:b/>
          <w:i/>
        </w:rPr>
      </w:pPr>
      <w:r w:rsidRPr="002A3F16">
        <w:rPr>
          <w:rFonts w:ascii="Times New Roman" w:eastAsia="Calibri" w:hAnsi="Times New Roman" w:cs="Times New Roman"/>
          <w:b/>
          <w:i/>
        </w:rPr>
        <w:t>Amortissement des immobilisations</w:t>
      </w:r>
    </w:p>
    <w:p w:rsidR="002A3F16" w:rsidRPr="002A3F16" w:rsidRDefault="002A3F16" w:rsidP="002A3F16">
      <w:pPr>
        <w:spacing w:before="60" w:beforeAutospacing="0" w:after="60" w:afterAutospacing="0" w:line="276" w:lineRule="auto"/>
        <w:ind w:firstLine="284"/>
        <w:jc w:val="both"/>
        <w:rPr>
          <w:rFonts w:ascii="Times New Roman" w:eastAsia="Calibri" w:hAnsi="Times New Roman" w:cs="Times New Roman"/>
          <w:sz w:val="24"/>
        </w:rPr>
      </w:pPr>
      <w:r w:rsidRPr="002A3F16">
        <w:rPr>
          <w:rFonts w:ascii="Times New Roman" w:eastAsia="Calibri" w:hAnsi="Times New Roman" w:cs="Times New Roman"/>
          <w:sz w:val="24"/>
        </w:rPr>
        <w:t xml:space="preserve">Chaque élément significatif d’une immobilisation corporelle doit être comptabilisé séparément en tant que composant, et amorti de façon systématique sur sa durée </w:t>
      </w:r>
      <w:r w:rsidRPr="002A3F16">
        <w:rPr>
          <w:rFonts w:ascii="Times New Roman" w:eastAsia="Calibri" w:hAnsi="Times New Roman" w:cs="Times New Roman"/>
          <w:sz w:val="24"/>
        </w:rPr>
        <w:lastRenderedPageBreak/>
        <w:t>d’utilité propre (rythme selon lequel les avantages économiques futurs liés à l’actif sont consommés par l’entreprise).</w:t>
      </w:r>
    </w:p>
    <w:p w:rsidR="002A3F16" w:rsidRPr="002A3F16" w:rsidRDefault="002A3F16" w:rsidP="002A3F16">
      <w:pPr>
        <w:spacing w:before="60" w:beforeAutospacing="0" w:after="60" w:afterAutospacing="0" w:line="276" w:lineRule="auto"/>
        <w:ind w:firstLine="284"/>
        <w:jc w:val="both"/>
        <w:rPr>
          <w:rFonts w:ascii="Times New Roman" w:eastAsia="Calibri" w:hAnsi="Times New Roman" w:cs="Times New Roman"/>
          <w:sz w:val="24"/>
        </w:rPr>
      </w:pPr>
      <w:r w:rsidRPr="002A3F16">
        <w:rPr>
          <w:rFonts w:ascii="Times New Roman" w:eastAsia="Calibri" w:hAnsi="Times New Roman" w:cs="Times New Roman"/>
          <w:sz w:val="24"/>
        </w:rPr>
        <w:t xml:space="preserve">Selon le SCF, l’amortissement se réfère à l'utilisation de l'actif dans l’entité (unités d’œuvres) et non plus aux durées d'usage généralement admises. Dès lors, une nouvelle notion est introduite </w:t>
      </w:r>
      <w:r w:rsidRPr="002A3F16">
        <w:rPr>
          <w:rFonts w:ascii="Times New Roman" w:eastAsia="Calibri" w:hAnsi="Times New Roman" w:cs="Times New Roman"/>
          <w:bCs/>
          <w:sz w:val="24"/>
        </w:rPr>
        <w:t>qui est la durée d’utilité des actifs qui remplace la notion de durée de vie existante et qui n’est plus liée à la réalité économique d’évolution des actifs dans le temps.</w:t>
      </w:r>
    </w:p>
    <w:p w:rsidR="002A3F16" w:rsidRPr="002A3F16" w:rsidRDefault="002A3F16" w:rsidP="002A3F16">
      <w:pPr>
        <w:spacing w:before="60" w:beforeAutospacing="0" w:after="60" w:afterAutospacing="0" w:line="276" w:lineRule="auto"/>
        <w:ind w:firstLine="284"/>
        <w:jc w:val="both"/>
        <w:rPr>
          <w:rFonts w:ascii="Times New Roman" w:eastAsia="Calibri" w:hAnsi="Times New Roman" w:cs="Times New Roman"/>
          <w:sz w:val="24"/>
        </w:rPr>
      </w:pPr>
      <w:r w:rsidRPr="002A3F16">
        <w:rPr>
          <w:rFonts w:ascii="Times New Roman" w:eastAsia="Calibri" w:hAnsi="Times New Roman" w:cs="Times New Roman"/>
          <w:sz w:val="24"/>
        </w:rPr>
        <w:t>La durée d’utilité d’un actif est déterminée en fonction :</w:t>
      </w:r>
    </w:p>
    <w:p w:rsidR="002A3F16" w:rsidRPr="002A3F16" w:rsidRDefault="002A3F16" w:rsidP="002A3F16">
      <w:pPr>
        <w:numPr>
          <w:ilvl w:val="1"/>
          <w:numId w:val="44"/>
        </w:numPr>
        <w:spacing w:before="60" w:beforeAutospacing="0" w:after="60" w:afterAutospacing="0" w:line="276" w:lineRule="auto"/>
        <w:contextualSpacing/>
        <w:jc w:val="both"/>
        <w:rPr>
          <w:rFonts w:ascii="Times New Roman" w:eastAsia="Calibri" w:hAnsi="Times New Roman" w:cs="Times New Roman"/>
          <w:sz w:val="24"/>
        </w:rPr>
      </w:pPr>
      <w:r w:rsidRPr="002A3F16">
        <w:rPr>
          <w:rFonts w:ascii="Times New Roman" w:eastAsia="Calibri" w:hAnsi="Times New Roman" w:cs="Times New Roman"/>
          <w:sz w:val="24"/>
        </w:rPr>
        <w:t>De l’usage attendu de cet actif</w:t>
      </w:r>
    </w:p>
    <w:p w:rsidR="002A3F16" w:rsidRPr="002A3F16" w:rsidRDefault="002A3F16" w:rsidP="002A3F16">
      <w:pPr>
        <w:numPr>
          <w:ilvl w:val="1"/>
          <w:numId w:val="44"/>
        </w:numPr>
        <w:spacing w:before="60" w:beforeAutospacing="0" w:after="60" w:afterAutospacing="0" w:line="276" w:lineRule="auto"/>
        <w:contextualSpacing/>
        <w:jc w:val="both"/>
        <w:rPr>
          <w:rFonts w:ascii="Times New Roman" w:eastAsia="Calibri" w:hAnsi="Times New Roman" w:cs="Times New Roman"/>
          <w:sz w:val="24"/>
        </w:rPr>
      </w:pPr>
      <w:r w:rsidRPr="002A3F16">
        <w:rPr>
          <w:rFonts w:ascii="Times New Roman" w:eastAsia="Calibri" w:hAnsi="Times New Roman" w:cs="Times New Roman"/>
          <w:sz w:val="24"/>
        </w:rPr>
        <w:t>De l’usure physique</w:t>
      </w:r>
    </w:p>
    <w:p w:rsidR="002A3F16" w:rsidRPr="002A3F16" w:rsidRDefault="002A3F16" w:rsidP="002A3F16">
      <w:pPr>
        <w:numPr>
          <w:ilvl w:val="1"/>
          <w:numId w:val="44"/>
        </w:numPr>
        <w:spacing w:before="60" w:beforeAutospacing="0" w:after="60" w:afterAutospacing="0" w:line="276" w:lineRule="auto"/>
        <w:contextualSpacing/>
        <w:jc w:val="both"/>
        <w:rPr>
          <w:rFonts w:ascii="Times New Roman" w:eastAsia="Calibri" w:hAnsi="Times New Roman" w:cs="Times New Roman"/>
          <w:sz w:val="24"/>
        </w:rPr>
      </w:pPr>
      <w:r w:rsidRPr="002A3F16">
        <w:rPr>
          <w:rFonts w:ascii="Times New Roman" w:eastAsia="Calibri" w:hAnsi="Times New Roman" w:cs="Times New Roman"/>
          <w:sz w:val="24"/>
        </w:rPr>
        <w:t>De l’obsolescence technique</w:t>
      </w:r>
    </w:p>
    <w:p w:rsidR="002A3F16" w:rsidRPr="002A3F16" w:rsidRDefault="002A3F16" w:rsidP="002A3F16">
      <w:pPr>
        <w:numPr>
          <w:ilvl w:val="1"/>
          <w:numId w:val="44"/>
        </w:numPr>
        <w:spacing w:before="60" w:beforeAutospacing="0" w:after="60" w:afterAutospacing="0" w:line="276" w:lineRule="auto"/>
        <w:contextualSpacing/>
        <w:jc w:val="both"/>
        <w:rPr>
          <w:rFonts w:ascii="Times New Roman" w:eastAsia="Calibri" w:hAnsi="Times New Roman" w:cs="Times New Roman"/>
          <w:sz w:val="24"/>
        </w:rPr>
      </w:pPr>
      <w:r w:rsidRPr="002A3F16">
        <w:rPr>
          <w:rFonts w:ascii="Times New Roman" w:eastAsia="Calibri" w:hAnsi="Times New Roman" w:cs="Times New Roman"/>
          <w:sz w:val="24"/>
        </w:rPr>
        <w:t>Des limites juridiques</w:t>
      </w:r>
    </w:p>
    <w:p w:rsidR="002A3F16" w:rsidRPr="002A3F16" w:rsidRDefault="002A3F16" w:rsidP="002A3F16">
      <w:pPr>
        <w:spacing w:before="60" w:beforeAutospacing="0" w:after="60" w:afterAutospacing="0" w:line="276" w:lineRule="auto"/>
        <w:ind w:firstLine="284"/>
        <w:jc w:val="both"/>
        <w:rPr>
          <w:rFonts w:ascii="Times New Roman" w:eastAsia="Calibri" w:hAnsi="Times New Roman" w:cs="Times New Roman"/>
          <w:sz w:val="24"/>
        </w:rPr>
      </w:pPr>
      <w:r w:rsidRPr="002A3F16">
        <w:rPr>
          <w:rFonts w:ascii="Times New Roman" w:eastAsia="Calibri" w:hAnsi="Times New Roman" w:cs="Times New Roman"/>
          <w:sz w:val="24"/>
        </w:rPr>
        <w:t>Il est à noter que seuls les terrains ont une durée vie illimitée.</w:t>
      </w:r>
    </w:p>
    <w:p w:rsidR="002A3F16" w:rsidRPr="002A3F16" w:rsidRDefault="002A3F16" w:rsidP="002A3F16">
      <w:pPr>
        <w:spacing w:before="60" w:beforeAutospacing="0" w:after="60" w:afterAutospacing="0" w:line="276" w:lineRule="auto"/>
        <w:ind w:firstLine="284"/>
        <w:jc w:val="both"/>
        <w:rPr>
          <w:rFonts w:ascii="Times New Roman" w:eastAsia="Calibri" w:hAnsi="Times New Roman" w:cs="Times New Roman"/>
          <w:sz w:val="24"/>
        </w:rPr>
      </w:pPr>
      <w:r w:rsidRPr="002A3F16">
        <w:rPr>
          <w:rFonts w:ascii="Times New Roman" w:eastAsia="Calibri" w:hAnsi="Times New Roman" w:cs="Times New Roman"/>
          <w:sz w:val="24"/>
        </w:rPr>
        <w:t xml:space="preserve">Un réexamen de la durée d’utilité est effectué périodiquement si les prévisions sont sensiblement différentes des estimations antérieures, ainsi qu’un réexamen du mode d’amortissement en cas de modification importante du rythme attendu des avantages économiques découlant de ces actifs. </w:t>
      </w:r>
    </w:p>
    <w:p w:rsidR="002A3F16" w:rsidRPr="002A3F16" w:rsidRDefault="002A3F16" w:rsidP="002A3F16">
      <w:pPr>
        <w:spacing w:before="60" w:beforeAutospacing="0" w:after="60" w:afterAutospacing="0" w:line="276" w:lineRule="auto"/>
        <w:ind w:firstLine="284"/>
        <w:jc w:val="both"/>
        <w:rPr>
          <w:rFonts w:ascii="Times New Roman" w:eastAsia="Calibri" w:hAnsi="Times New Roman" w:cs="Times New Roman"/>
          <w:sz w:val="24"/>
        </w:rPr>
      </w:pPr>
      <w:r w:rsidRPr="002A3F16">
        <w:rPr>
          <w:rFonts w:ascii="Times New Roman" w:eastAsia="Calibri" w:hAnsi="Times New Roman" w:cs="Times New Roman"/>
          <w:sz w:val="24"/>
        </w:rPr>
        <w:t>Ces changements d’estimation comptables font ainsi l’objet d’ajustements des dotations, et auront des incidences sur la gestion des immobilisations et en conséquence ils impacteront le résultat de l’entreprise. Les impacts varieront en fonction des caractéristiques de l’activité et des actifs de l’entreprise.</w:t>
      </w:r>
    </w:p>
    <w:p w:rsidR="002A3F16" w:rsidRDefault="002A3F16" w:rsidP="002A3F16">
      <w:pPr>
        <w:spacing w:before="60" w:beforeAutospacing="0" w:after="60" w:afterAutospacing="0" w:line="276" w:lineRule="auto"/>
        <w:ind w:firstLine="284"/>
        <w:jc w:val="both"/>
        <w:rPr>
          <w:rFonts w:ascii="Times New Roman" w:eastAsia="Calibri" w:hAnsi="Times New Roman" w:cs="Times New Roman"/>
          <w:sz w:val="24"/>
        </w:rPr>
      </w:pPr>
      <w:r w:rsidRPr="002A3F16">
        <w:rPr>
          <w:rFonts w:ascii="Times New Roman" w:eastAsia="Calibri" w:hAnsi="Times New Roman" w:cs="Times New Roman"/>
          <w:sz w:val="24"/>
        </w:rPr>
        <w:t>En conclusion, les traitements de la première application du SCF possibles qui peuvent être effectués sur les comptes des immobilisations – et qui peuvent avoir un impact sur les comptes de l’entité, peuvent être résumés dans le tableau suivant.</w:t>
      </w:r>
    </w:p>
    <w:p w:rsidR="002A3F16" w:rsidRDefault="002A3F16" w:rsidP="002A3F16">
      <w:pPr>
        <w:spacing w:before="60" w:beforeAutospacing="0" w:after="60" w:afterAutospacing="0" w:line="276" w:lineRule="auto"/>
        <w:ind w:firstLine="284"/>
        <w:jc w:val="both"/>
        <w:rPr>
          <w:rFonts w:ascii="Times New Roman" w:eastAsia="Calibri" w:hAnsi="Times New Roman" w:cs="Times New Roman"/>
          <w:sz w:val="24"/>
        </w:rPr>
      </w:pPr>
    </w:p>
    <w:p w:rsidR="002A3F16" w:rsidRDefault="002A3F16" w:rsidP="002A3F16">
      <w:pPr>
        <w:spacing w:before="60" w:beforeAutospacing="0" w:after="60" w:afterAutospacing="0" w:line="276" w:lineRule="auto"/>
        <w:ind w:firstLine="284"/>
        <w:jc w:val="both"/>
        <w:rPr>
          <w:rFonts w:ascii="Times New Roman" w:eastAsia="Calibri" w:hAnsi="Times New Roman" w:cs="Times New Roman"/>
          <w:sz w:val="24"/>
        </w:rPr>
      </w:pPr>
    </w:p>
    <w:p w:rsidR="002A3F16" w:rsidRDefault="002A3F16" w:rsidP="002A3F16">
      <w:pPr>
        <w:spacing w:before="60" w:beforeAutospacing="0" w:after="60" w:afterAutospacing="0" w:line="276" w:lineRule="auto"/>
        <w:ind w:firstLine="284"/>
        <w:jc w:val="both"/>
        <w:rPr>
          <w:rFonts w:ascii="Times New Roman" w:eastAsia="Calibri" w:hAnsi="Times New Roman" w:cs="Times New Roman"/>
          <w:sz w:val="24"/>
        </w:rPr>
      </w:pPr>
    </w:p>
    <w:p w:rsidR="002A3F16" w:rsidRDefault="002A3F16" w:rsidP="002A3F16">
      <w:pPr>
        <w:spacing w:before="60" w:beforeAutospacing="0" w:after="60" w:afterAutospacing="0" w:line="276" w:lineRule="auto"/>
        <w:ind w:firstLine="284"/>
        <w:jc w:val="both"/>
        <w:rPr>
          <w:rFonts w:ascii="Times New Roman" w:eastAsia="Calibri" w:hAnsi="Times New Roman" w:cs="Times New Roman"/>
          <w:sz w:val="24"/>
        </w:rPr>
      </w:pPr>
    </w:p>
    <w:p w:rsidR="002A3F16" w:rsidRDefault="002A3F16" w:rsidP="002A3F16">
      <w:pPr>
        <w:spacing w:before="60" w:beforeAutospacing="0" w:after="60" w:afterAutospacing="0" w:line="276" w:lineRule="auto"/>
        <w:ind w:firstLine="284"/>
        <w:jc w:val="both"/>
        <w:rPr>
          <w:rFonts w:ascii="Times New Roman" w:eastAsia="Calibri" w:hAnsi="Times New Roman" w:cs="Times New Roman"/>
          <w:sz w:val="24"/>
        </w:rPr>
      </w:pPr>
    </w:p>
    <w:p w:rsidR="002A3F16" w:rsidRDefault="002A3F16" w:rsidP="002A3F16">
      <w:pPr>
        <w:spacing w:before="60" w:beforeAutospacing="0" w:after="60" w:afterAutospacing="0" w:line="276" w:lineRule="auto"/>
        <w:ind w:firstLine="284"/>
        <w:jc w:val="both"/>
        <w:rPr>
          <w:rFonts w:ascii="Times New Roman" w:eastAsia="Calibri" w:hAnsi="Times New Roman" w:cs="Times New Roman"/>
          <w:sz w:val="24"/>
        </w:rPr>
      </w:pPr>
    </w:p>
    <w:p w:rsidR="002A3F16" w:rsidRDefault="002A3F16" w:rsidP="002A3F16">
      <w:pPr>
        <w:spacing w:before="60" w:beforeAutospacing="0" w:after="60" w:afterAutospacing="0" w:line="276" w:lineRule="auto"/>
        <w:ind w:firstLine="284"/>
        <w:jc w:val="both"/>
        <w:rPr>
          <w:rFonts w:ascii="Times New Roman" w:eastAsia="Calibri" w:hAnsi="Times New Roman" w:cs="Times New Roman"/>
          <w:sz w:val="24"/>
        </w:rPr>
      </w:pPr>
    </w:p>
    <w:p w:rsidR="002A3F16" w:rsidRDefault="002A3F16" w:rsidP="002A3F16">
      <w:pPr>
        <w:spacing w:before="60" w:beforeAutospacing="0" w:after="60" w:afterAutospacing="0" w:line="276" w:lineRule="auto"/>
        <w:ind w:firstLine="284"/>
        <w:jc w:val="both"/>
        <w:rPr>
          <w:rFonts w:ascii="Times New Roman" w:eastAsia="Calibri" w:hAnsi="Times New Roman" w:cs="Times New Roman"/>
          <w:sz w:val="24"/>
        </w:rPr>
      </w:pPr>
    </w:p>
    <w:p w:rsidR="002A3F16" w:rsidRDefault="002A3F16" w:rsidP="002A3F16">
      <w:pPr>
        <w:spacing w:before="60" w:beforeAutospacing="0" w:after="60" w:afterAutospacing="0" w:line="276" w:lineRule="auto"/>
        <w:ind w:firstLine="284"/>
        <w:jc w:val="both"/>
        <w:rPr>
          <w:rFonts w:ascii="Times New Roman" w:eastAsia="Calibri" w:hAnsi="Times New Roman" w:cs="Times New Roman"/>
          <w:sz w:val="24"/>
        </w:rPr>
      </w:pPr>
    </w:p>
    <w:p w:rsidR="002A3F16" w:rsidRDefault="002A3F16" w:rsidP="002A3F16">
      <w:pPr>
        <w:spacing w:before="60" w:beforeAutospacing="0" w:after="60" w:afterAutospacing="0" w:line="276" w:lineRule="auto"/>
        <w:ind w:firstLine="284"/>
        <w:jc w:val="both"/>
        <w:rPr>
          <w:rFonts w:ascii="Times New Roman" w:eastAsia="Calibri" w:hAnsi="Times New Roman" w:cs="Times New Roman"/>
          <w:sz w:val="24"/>
        </w:rPr>
      </w:pPr>
    </w:p>
    <w:p w:rsidR="002A3F16" w:rsidRDefault="002A3F16" w:rsidP="002A3F16">
      <w:pPr>
        <w:spacing w:before="60" w:beforeAutospacing="0" w:after="60" w:afterAutospacing="0" w:line="276" w:lineRule="auto"/>
        <w:ind w:firstLine="284"/>
        <w:jc w:val="both"/>
        <w:rPr>
          <w:rFonts w:ascii="Times New Roman" w:eastAsia="Calibri" w:hAnsi="Times New Roman" w:cs="Times New Roman"/>
          <w:sz w:val="24"/>
        </w:rPr>
      </w:pPr>
    </w:p>
    <w:p w:rsidR="002A3F16" w:rsidRDefault="002A3F16" w:rsidP="002A3F16">
      <w:pPr>
        <w:spacing w:before="60" w:beforeAutospacing="0" w:after="60" w:afterAutospacing="0" w:line="276" w:lineRule="auto"/>
        <w:ind w:firstLine="284"/>
        <w:jc w:val="both"/>
        <w:rPr>
          <w:rFonts w:ascii="Times New Roman" w:eastAsia="Calibri" w:hAnsi="Times New Roman" w:cs="Times New Roman"/>
          <w:sz w:val="24"/>
        </w:rPr>
      </w:pPr>
    </w:p>
    <w:p w:rsidR="002A3F16" w:rsidRPr="002A3F16" w:rsidRDefault="002A3F16" w:rsidP="002A3F16">
      <w:pPr>
        <w:spacing w:before="60" w:beforeAutospacing="0" w:after="60" w:afterAutospacing="0" w:line="276" w:lineRule="auto"/>
        <w:ind w:firstLine="284"/>
        <w:jc w:val="both"/>
        <w:rPr>
          <w:rFonts w:ascii="Times New Roman" w:eastAsia="Calibri" w:hAnsi="Times New Roman" w:cs="Times New Roman"/>
          <w:sz w:val="24"/>
        </w:rPr>
      </w:pPr>
    </w:p>
    <w:p w:rsidR="002A3F16" w:rsidRPr="002A3F16" w:rsidRDefault="002A3F16" w:rsidP="002A3F16">
      <w:pPr>
        <w:spacing w:before="60" w:beforeAutospacing="0" w:after="60" w:afterAutospacing="0" w:line="276" w:lineRule="auto"/>
        <w:ind w:firstLine="284"/>
        <w:jc w:val="both"/>
        <w:rPr>
          <w:rFonts w:ascii="Times New Roman" w:eastAsia="Calibri" w:hAnsi="Times New Roman" w:cs="Times New Roman"/>
          <w:b/>
          <w:sz w:val="24"/>
        </w:rPr>
      </w:pPr>
      <w:r w:rsidRPr="002A3F16">
        <w:rPr>
          <w:rFonts w:ascii="Times New Roman" w:eastAsia="Calibri" w:hAnsi="Times New Roman" w:cs="Times New Roman"/>
          <w:b/>
          <w:sz w:val="24"/>
        </w:rPr>
        <w:lastRenderedPageBreak/>
        <w:t>Tableau (1) : Traitements possibles sur les immobilisations</w:t>
      </w:r>
    </w:p>
    <w:tbl>
      <w:tblPr>
        <w:tblStyle w:val="Grilledutableau1"/>
        <w:tblW w:w="9180" w:type="dxa"/>
        <w:tblLook w:val="04A0" w:firstRow="1" w:lastRow="0" w:firstColumn="1" w:lastColumn="0" w:noHBand="0" w:noVBand="1"/>
      </w:tblPr>
      <w:tblGrid>
        <w:gridCol w:w="5353"/>
        <w:gridCol w:w="1843"/>
        <w:gridCol w:w="1984"/>
      </w:tblGrid>
      <w:tr w:rsidR="002A3F16" w:rsidRPr="002A3F16" w:rsidTr="00093157">
        <w:tc>
          <w:tcPr>
            <w:tcW w:w="5353" w:type="dxa"/>
            <w:vAlign w:val="center"/>
          </w:tcPr>
          <w:p w:rsidR="002A3F16" w:rsidRPr="002A3F16" w:rsidRDefault="002A3F16" w:rsidP="002A3F16">
            <w:pPr>
              <w:spacing w:after="120"/>
              <w:rPr>
                <w:rFonts w:ascii="Times New Roman" w:eastAsia="Calibri" w:hAnsi="Times New Roman" w:cs="Times New Roman"/>
                <w:sz w:val="24"/>
              </w:rPr>
            </w:pPr>
            <w:r w:rsidRPr="002A3F16">
              <w:rPr>
                <w:rFonts w:ascii="Times New Roman" w:eastAsia="Calibri" w:hAnsi="Times New Roman" w:cs="Times New Roman"/>
                <w:sz w:val="24"/>
              </w:rPr>
              <w:t>La nature de traitement</w:t>
            </w:r>
          </w:p>
        </w:tc>
        <w:tc>
          <w:tcPr>
            <w:tcW w:w="1843" w:type="dxa"/>
            <w:vAlign w:val="center"/>
          </w:tcPr>
          <w:p w:rsidR="002A3F16" w:rsidRPr="002A3F16" w:rsidRDefault="002A3F16" w:rsidP="002A3F16">
            <w:pPr>
              <w:spacing w:after="120"/>
              <w:rPr>
                <w:rFonts w:ascii="Times New Roman" w:eastAsia="Calibri" w:hAnsi="Times New Roman" w:cs="Times New Roman"/>
                <w:sz w:val="24"/>
              </w:rPr>
            </w:pPr>
            <w:r w:rsidRPr="002A3F16">
              <w:rPr>
                <w:rFonts w:ascii="Times New Roman" w:eastAsia="Calibri" w:hAnsi="Times New Roman" w:cs="Times New Roman"/>
                <w:sz w:val="24"/>
              </w:rPr>
              <w:t>Impact sur les CP</w:t>
            </w:r>
          </w:p>
        </w:tc>
        <w:tc>
          <w:tcPr>
            <w:tcW w:w="1984" w:type="dxa"/>
            <w:vAlign w:val="center"/>
          </w:tcPr>
          <w:p w:rsidR="002A3F16" w:rsidRPr="002A3F16" w:rsidRDefault="002A3F16" w:rsidP="002A3F16">
            <w:pPr>
              <w:spacing w:after="120"/>
              <w:rPr>
                <w:rFonts w:ascii="Times New Roman" w:eastAsia="Calibri" w:hAnsi="Times New Roman" w:cs="Times New Roman"/>
                <w:sz w:val="24"/>
              </w:rPr>
            </w:pPr>
            <w:r w:rsidRPr="002A3F16">
              <w:rPr>
                <w:rFonts w:ascii="Times New Roman" w:eastAsia="Calibri" w:hAnsi="Times New Roman" w:cs="Times New Roman"/>
                <w:sz w:val="24"/>
              </w:rPr>
              <w:t>Impact sur le résultat</w:t>
            </w:r>
          </w:p>
        </w:tc>
      </w:tr>
      <w:tr w:rsidR="002A3F16" w:rsidRPr="002A3F16" w:rsidTr="00093157">
        <w:tc>
          <w:tcPr>
            <w:tcW w:w="5353" w:type="dxa"/>
            <w:vAlign w:val="center"/>
          </w:tcPr>
          <w:p w:rsidR="002A3F16" w:rsidRPr="002A3F16" w:rsidRDefault="002A3F16" w:rsidP="002A3F16">
            <w:pPr>
              <w:numPr>
                <w:ilvl w:val="0"/>
                <w:numId w:val="44"/>
              </w:numPr>
              <w:ind w:left="357" w:hanging="357"/>
              <w:rPr>
                <w:rFonts w:ascii="Times New Roman" w:eastAsia="Calibri" w:hAnsi="Times New Roman" w:cs="Times New Roman"/>
                <w:sz w:val="24"/>
              </w:rPr>
            </w:pPr>
            <w:r w:rsidRPr="002A3F16">
              <w:rPr>
                <w:rFonts w:ascii="Times New Roman" w:eastAsia="Calibri" w:hAnsi="Times New Roman" w:cs="Times New Roman"/>
                <w:sz w:val="24"/>
              </w:rPr>
              <w:t>Réévaluation des immobilisations</w:t>
            </w:r>
          </w:p>
        </w:tc>
        <w:tc>
          <w:tcPr>
            <w:tcW w:w="1843" w:type="dxa"/>
            <w:vAlign w:val="center"/>
          </w:tcPr>
          <w:p w:rsidR="002A3F16" w:rsidRPr="002A3F16" w:rsidRDefault="002A3F16" w:rsidP="002A3F16">
            <w:pPr>
              <w:spacing w:after="120"/>
              <w:rPr>
                <w:rFonts w:ascii="Times New Roman" w:eastAsia="Calibri" w:hAnsi="Times New Roman" w:cs="Times New Roman"/>
                <w:sz w:val="24"/>
              </w:rPr>
            </w:pPr>
            <w:r w:rsidRPr="002A3F16">
              <w:rPr>
                <w:rFonts w:ascii="Times New Roman" w:eastAsia="Calibri" w:hAnsi="Times New Roman" w:cs="Times New Roman"/>
                <w:sz w:val="24"/>
              </w:rPr>
              <w:t>oui</w:t>
            </w:r>
          </w:p>
        </w:tc>
        <w:tc>
          <w:tcPr>
            <w:tcW w:w="1984" w:type="dxa"/>
            <w:vAlign w:val="center"/>
          </w:tcPr>
          <w:p w:rsidR="002A3F16" w:rsidRPr="002A3F16" w:rsidRDefault="002A3F16" w:rsidP="002A3F16">
            <w:pPr>
              <w:spacing w:after="120"/>
              <w:rPr>
                <w:rFonts w:ascii="Times New Roman" w:eastAsia="Calibri" w:hAnsi="Times New Roman" w:cs="Times New Roman"/>
                <w:sz w:val="24"/>
              </w:rPr>
            </w:pPr>
            <w:r w:rsidRPr="002A3F16">
              <w:rPr>
                <w:rFonts w:ascii="Times New Roman" w:eastAsia="Calibri" w:hAnsi="Times New Roman" w:cs="Times New Roman"/>
                <w:sz w:val="24"/>
              </w:rPr>
              <w:t>-</w:t>
            </w:r>
          </w:p>
        </w:tc>
      </w:tr>
      <w:tr w:rsidR="002A3F16" w:rsidRPr="002A3F16" w:rsidTr="00093157">
        <w:tc>
          <w:tcPr>
            <w:tcW w:w="5353" w:type="dxa"/>
            <w:vAlign w:val="center"/>
          </w:tcPr>
          <w:p w:rsidR="002A3F16" w:rsidRPr="002A3F16" w:rsidRDefault="002A3F16" w:rsidP="002A3F16">
            <w:pPr>
              <w:numPr>
                <w:ilvl w:val="0"/>
                <w:numId w:val="44"/>
              </w:numPr>
              <w:ind w:left="357" w:hanging="357"/>
              <w:rPr>
                <w:rFonts w:ascii="Times New Roman" w:eastAsia="Calibri" w:hAnsi="Times New Roman" w:cs="Times New Roman"/>
                <w:sz w:val="24"/>
              </w:rPr>
            </w:pPr>
            <w:r w:rsidRPr="002A3F16">
              <w:rPr>
                <w:rFonts w:ascii="Times New Roman" w:eastAsia="Calibri" w:hAnsi="Times New Roman" w:cs="Times New Roman"/>
                <w:sz w:val="24"/>
              </w:rPr>
              <w:t>Coût de démantèlement et remise en état des sites</w:t>
            </w:r>
          </w:p>
        </w:tc>
        <w:tc>
          <w:tcPr>
            <w:tcW w:w="1843" w:type="dxa"/>
            <w:vAlign w:val="center"/>
          </w:tcPr>
          <w:p w:rsidR="002A3F16" w:rsidRPr="002A3F16" w:rsidRDefault="002A3F16" w:rsidP="002A3F16">
            <w:pPr>
              <w:spacing w:after="120"/>
              <w:rPr>
                <w:rFonts w:ascii="Times New Roman" w:eastAsia="Calibri" w:hAnsi="Times New Roman" w:cs="Times New Roman"/>
                <w:sz w:val="24"/>
              </w:rPr>
            </w:pPr>
            <w:r w:rsidRPr="002A3F16">
              <w:rPr>
                <w:rFonts w:ascii="Times New Roman" w:eastAsia="Calibri" w:hAnsi="Times New Roman" w:cs="Times New Roman"/>
                <w:sz w:val="24"/>
              </w:rPr>
              <w:t>oui</w:t>
            </w:r>
            <w:r w:rsidRPr="002A3F16">
              <w:rPr>
                <w:rFonts w:ascii="Times New Roman" w:eastAsia="Calibri" w:hAnsi="Times New Roman" w:cs="Times New Roman"/>
                <w:sz w:val="24"/>
                <w:vertAlign w:val="superscript"/>
              </w:rPr>
              <w:footnoteReference w:customMarkFollows="1" w:id="105"/>
              <w:sym w:font="Symbol" w:char="F02A"/>
            </w:r>
          </w:p>
        </w:tc>
        <w:tc>
          <w:tcPr>
            <w:tcW w:w="1984" w:type="dxa"/>
            <w:vAlign w:val="center"/>
          </w:tcPr>
          <w:p w:rsidR="002A3F16" w:rsidRPr="002A3F16" w:rsidRDefault="002A3F16" w:rsidP="002A3F16">
            <w:pPr>
              <w:spacing w:after="120"/>
              <w:rPr>
                <w:rFonts w:ascii="Times New Roman" w:eastAsia="Calibri" w:hAnsi="Times New Roman" w:cs="Times New Roman"/>
                <w:sz w:val="24"/>
              </w:rPr>
            </w:pPr>
            <w:r w:rsidRPr="002A3F16">
              <w:rPr>
                <w:rFonts w:ascii="Times New Roman" w:eastAsia="Calibri" w:hAnsi="Times New Roman" w:cs="Times New Roman"/>
                <w:sz w:val="24"/>
              </w:rPr>
              <w:t>oui</w:t>
            </w:r>
            <w:r w:rsidRPr="002A3F16">
              <w:rPr>
                <w:rFonts w:ascii="Times New Roman" w:eastAsia="Calibri" w:hAnsi="Times New Roman" w:cs="Times New Roman"/>
                <w:sz w:val="24"/>
                <w:vertAlign w:val="superscript"/>
              </w:rPr>
              <w:t>*</w:t>
            </w:r>
          </w:p>
        </w:tc>
      </w:tr>
      <w:tr w:rsidR="002A3F16" w:rsidRPr="002A3F16" w:rsidTr="00093157">
        <w:tc>
          <w:tcPr>
            <w:tcW w:w="5353" w:type="dxa"/>
            <w:vAlign w:val="center"/>
          </w:tcPr>
          <w:p w:rsidR="002A3F16" w:rsidRPr="002A3F16" w:rsidRDefault="002A3F16" w:rsidP="002A3F16">
            <w:pPr>
              <w:numPr>
                <w:ilvl w:val="0"/>
                <w:numId w:val="44"/>
              </w:numPr>
              <w:ind w:left="357" w:hanging="357"/>
              <w:rPr>
                <w:rFonts w:ascii="Times New Roman" w:eastAsia="Calibri" w:hAnsi="Times New Roman" w:cs="Times New Roman"/>
                <w:sz w:val="24"/>
              </w:rPr>
            </w:pPr>
            <w:r w:rsidRPr="002A3F16">
              <w:rPr>
                <w:rFonts w:ascii="Times New Roman" w:eastAsia="Calibri" w:hAnsi="Times New Roman" w:cs="Times New Roman"/>
                <w:sz w:val="24"/>
              </w:rPr>
              <w:t>Coût d’emprunt capitalisé</w:t>
            </w:r>
          </w:p>
        </w:tc>
        <w:tc>
          <w:tcPr>
            <w:tcW w:w="1843" w:type="dxa"/>
            <w:vAlign w:val="center"/>
          </w:tcPr>
          <w:p w:rsidR="002A3F16" w:rsidRPr="002A3F16" w:rsidRDefault="002A3F16" w:rsidP="002A3F16">
            <w:pPr>
              <w:spacing w:after="120"/>
              <w:rPr>
                <w:rFonts w:ascii="Times New Roman" w:eastAsia="Calibri" w:hAnsi="Times New Roman" w:cs="Times New Roman"/>
                <w:sz w:val="24"/>
              </w:rPr>
            </w:pPr>
            <w:r w:rsidRPr="002A3F16">
              <w:rPr>
                <w:rFonts w:ascii="Times New Roman" w:eastAsia="Calibri" w:hAnsi="Times New Roman" w:cs="Times New Roman"/>
                <w:sz w:val="24"/>
              </w:rPr>
              <w:t>oui</w:t>
            </w:r>
            <w:r w:rsidRPr="002A3F16">
              <w:rPr>
                <w:rFonts w:ascii="Times New Roman" w:eastAsia="Calibri" w:hAnsi="Times New Roman" w:cs="Times New Roman"/>
                <w:sz w:val="24"/>
                <w:vertAlign w:val="superscript"/>
              </w:rPr>
              <w:t>*</w:t>
            </w:r>
          </w:p>
        </w:tc>
        <w:tc>
          <w:tcPr>
            <w:tcW w:w="1984" w:type="dxa"/>
            <w:vAlign w:val="center"/>
          </w:tcPr>
          <w:p w:rsidR="002A3F16" w:rsidRPr="002A3F16" w:rsidRDefault="002A3F16" w:rsidP="002A3F16">
            <w:pPr>
              <w:spacing w:after="120"/>
              <w:rPr>
                <w:rFonts w:ascii="Times New Roman" w:eastAsia="Calibri" w:hAnsi="Times New Roman" w:cs="Times New Roman"/>
                <w:sz w:val="24"/>
              </w:rPr>
            </w:pPr>
            <w:r w:rsidRPr="002A3F16">
              <w:rPr>
                <w:rFonts w:ascii="Times New Roman" w:eastAsia="Calibri" w:hAnsi="Times New Roman" w:cs="Times New Roman"/>
                <w:sz w:val="24"/>
              </w:rPr>
              <w:t>oui</w:t>
            </w:r>
            <w:r w:rsidRPr="002A3F16">
              <w:rPr>
                <w:rFonts w:ascii="Times New Roman" w:eastAsia="Calibri" w:hAnsi="Times New Roman" w:cs="Times New Roman"/>
                <w:sz w:val="24"/>
                <w:vertAlign w:val="superscript"/>
              </w:rPr>
              <w:t>*</w:t>
            </w:r>
          </w:p>
        </w:tc>
      </w:tr>
      <w:tr w:rsidR="002A3F16" w:rsidRPr="002A3F16" w:rsidTr="00093157">
        <w:tc>
          <w:tcPr>
            <w:tcW w:w="5353" w:type="dxa"/>
            <w:vAlign w:val="center"/>
          </w:tcPr>
          <w:p w:rsidR="002A3F16" w:rsidRPr="002A3F16" w:rsidRDefault="002A3F16" w:rsidP="002A3F16">
            <w:pPr>
              <w:numPr>
                <w:ilvl w:val="0"/>
                <w:numId w:val="44"/>
              </w:numPr>
              <w:ind w:left="357" w:hanging="357"/>
              <w:rPr>
                <w:rFonts w:ascii="Times New Roman" w:eastAsia="Calibri" w:hAnsi="Times New Roman" w:cs="Times New Roman"/>
                <w:sz w:val="24"/>
              </w:rPr>
            </w:pPr>
            <w:r w:rsidRPr="002A3F16">
              <w:rPr>
                <w:rFonts w:ascii="Times New Roman" w:eastAsia="Calibri" w:hAnsi="Times New Roman" w:cs="Times New Roman"/>
                <w:sz w:val="24"/>
              </w:rPr>
              <w:t>Perte de change sur emprunt en devise capitalisé dans le coût des actifs</w:t>
            </w:r>
          </w:p>
        </w:tc>
        <w:tc>
          <w:tcPr>
            <w:tcW w:w="1843" w:type="dxa"/>
            <w:vAlign w:val="center"/>
          </w:tcPr>
          <w:p w:rsidR="002A3F16" w:rsidRPr="002A3F16" w:rsidRDefault="002A3F16" w:rsidP="002A3F16">
            <w:pPr>
              <w:spacing w:after="120"/>
              <w:rPr>
                <w:rFonts w:ascii="Times New Roman" w:eastAsia="Calibri" w:hAnsi="Times New Roman" w:cs="Times New Roman"/>
                <w:sz w:val="24"/>
              </w:rPr>
            </w:pPr>
            <w:r w:rsidRPr="002A3F16">
              <w:rPr>
                <w:rFonts w:ascii="Times New Roman" w:eastAsia="Calibri" w:hAnsi="Times New Roman" w:cs="Times New Roman"/>
                <w:sz w:val="24"/>
              </w:rPr>
              <w:t>oui</w:t>
            </w:r>
            <w:r w:rsidRPr="002A3F16">
              <w:rPr>
                <w:rFonts w:ascii="Times New Roman" w:eastAsia="Calibri" w:hAnsi="Times New Roman" w:cs="Times New Roman"/>
                <w:sz w:val="24"/>
                <w:vertAlign w:val="superscript"/>
              </w:rPr>
              <w:t>*</w:t>
            </w:r>
          </w:p>
        </w:tc>
        <w:tc>
          <w:tcPr>
            <w:tcW w:w="1984" w:type="dxa"/>
            <w:vAlign w:val="center"/>
          </w:tcPr>
          <w:p w:rsidR="002A3F16" w:rsidRPr="002A3F16" w:rsidRDefault="002A3F16" w:rsidP="002A3F16">
            <w:pPr>
              <w:spacing w:after="120"/>
              <w:rPr>
                <w:rFonts w:ascii="Times New Roman" w:eastAsia="Calibri" w:hAnsi="Times New Roman" w:cs="Times New Roman"/>
                <w:sz w:val="24"/>
              </w:rPr>
            </w:pPr>
            <w:r w:rsidRPr="002A3F16">
              <w:rPr>
                <w:rFonts w:ascii="Times New Roman" w:eastAsia="Calibri" w:hAnsi="Times New Roman" w:cs="Times New Roman"/>
                <w:sz w:val="24"/>
              </w:rPr>
              <w:t>oui</w:t>
            </w:r>
            <w:r w:rsidRPr="002A3F16">
              <w:rPr>
                <w:rFonts w:ascii="Times New Roman" w:eastAsia="Calibri" w:hAnsi="Times New Roman" w:cs="Times New Roman"/>
                <w:sz w:val="24"/>
                <w:vertAlign w:val="superscript"/>
              </w:rPr>
              <w:t>*</w:t>
            </w:r>
          </w:p>
        </w:tc>
      </w:tr>
      <w:tr w:rsidR="002A3F16" w:rsidRPr="002A3F16" w:rsidTr="00093157">
        <w:tc>
          <w:tcPr>
            <w:tcW w:w="5353" w:type="dxa"/>
            <w:vAlign w:val="center"/>
          </w:tcPr>
          <w:p w:rsidR="002A3F16" w:rsidRPr="002A3F16" w:rsidRDefault="002A3F16" w:rsidP="002A3F16">
            <w:pPr>
              <w:numPr>
                <w:ilvl w:val="0"/>
                <w:numId w:val="44"/>
              </w:numPr>
              <w:ind w:left="357" w:hanging="357"/>
              <w:rPr>
                <w:rFonts w:ascii="Times New Roman" w:eastAsia="Calibri" w:hAnsi="Times New Roman" w:cs="Times New Roman"/>
                <w:sz w:val="24"/>
              </w:rPr>
            </w:pPr>
            <w:r w:rsidRPr="002A3F16">
              <w:rPr>
                <w:rFonts w:ascii="Times New Roman" w:eastAsia="Calibri" w:hAnsi="Times New Roman" w:cs="Times New Roman"/>
                <w:sz w:val="24"/>
              </w:rPr>
              <w:t>Amortissements</w:t>
            </w:r>
          </w:p>
        </w:tc>
        <w:tc>
          <w:tcPr>
            <w:tcW w:w="1843" w:type="dxa"/>
            <w:vAlign w:val="center"/>
          </w:tcPr>
          <w:p w:rsidR="002A3F16" w:rsidRPr="002A3F16" w:rsidRDefault="002A3F16" w:rsidP="002A3F16">
            <w:pPr>
              <w:spacing w:after="120"/>
              <w:rPr>
                <w:rFonts w:ascii="Times New Roman" w:eastAsia="Calibri" w:hAnsi="Times New Roman" w:cs="Times New Roman"/>
                <w:sz w:val="24"/>
              </w:rPr>
            </w:pPr>
            <w:r w:rsidRPr="002A3F16">
              <w:rPr>
                <w:rFonts w:ascii="Times New Roman" w:eastAsia="Calibri" w:hAnsi="Times New Roman" w:cs="Times New Roman"/>
                <w:sz w:val="24"/>
              </w:rPr>
              <w:t>oui</w:t>
            </w:r>
            <w:r w:rsidRPr="002A3F16">
              <w:rPr>
                <w:rFonts w:ascii="Times New Roman" w:eastAsia="Calibri" w:hAnsi="Times New Roman" w:cs="Times New Roman"/>
                <w:sz w:val="24"/>
                <w:vertAlign w:val="superscript"/>
              </w:rPr>
              <w:t>*</w:t>
            </w:r>
          </w:p>
        </w:tc>
        <w:tc>
          <w:tcPr>
            <w:tcW w:w="1984" w:type="dxa"/>
            <w:vAlign w:val="center"/>
          </w:tcPr>
          <w:p w:rsidR="002A3F16" w:rsidRPr="002A3F16" w:rsidRDefault="002A3F16" w:rsidP="002A3F16">
            <w:pPr>
              <w:spacing w:after="120"/>
              <w:rPr>
                <w:rFonts w:ascii="Times New Roman" w:eastAsia="Calibri" w:hAnsi="Times New Roman" w:cs="Times New Roman"/>
                <w:sz w:val="24"/>
              </w:rPr>
            </w:pPr>
            <w:r w:rsidRPr="002A3F16">
              <w:rPr>
                <w:rFonts w:ascii="Times New Roman" w:eastAsia="Calibri" w:hAnsi="Times New Roman" w:cs="Times New Roman"/>
                <w:sz w:val="24"/>
              </w:rPr>
              <w:t>oui</w:t>
            </w:r>
          </w:p>
        </w:tc>
      </w:tr>
      <w:tr w:rsidR="002A3F16" w:rsidRPr="002A3F16" w:rsidTr="00093157">
        <w:tc>
          <w:tcPr>
            <w:tcW w:w="5353" w:type="dxa"/>
            <w:vAlign w:val="center"/>
          </w:tcPr>
          <w:p w:rsidR="002A3F16" w:rsidRPr="002A3F16" w:rsidRDefault="002A3F16" w:rsidP="002A3F16">
            <w:pPr>
              <w:numPr>
                <w:ilvl w:val="0"/>
                <w:numId w:val="44"/>
              </w:numPr>
              <w:ind w:left="357" w:hanging="357"/>
              <w:rPr>
                <w:rFonts w:ascii="Times New Roman" w:eastAsia="Calibri" w:hAnsi="Times New Roman" w:cs="Times New Roman"/>
                <w:sz w:val="24"/>
              </w:rPr>
            </w:pPr>
            <w:r w:rsidRPr="002A3F16">
              <w:rPr>
                <w:rFonts w:ascii="Times New Roman" w:eastAsia="Calibri" w:hAnsi="Times New Roman" w:cs="Times New Roman"/>
                <w:sz w:val="24"/>
              </w:rPr>
              <w:t>Dépréciations (lorsque la valeur recouvrable est inférieure à la valeur nette comptable)</w:t>
            </w:r>
          </w:p>
        </w:tc>
        <w:tc>
          <w:tcPr>
            <w:tcW w:w="1843" w:type="dxa"/>
            <w:vAlign w:val="center"/>
          </w:tcPr>
          <w:p w:rsidR="002A3F16" w:rsidRPr="002A3F16" w:rsidRDefault="002A3F16" w:rsidP="002A3F16">
            <w:pPr>
              <w:spacing w:after="120"/>
              <w:rPr>
                <w:rFonts w:ascii="Times New Roman" w:eastAsia="Calibri" w:hAnsi="Times New Roman" w:cs="Times New Roman"/>
                <w:sz w:val="24"/>
              </w:rPr>
            </w:pPr>
            <w:r w:rsidRPr="002A3F16">
              <w:rPr>
                <w:rFonts w:ascii="Times New Roman" w:eastAsia="Calibri" w:hAnsi="Times New Roman" w:cs="Times New Roman"/>
                <w:sz w:val="24"/>
              </w:rPr>
              <w:t>oui</w:t>
            </w:r>
            <w:r w:rsidRPr="002A3F16">
              <w:rPr>
                <w:rFonts w:ascii="Times New Roman" w:eastAsia="Calibri" w:hAnsi="Times New Roman" w:cs="Times New Roman"/>
                <w:sz w:val="24"/>
                <w:vertAlign w:val="superscript"/>
              </w:rPr>
              <w:t>*</w:t>
            </w:r>
          </w:p>
        </w:tc>
        <w:tc>
          <w:tcPr>
            <w:tcW w:w="1984" w:type="dxa"/>
            <w:vAlign w:val="center"/>
          </w:tcPr>
          <w:p w:rsidR="002A3F16" w:rsidRPr="002A3F16" w:rsidRDefault="002A3F16" w:rsidP="002A3F16">
            <w:pPr>
              <w:spacing w:after="120"/>
              <w:rPr>
                <w:rFonts w:ascii="Times New Roman" w:eastAsia="Calibri" w:hAnsi="Times New Roman" w:cs="Times New Roman"/>
                <w:sz w:val="24"/>
              </w:rPr>
            </w:pPr>
            <w:r w:rsidRPr="002A3F16">
              <w:rPr>
                <w:rFonts w:ascii="Times New Roman" w:eastAsia="Calibri" w:hAnsi="Times New Roman" w:cs="Times New Roman"/>
                <w:sz w:val="24"/>
              </w:rPr>
              <w:t>oui</w:t>
            </w:r>
          </w:p>
        </w:tc>
      </w:tr>
      <w:tr w:rsidR="002A3F16" w:rsidRPr="002A3F16" w:rsidTr="00093157">
        <w:tc>
          <w:tcPr>
            <w:tcW w:w="5353" w:type="dxa"/>
            <w:vAlign w:val="center"/>
          </w:tcPr>
          <w:p w:rsidR="002A3F16" w:rsidRPr="002A3F16" w:rsidRDefault="002A3F16" w:rsidP="002A3F16">
            <w:pPr>
              <w:numPr>
                <w:ilvl w:val="0"/>
                <w:numId w:val="44"/>
              </w:numPr>
              <w:ind w:left="357" w:hanging="357"/>
              <w:rPr>
                <w:rFonts w:ascii="Times New Roman" w:eastAsia="Calibri" w:hAnsi="Times New Roman" w:cs="Times New Roman"/>
                <w:sz w:val="24"/>
              </w:rPr>
            </w:pPr>
            <w:r w:rsidRPr="002A3F16">
              <w:rPr>
                <w:rFonts w:ascii="Times New Roman" w:eastAsia="Calibri" w:hAnsi="Times New Roman" w:cs="Times New Roman"/>
                <w:sz w:val="24"/>
              </w:rPr>
              <w:t>Désactivation des charges à répartir sur plusieurs exercices</w:t>
            </w:r>
          </w:p>
        </w:tc>
        <w:tc>
          <w:tcPr>
            <w:tcW w:w="1843" w:type="dxa"/>
            <w:vAlign w:val="center"/>
          </w:tcPr>
          <w:p w:rsidR="002A3F16" w:rsidRPr="002A3F16" w:rsidRDefault="002A3F16" w:rsidP="002A3F16">
            <w:pPr>
              <w:spacing w:after="120"/>
              <w:rPr>
                <w:rFonts w:ascii="Times New Roman" w:eastAsia="Calibri" w:hAnsi="Times New Roman" w:cs="Times New Roman"/>
                <w:sz w:val="24"/>
              </w:rPr>
            </w:pPr>
            <w:r w:rsidRPr="002A3F16">
              <w:rPr>
                <w:rFonts w:ascii="Times New Roman" w:eastAsia="Calibri" w:hAnsi="Times New Roman" w:cs="Times New Roman"/>
                <w:sz w:val="24"/>
              </w:rPr>
              <w:t>oui</w:t>
            </w:r>
            <w:r w:rsidRPr="002A3F16">
              <w:rPr>
                <w:rFonts w:ascii="Times New Roman" w:eastAsia="Calibri" w:hAnsi="Times New Roman" w:cs="Times New Roman"/>
                <w:sz w:val="24"/>
                <w:vertAlign w:val="superscript"/>
              </w:rPr>
              <w:t>*</w:t>
            </w:r>
          </w:p>
        </w:tc>
        <w:tc>
          <w:tcPr>
            <w:tcW w:w="1984" w:type="dxa"/>
            <w:vAlign w:val="center"/>
          </w:tcPr>
          <w:p w:rsidR="002A3F16" w:rsidRPr="002A3F16" w:rsidRDefault="002A3F16" w:rsidP="002A3F16">
            <w:pPr>
              <w:spacing w:after="120"/>
              <w:rPr>
                <w:rFonts w:ascii="Times New Roman" w:eastAsia="Calibri" w:hAnsi="Times New Roman" w:cs="Times New Roman"/>
                <w:sz w:val="24"/>
              </w:rPr>
            </w:pPr>
            <w:r w:rsidRPr="002A3F16">
              <w:rPr>
                <w:rFonts w:ascii="Times New Roman" w:eastAsia="Calibri" w:hAnsi="Times New Roman" w:cs="Times New Roman"/>
                <w:sz w:val="24"/>
              </w:rPr>
              <w:t>oui</w:t>
            </w:r>
          </w:p>
        </w:tc>
      </w:tr>
    </w:tbl>
    <w:p w:rsidR="002A3F16" w:rsidRPr="002A3F16" w:rsidRDefault="002A3F16" w:rsidP="002A3F16">
      <w:pPr>
        <w:spacing w:before="180" w:beforeAutospacing="0" w:after="60" w:afterAutospacing="0" w:line="276" w:lineRule="auto"/>
        <w:jc w:val="both"/>
        <w:rPr>
          <w:rFonts w:ascii="Times New Roman" w:hAnsi="Times New Roman" w:cs="Times New Roman"/>
          <w:b/>
          <w:bCs/>
          <w:sz w:val="24"/>
          <w:szCs w:val="24"/>
        </w:rPr>
      </w:pPr>
      <w:r w:rsidRPr="002A3F16">
        <w:rPr>
          <w:rFonts w:ascii="Times New Roman" w:hAnsi="Times New Roman" w:cs="Times New Roman"/>
          <w:b/>
          <w:bCs/>
          <w:sz w:val="24"/>
          <w:szCs w:val="24"/>
        </w:rPr>
        <w:t>3.3.2. Actifs et passifs financiers non courants (instruments financiers)</w:t>
      </w:r>
    </w:p>
    <w:p w:rsidR="002A3F16" w:rsidRPr="002A3F16" w:rsidRDefault="002A3F16" w:rsidP="002A3F16">
      <w:pPr>
        <w:spacing w:before="60" w:beforeAutospacing="0" w:after="60" w:afterAutospacing="0" w:line="276" w:lineRule="auto"/>
        <w:ind w:firstLine="284"/>
        <w:jc w:val="both"/>
        <w:rPr>
          <w:rFonts w:ascii="Times New Roman" w:eastAsia="Calibri" w:hAnsi="Times New Roman" w:cs="Times New Roman"/>
          <w:sz w:val="24"/>
        </w:rPr>
      </w:pPr>
      <w:r w:rsidRPr="002A3F16">
        <w:rPr>
          <w:rFonts w:ascii="Times New Roman" w:eastAsia="Calibri" w:hAnsi="Times New Roman" w:cs="Times New Roman"/>
          <w:sz w:val="24"/>
        </w:rPr>
        <w:t xml:space="preserve">Un instrument financier désigne tout contrat qui donne lieu à la fois à un actif financier pour une entreprise et, à un passif financier ou un instrument de capitaux propres pour une autre. </w:t>
      </w:r>
    </w:p>
    <w:p w:rsidR="002A3F16" w:rsidRPr="002A3F16" w:rsidRDefault="002A3F16" w:rsidP="002A3F16">
      <w:pPr>
        <w:spacing w:before="60" w:beforeAutospacing="0" w:after="60" w:afterAutospacing="0" w:line="276" w:lineRule="auto"/>
        <w:ind w:firstLine="284"/>
        <w:jc w:val="both"/>
        <w:rPr>
          <w:rFonts w:ascii="Times New Roman" w:hAnsi="Times New Roman" w:cs="Times New Roman"/>
          <w:sz w:val="24"/>
        </w:rPr>
      </w:pPr>
      <w:r w:rsidRPr="002A3F16">
        <w:rPr>
          <w:rFonts w:ascii="Times New Roman" w:eastAsia="Calibri" w:hAnsi="Times New Roman" w:cs="Times New Roman"/>
          <w:sz w:val="24"/>
        </w:rPr>
        <w:t>Les immobilisations financières sont des actifs financiers d’utilisation durable (non courant), elles sont composées des participations, activité de portefeuille, placement LT, et des prêts et créances à plus de douze (12) mois.</w:t>
      </w:r>
      <w:r w:rsidRPr="002A3F16">
        <w:rPr>
          <w:rFonts w:ascii="Times New Roman" w:hAnsi="Times New Roman" w:cs="Times New Roman"/>
          <w:sz w:val="24"/>
        </w:rPr>
        <w:t xml:space="preserve"> </w:t>
      </w:r>
    </w:p>
    <w:p w:rsidR="002A3F16" w:rsidRPr="002A3F16" w:rsidRDefault="002A3F16" w:rsidP="002A3F16">
      <w:pPr>
        <w:spacing w:before="60" w:beforeAutospacing="0" w:after="60" w:afterAutospacing="0" w:line="276" w:lineRule="auto"/>
        <w:ind w:firstLine="284"/>
        <w:jc w:val="both"/>
        <w:rPr>
          <w:rFonts w:ascii="Times New Roman" w:eastAsia="Calibri" w:hAnsi="Times New Roman" w:cs="Times New Roman"/>
          <w:sz w:val="24"/>
        </w:rPr>
      </w:pPr>
      <w:r w:rsidRPr="002A3F16">
        <w:rPr>
          <w:rFonts w:ascii="Times New Roman" w:hAnsi="Times New Roman" w:cs="Times New Roman"/>
          <w:sz w:val="24"/>
        </w:rPr>
        <w:t xml:space="preserve">Ainsi, les passifs financiers non courants représentent tous les emprunts (ou autres </w:t>
      </w:r>
      <w:proofErr w:type="gramStart"/>
      <w:r w:rsidRPr="002A3F16">
        <w:rPr>
          <w:rFonts w:ascii="Times New Roman" w:hAnsi="Times New Roman" w:cs="Times New Roman"/>
          <w:sz w:val="24"/>
        </w:rPr>
        <w:t>passifs</w:t>
      </w:r>
      <w:proofErr w:type="gramEnd"/>
      <w:r w:rsidRPr="002A3F16">
        <w:rPr>
          <w:rFonts w:ascii="Times New Roman" w:hAnsi="Times New Roman" w:cs="Times New Roman"/>
          <w:sz w:val="24"/>
        </w:rPr>
        <w:t xml:space="preserve"> financier non courants) à une durée supérieure à un exercice. </w:t>
      </w:r>
    </w:p>
    <w:p w:rsidR="002A3F16" w:rsidRPr="002A3F16" w:rsidRDefault="002A3F16" w:rsidP="002A3F16">
      <w:pPr>
        <w:spacing w:before="60" w:beforeAutospacing="0" w:after="60" w:afterAutospacing="0" w:line="276" w:lineRule="auto"/>
        <w:jc w:val="left"/>
        <w:rPr>
          <w:rFonts w:ascii="Times New Roman" w:eastAsia="Calibri" w:hAnsi="Times New Roman" w:cs="Times New Roman"/>
          <w:b/>
          <w:i/>
        </w:rPr>
      </w:pPr>
      <w:r w:rsidRPr="002A3F16">
        <w:rPr>
          <w:rFonts w:ascii="Times New Roman" w:eastAsia="Calibri" w:hAnsi="Times New Roman" w:cs="Times New Roman"/>
          <w:b/>
          <w:i/>
        </w:rPr>
        <w:t>Règles de comptabilisation</w:t>
      </w:r>
    </w:p>
    <w:p w:rsidR="002A3F16" w:rsidRPr="002A3F16" w:rsidRDefault="002A3F16" w:rsidP="002A3F16">
      <w:pPr>
        <w:spacing w:before="60" w:beforeAutospacing="0" w:after="60" w:afterAutospacing="0" w:line="276" w:lineRule="auto"/>
        <w:ind w:firstLine="284"/>
        <w:jc w:val="both"/>
        <w:rPr>
          <w:rFonts w:ascii="Times New Roman" w:eastAsia="Calibri" w:hAnsi="Times New Roman" w:cs="Times New Roman"/>
          <w:sz w:val="24"/>
        </w:rPr>
      </w:pPr>
      <w:r w:rsidRPr="002A3F16">
        <w:rPr>
          <w:rFonts w:ascii="Times New Roman" w:eastAsia="Calibri" w:hAnsi="Times New Roman" w:cs="Times New Roman"/>
          <w:sz w:val="24"/>
        </w:rPr>
        <w:t>Les actifs financiers répondent aux mêmes règles de comptabilisation d’un actif et font l’objet d’un enregistrement en comptabilité en fonction de leur utilité et des motifs qui ont prévalu lors de leur acquisition ou lors d’un changement de leur destination. Dans le cas des immobilisations financières, on distingue les quatre catégories suivantes : titres de participation et créances rattachées</w:t>
      </w:r>
      <w:r w:rsidRPr="002A3F16">
        <w:rPr>
          <w:rFonts w:ascii="Times New Roman" w:eastAsia="Calibri" w:hAnsi="Times New Roman" w:cs="Times New Roman"/>
          <w:sz w:val="24"/>
          <w:vertAlign w:val="superscript"/>
        </w:rPr>
        <w:footnoteReference w:id="106"/>
      </w:r>
      <w:r w:rsidRPr="002A3F16">
        <w:rPr>
          <w:rFonts w:ascii="Times New Roman" w:eastAsia="Calibri" w:hAnsi="Times New Roman" w:cs="Times New Roman"/>
          <w:sz w:val="24"/>
        </w:rPr>
        <w:t>, titres immobilisés de l’activité de portefeuille</w:t>
      </w:r>
      <w:r w:rsidRPr="002A3F16">
        <w:rPr>
          <w:rFonts w:ascii="Times New Roman" w:eastAsia="Calibri" w:hAnsi="Times New Roman" w:cs="Times New Roman"/>
          <w:sz w:val="24"/>
          <w:vertAlign w:val="superscript"/>
        </w:rPr>
        <w:footnoteReference w:id="107"/>
      </w:r>
      <w:r w:rsidRPr="002A3F16">
        <w:rPr>
          <w:rFonts w:ascii="Times New Roman" w:eastAsia="Calibri" w:hAnsi="Times New Roman" w:cs="Times New Roman"/>
          <w:sz w:val="24"/>
        </w:rPr>
        <w:t>, autres titres immobilisés</w:t>
      </w:r>
      <w:r w:rsidRPr="002A3F16">
        <w:rPr>
          <w:rFonts w:ascii="Times New Roman" w:eastAsia="Calibri" w:hAnsi="Times New Roman" w:cs="Times New Roman"/>
          <w:sz w:val="24"/>
          <w:vertAlign w:val="superscript"/>
        </w:rPr>
        <w:footnoteReference w:id="108"/>
      </w:r>
      <w:r w:rsidRPr="002A3F16">
        <w:rPr>
          <w:rFonts w:ascii="Times New Roman" w:eastAsia="Calibri" w:hAnsi="Times New Roman" w:cs="Times New Roman"/>
          <w:sz w:val="24"/>
        </w:rPr>
        <w:t>, prêts et créances émis par l’entité et que l’entité n’a pas l’intention ou pas la possibilité de vendre à court terme.</w:t>
      </w:r>
    </w:p>
    <w:p w:rsidR="002A3F16" w:rsidRPr="002A3F16" w:rsidRDefault="002A3F16" w:rsidP="002A3F16">
      <w:pPr>
        <w:spacing w:before="60" w:beforeAutospacing="0" w:after="60" w:afterAutospacing="0" w:line="276" w:lineRule="auto"/>
        <w:jc w:val="left"/>
        <w:rPr>
          <w:rFonts w:ascii="Times New Roman" w:eastAsia="Calibri" w:hAnsi="Times New Roman" w:cs="Times New Roman"/>
          <w:b/>
          <w:i/>
          <w:sz w:val="24"/>
          <w:szCs w:val="24"/>
        </w:rPr>
      </w:pPr>
      <w:r w:rsidRPr="002A3F16">
        <w:rPr>
          <w:rFonts w:ascii="Times New Roman" w:eastAsia="Calibri" w:hAnsi="Times New Roman" w:cs="Times New Roman"/>
          <w:b/>
          <w:i/>
          <w:sz w:val="24"/>
          <w:szCs w:val="24"/>
        </w:rPr>
        <w:lastRenderedPageBreak/>
        <w:t>Règles d’évaluation</w:t>
      </w:r>
    </w:p>
    <w:p w:rsidR="002A3F16" w:rsidRPr="002A3F16" w:rsidRDefault="002A3F16" w:rsidP="002A3F16">
      <w:pPr>
        <w:numPr>
          <w:ilvl w:val="0"/>
          <w:numId w:val="44"/>
        </w:numPr>
        <w:spacing w:before="60" w:beforeAutospacing="0" w:after="60" w:afterAutospacing="0" w:line="276" w:lineRule="auto"/>
        <w:ind w:left="357" w:hanging="357"/>
        <w:jc w:val="both"/>
        <w:rPr>
          <w:rFonts w:ascii="Times New Roman" w:eastAsia="Calibri" w:hAnsi="Times New Roman" w:cs="Times New Roman"/>
          <w:b/>
          <w:bCs/>
          <w:sz w:val="24"/>
        </w:rPr>
      </w:pPr>
      <w:r w:rsidRPr="002A3F16">
        <w:rPr>
          <w:rFonts w:ascii="Times New Roman" w:eastAsia="Calibri" w:hAnsi="Times New Roman" w:cs="Times New Roman"/>
          <w:b/>
          <w:bCs/>
          <w:sz w:val="24"/>
        </w:rPr>
        <w:t>Comptabilisation initiale et Evaluation</w:t>
      </w:r>
    </w:p>
    <w:p w:rsidR="002A3F16" w:rsidRPr="002A3F16" w:rsidRDefault="002A3F16" w:rsidP="002A3F16">
      <w:pPr>
        <w:spacing w:before="60" w:beforeAutospacing="0" w:after="60" w:afterAutospacing="0" w:line="276" w:lineRule="auto"/>
        <w:ind w:firstLine="284"/>
        <w:jc w:val="both"/>
        <w:rPr>
          <w:rFonts w:ascii="Times New Roman" w:hAnsi="Times New Roman" w:cs="Times New Roman"/>
          <w:sz w:val="24"/>
        </w:rPr>
      </w:pPr>
      <w:r w:rsidRPr="002A3F16">
        <w:rPr>
          <w:rFonts w:ascii="Times New Roman" w:hAnsi="Times New Roman" w:cs="Times New Roman"/>
          <w:sz w:val="24"/>
        </w:rPr>
        <w:t>Le nouveau traitement comptable des actifs et passifs financiers fait  recours d’avantage à des évaluations (juste valeur, coût amorti et test de dépréciation) dans le but d’apprécier les risques qui peuvent impacter le portefeuille des sociétés et ainsi donner une information pertinente sur la situation financière des sociétés - cela dans le souci de répondre aux principes de prudence et prééminence de la réalité économique sur la réalité juridique ainsi que le principe de fiabilité.</w:t>
      </w:r>
    </w:p>
    <w:p w:rsidR="002A3F16" w:rsidRPr="002A3F16" w:rsidRDefault="002A3F16" w:rsidP="002A3F16">
      <w:pPr>
        <w:spacing w:before="60" w:beforeAutospacing="0" w:after="60" w:afterAutospacing="0" w:line="276" w:lineRule="auto"/>
        <w:ind w:firstLine="284"/>
        <w:jc w:val="both"/>
        <w:rPr>
          <w:rFonts w:ascii="Times New Roman" w:hAnsi="Times New Roman" w:cs="Times New Roman"/>
          <w:sz w:val="24"/>
        </w:rPr>
      </w:pPr>
      <w:r w:rsidRPr="002A3F16">
        <w:rPr>
          <w:rFonts w:ascii="Times New Roman" w:hAnsi="Times New Roman" w:cs="Times New Roman"/>
          <w:sz w:val="24"/>
        </w:rPr>
        <w:t xml:space="preserve">Dès lors, l’évaluation initiale des actifs financiers est effectuée au coût, qui correspond à la </w:t>
      </w:r>
      <w:r w:rsidRPr="002A3F16">
        <w:rPr>
          <w:rFonts w:ascii="Times New Roman" w:hAnsi="Times New Roman" w:cs="Times New Roman"/>
          <w:bCs/>
          <w:sz w:val="24"/>
        </w:rPr>
        <w:t>juste valeur</w:t>
      </w:r>
      <w:r w:rsidRPr="002A3F16">
        <w:rPr>
          <w:rFonts w:ascii="Times New Roman" w:hAnsi="Times New Roman" w:cs="Times New Roman"/>
          <w:sz w:val="24"/>
        </w:rPr>
        <w:t xml:space="preserve"> de la contrepartie donnée. Les frais de transactions (commissions versées au courtier, taxe non récupérable et frais bancaires) sont partie intégrante des coûts initiaux. </w:t>
      </w:r>
    </w:p>
    <w:p w:rsidR="002A3F16" w:rsidRPr="002A3F16" w:rsidRDefault="002A3F16" w:rsidP="002A3F16">
      <w:pPr>
        <w:spacing w:before="60" w:beforeAutospacing="0" w:after="60" w:afterAutospacing="0" w:line="276" w:lineRule="auto"/>
        <w:ind w:firstLine="284"/>
        <w:jc w:val="both"/>
        <w:rPr>
          <w:rFonts w:ascii="Times New Roman" w:hAnsi="Times New Roman" w:cs="Times New Roman"/>
          <w:sz w:val="24"/>
        </w:rPr>
      </w:pPr>
      <w:r w:rsidRPr="002A3F16">
        <w:rPr>
          <w:rFonts w:ascii="Times New Roman" w:hAnsi="Times New Roman" w:cs="Times New Roman"/>
          <w:sz w:val="24"/>
        </w:rPr>
        <w:t xml:space="preserve">D’autre côté, Les emprunts et autres passifs financiers sont évalués initialement à leur </w:t>
      </w:r>
      <w:r w:rsidRPr="002A3F16">
        <w:rPr>
          <w:rFonts w:ascii="Times New Roman" w:hAnsi="Times New Roman" w:cs="Times New Roman"/>
          <w:b/>
          <w:bCs/>
          <w:sz w:val="24"/>
        </w:rPr>
        <w:t>juste valeur</w:t>
      </w:r>
      <w:r w:rsidRPr="002A3F16">
        <w:rPr>
          <w:rFonts w:ascii="Times New Roman" w:hAnsi="Times New Roman" w:cs="Times New Roman"/>
          <w:bCs/>
          <w:sz w:val="24"/>
        </w:rPr>
        <w:t>, qui</w:t>
      </w:r>
      <w:r w:rsidRPr="002A3F16">
        <w:rPr>
          <w:rFonts w:ascii="Times New Roman" w:hAnsi="Times New Roman" w:cs="Times New Roman"/>
          <w:sz w:val="24"/>
        </w:rPr>
        <w:t xml:space="preserve"> correspond à la contrepartie reçue diminuée des frais de mise en place.</w:t>
      </w:r>
    </w:p>
    <w:p w:rsidR="002A3F16" w:rsidRPr="002A3F16" w:rsidRDefault="002A3F16" w:rsidP="002A3F16">
      <w:pPr>
        <w:spacing w:before="60" w:beforeAutospacing="0" w:after="60" w:afterAutospacing="0" w:line="276" w:lineRule="auto"/>
        <w:ind w:firstLine="284"/>
        <w:jc w:val="both"/>
        <w:rPr>
          <w:rFonts w:ascii="Times New Roman" w:hAnsi="Times New Roman" w:cs="Times New Roman"/>
          <w:sz w:val="24"/>
        </w:rPr>
      </w:pPr>
      <w:r w:rsidRPr="002A3F16">
        <w:rPr>
          <w:rFonts w:ascii="Times New Roman" w:hAnsi="Times New Roman" w:cs="Times New Roman"/>
          <w:sz w:val="24"/>
        </w:rPr>
        <w:t>Par conséquent, une perte ou un gain est reconnu à l’origine si l’actif ou le passif financier n’a pas été contracté aux conditions de marché en vigueur à la date de souscription. Par exemple, si un prêt est consenti à taux zéro, il doit être enregistré à l’origine à sa valeur actualisée au taux en vigueur sur le marché lors de la mise en place, la différence constatée par rapport à sa valeur d’émission étant enregistrée immédiatement en charge.</w:t>
      </w:r>
    </w:p>
    <w:p w:rsidR="002A3F16" w:rsidRPr="002A3F16" w:rsidRDefault="002A3F16" w:rsidP="002A3F16">
      <w:pPr>
        <w:numPr>
          <w:ilvl w:val="0"/>
          <w:numId w:val="44"/>
        </w:numPr>
        <w:spacing w:before="60" w:beforeAutospacing="0" w:after="60" w:afterAutospacing="0" w:line="276" w:lineRule="auto"/>
        <w:ind w:left="357" w:hanging="357"/>
        <w:jc w:val="both"/>
        <w:rPr>
          <w:rFonts w:ascii="Times New Roman" w:eastAsia="Calibri" w:hAnsi="Times New Roman" w:cs="Times New Roman"/>
          <w:b/>
          <w:bCs/>
          <w:sz w:val="24"/>
        </w:rPr>
      </w:pPr>
      <w:r w:rsidRPr="002A3F16">
        <w:rPr>
          <w:rFonts w:ascii="Times New Roman" w:eastAsia="Calibri" w:hAnsi="Times New Roman" w:cs="Times New Roman"/>
          <w:b/>
          <w:bCs/>
          <w:sz w:val="24"/>
        </w:rPr>
        <w:t>Evaluation postérieure à la comptabilisation initiale</w:t>
      </w:r>
    </w:p>
    <w:p w:rsidR="002A3F16" w:rsidRPr="002A3F16" w:rsidRDefault="002A3F16" w:rsidP="002A3F16">
      <w:pPr>
        <w:spacing w:before="60" w:beforeAutospacing="0" w:after="60" w:afterAutospacing="0" w:line="276" w:lineRule="auto"/>
        <w:ind w:firstLine="284"/>
        <w:jc w:val="both"/>
        <w:rPr>
          <w:rFonts w:ascii="Times New Roman" w:hAnsi="Times New Roman" w:cs="Times New Roman"/>
          <w:sz w:val="24"/>
        </w:rPr>
      </w:pPr>
      <w:r w:rsidRPr="002A3F16">
        <w:rPr>
          <w:rFonts w:ascii="Times New Roman" w:hAnsi="Times New Roman" w:cs="Times New Roman"/>
          <w:sz w:val="24"/>
        </w:rPr>
        <w:t>Conformément aux règles générales d’évaluation des actifs, les actifs (et passifs) financiers sont soumis, à la clôture de chaque exercice, à un test de dépréciation afin de constater une éventuelle perte de valeur. L’évaluation ultérieure des actifs financiers s’effectue selon le cas et dépend de l’intention de l’entité qui a prévalu l’acquisition de l’actif  soit :</w:t>
      </w:r>
    </w:p>
    <w:p w:rsidR="002A3F16" w:rsidRPr="002A3F16" w:rsidRDefault="002A3F16" w:rsidP="002A3F16">
      <w:pPr>
        <w:numPr>
          <w:ilvl w:val="0"/>
          <w:numId w:val="22"/>
        </w:numPr>
        <w:spacing w:before="60" w:beforeAutospacing="0" w:after="60" w:afterAutospacing="0" w:line="276" w:lineRule="auto"/>
        <w:jc w:val="both"/>
        <w:rPr>
          <w:rFonts w:ascii="Times New Roman" w:hAnsi="Times New Roman" w:cs="Times New Roman"/>
          <w:sz w:val="24"/>
        </w:rPr>
      </w:pPr>
      <w:r w:rsidRPr="002A3F16">
        <w:rPr>
          <w:rFonts w:ascii="Times New Roman" w:hAnsi="Times New Roman" w:cs="Times New Roman"/>
          <w:sz w:val="24"/>
        </w:rPr>
        <w:t>Actifs destinés à la vente ou à une transaction : Evaluation à la juste valeur ;</w:t>
      </w:r>
    </w:p>
    <w:p w:rsidR="002A3F16" w:rsidRPr="002A3F16" w:rsidRDefault="002A3F16" w:rsidP="002A3F16">
      <w:pPr>
        <w:numPr>
          <w:ilvl w:val="0"/>
          <w:numId w:val="22"/>
        </w:numPr>
        <w:spacing w:before="60" w:beforeAutospacing="0" w:after="60" w:afterAutospacing="0" w:line="276" w:lineRule="auto"/>
        <w:jc w:val="both"/>
        <w:rPr>
          <w:rFonts w:ascii="Times New Roman" w:hAnsi="Times New Roman" w:cs="Times New Roman"/>
          <w:sz w:val="24"/>
        </w:rPr>
      </w:pPr>
      <w:r w:rsidRPr="002A3F16">
        <w:rPr>
          <w:rFonts w:ascii="Times New Roman" w:hAnsi="Times New Roman" w:cs="Times New Roman"/>
          <w:sz w:val="24"/>
        </w:rPr>
        <w:t>Actifs détenus jusqu’à leur échéance ainsi que les prêts et les créances : évaluation au coût amorti.</w:t>
      </w:r>
    </w:p>
    <w:p w:rsidR="002A3F16" w:rsidRPr="002A3F16" w:rsidRDefault="002A3F16" w:rsidP="002A3F16">
      <w:pPr>
        <w:spacing w:before="60" w:beforeAutospacing="0" w:after="60" w:afterAutospacing="0" w:line="276" w:lineRule="auto"/>
        <w:jc w:val="both"/>
        <w:rPr>
          <w:rFonts w:ascii="Times New Roman" w:hAnsi="Times New Roman" w:cs="Times New Roman"/>
          <w:sz w:val="24"/>
        </w:rPr>
      </w:pPr>
      <w:r w:rsidRPr="002A3F16">
        <w:rPr>
          <w:rFonts w:ascii="Times New Roman" w:hAnsi="Times New Roman" w:cs="Times New Roman"/>
          <w:sz w:val="24"/>
        </w:rPr>
        <w:t>C’est le cas également des passifs financiers, dont l’évaluation ultérieure s’effectue selon les cas suivants :</w:t>
      </w:r>
    </w:p>
    <w:p w:rsidR="002A3F16" w:rsidRPr="002A3F16" w:rsidRDefault="002A3F16" w:rsidP="002A3F16">
      <w:pPr>
        <w:numPr>
          <w:ilvl w:val="0"/>
          <w:numId w:val="22"/>
        </w:numPr>
        <w:spacing w:before="60" w:beforeAutospacing="0" w:after="60" w:afterAutospacing="0" w:line="276" w:lineRule="auto"/>
        <w:jc w:val="both"/>
        <w:rPr>
          <w:rFonts w:ascii="Times New Roman" w:hAnsi="Times New Roman" w:cs="Times New Roman"/>
          <w:bCs/>
          <w:sz w:val="24"/>
        </w:rPr>
      </w:pPr>
      <w:r w:rsidRPr="002A3F16">
        <w:rPr>
          <w:rFonts w:ascii="Times New Roman" w:hAnsi="Times New Roman" w:cs="Times New Roman"/>
          <w:bCs/>
          <w:sz w:val="24"/>
        </w:rPr>
        <w:t xml:space="preserve">Les </w:t>
      </w:r>
      <w:r w:rsidRPr="002A3F16">
        <w:rPr>
          <w:rFonts w:ascii="Times New Roman" w:hAnsi="Times New Roman" w:cs="Times New Roman"/>
          <w:sz w:val="24"/>
        </w:rPr>
        <w:t>passifs</w:t>
      </w:r>
      <w:r w:rsidRPr="002A3F16">
        <w:rPr>
          <w:rFonts w:ascii="Times New Roman" w:hAnsi="Times New Roman" w:cs="Times New Roman"/>
          <w:bCs/>
          <w:sz w:val="24"/>
        </w:rPr>
        <w:t xml:space="preserve"> financiers détenus pour des fins de transactions sont évalués à la juste valeur </w:t>
      </w:r>
    </w:p>
    <w:p w:rsidR="002A3F16" w:rsidRPr="002A3F16" w:rsidRDefault="002A3F16" w:rsidP="002A3F16">
      <w:pPr>
        <w:numPr>
          <w:ilvl w:val="0"/>
          <w:numId w:val="22"/>
        </w:numPr>
        <w:spacing w:before="60" w:beforeAutospacing="0" w:after="60" w:afterAutospacing="0" w:line="276" w:lineRule="auto"/>
        <w:jc w:val="both"/>
        <w:rPr>
          <w:rFonts w:ascii="Times New Roman" w:hAnsi="Times New Roman" w:cs="Times New Roman"/>
          <w:bCs/>
          <w:sz w:val="24"/>
        </w:rPr>
      </w:pPr>
      <w:r w:rsidRPr="002A3F16">
        <w:rPr>
          <w:rFonts w:ascii="Times New Roman" w:hAnsi="Times New Roman" w:cs="Times New Roman"/>
          <w:bCs/>
          <w:sz w:val="24"/>
        </w:rPr>
        <w:t xml:space="preserve">Les autres passifs sont évalués au coût amorti en utilisant la méthode du taux d’intérêt effectif </w:t>
      </w:r>
    </w:p>
    <w:p w:rsidR="002A3F16" w:rsidRPr="002A3F16" w:rsidRDefault="002A3F16" w:rsidP="002A3F16">
      <w:pPr>
        <w:numPr>
          <w:ilvl w:val="0"/>
          <w:numId w:val="55"/>
        </w:numPr>
        <w:spacing w:before="60" w:beforeAutospacing="0" w:after="60" w:afterAutospacing="0" w:line="276" w:lineRule="auto"/>
        <w:jc w:val="both"/>
        <w:rPr>
          <w:rFonts w:ascii="Times New Roman" w:hAnsi="Times New Roman" w:cs="Times New Roman"/>
          <w:b/>
          <w:bCs/>
          <w:sz w:val="24"/>
        </w:rPr>
      </w:pPr>
      <w:r w:rsidRPr="002A3F16">
        <w:rPr>
          <w:rFonts w:ascii="Times New Roman" w:hAnsi="Times New Roman" w:cs="Times New Roman"/>
          <w:b/>
          <w:bCs/>
          <w:sz w:val="24"/>
        </w:rPr>
        <w:t xml:space="preserve">Evaluation à la juste valeur </w:t>
      </w:r>
    </w:p>
    <w:p w:rsidR="002A3F16" w:rsidRPr="002A3F16" w:rsidRDefault="002A3F16" w:rsidP="002A3F16">
      <w:pPr>
        <w:spacing w:before="60" w:beforeAutospacing="0" w:after="60" w:afterAutospacing="0" w:line="276" w:lineRule="auto"/>
        <w:ind w:firstLine="284"/>
        <w:jc w:val="both"/>
        <w:rPr>
          <w:rFonts w:ascii="Times New Roman" w:hAnsi="Times New Roman" w:cs="Times New Roman"/>
          <w:sz w:val="24"/>
        </w:rPr>
      </w:pPr>
      <w:r w:rsidRPr="002A3F16">
        <w:rPr>
          <w:rFonts w:ascii="Times New Roman" w:hAnsi="Times New Roman" w:cs="Times New Roman"/>
          <w:sz w:val="24"/>
        </w:rPr>
        <w:lastRenderedPageBreak/>
        <w:t xml:space="preserve">La juste valeur correspond à la valeur de retournement d’un actif (ou passif), par exemple une entreprise détenant une action devra se demander à combien elle peut aujourd’hui  vendre son action ou accepterait elle de décaisser pour l’obtenir si elle avait à l’acquérir. Aussi, selon la définition du cadre conceptuel, la juste valeur est </w:t>
      </w:r>
      <w:r w:rsidRPr="002A3F16">
        <w:rPr>
          <w:rFonts w:ascii="Times New Roman" w:hAnsi="Times New Roman" w:cs="Times New Roman"/>
          <w:i/>
          <w:iCs/>
          <w:sz w:val="24"/>
        </w:rPr>
        <w:t>« le montant pour lequel un actif pourrait être échangé ou un passif financier réglé, entre des parties bien informés et consentantes, dans le cadre d’une transaction effectuée dans des conditions de concurrence normale ».</w:t>
      </w:r>
    </w:p>
    <w:p w:rsidR="002A3F16" w:rsidRPr="002A3F16" w:rsidRDefault="002A3F16" w:rsidP="002A3F16">
      <w:pPr>
        <w:spacing w:before="60" w:beforeAutospacing="0" w:after="60" w:afterAutospacing="0" w:line="276" w:lineRule="auto"/>
        <w:ind w:firstLine="284"/>
        <w:jc w:val="both"/>
        <w:rPr>
          <w:rFonts w:ascii="Times New Roman" w:hAnsi="Times New Roman" w:cs="Times New Roman"/>
          <w:sz w:val="24"/>
        </w:rPr>
      </w:pPr>
      <w:r w:rsidRPr="002A3F16">
        <w:rPr>
          <w:rFonts w:ascii="Times New Roman" w:hAnsi="Times New Roman" w:cs="Times New Roman"/>
          <w:sz w:val="24"/>
        </w:rPr>
        <w:t xml:space="preserve">Sur le plan pratique, il existe plusieurs méthodes pour déterminer la juste valeur, ces méthodes sont classées selon la hiérarchie suivante :   </w:t>
      </w:r>
    </w:p>
    <w:p w:rsidR="002A3F16" w:rsidRPr="002A3F16" w:rsidRDefault="002A3F16" w:rsidP="002A3F16">
      <w:pPr>
        <w:numPr>
          <w:ilvl w:val="0"/>
          <w:numId w:val="23"/>
        </w:numPr>
        <w:spacing w:before="60" w:beforeAutospacing="0" w:after="60" w:afterAutospacing="0" w:line="276" w:lineRule="auto"/>
        <w:jc w:val="both"/>
        <w:rPr>
          <w:rFonts w:ascii="Times New Roman" w:hAnsi="Times New Roman" w:cs="Times New Roman"/>
          <w:sz w:val="24"/>
        </w:rPr>
      </w:pPr>
      <w:r w:rsidRPr="002A3F16">
        <w:rPr>
          <w:rFonts w:ascii="Times New Roman" w:hAnsi="Times New Roman" w:cs="Times New Roman"/>
          <w:sz w:val="24"/>
        </w:rPr>
        <w:t>Si l’actif est coté sur un marché actif, la juste valeur correspond  au cours moyen du dernier mois de l’exercice.</w:t>
      </w:r>
    </w:p>
    <w:p w:rsidR="002A3F16" w:rsidRPr="002A3F16" w:rsidRDefault="002A3F16" w:rsidP="002A3F16">
      <w:pPr>
        <w:numPr>
          <w:ilvl w:val="0"/>
          <w:numId w:val="23"/>
        </w:numPr>
        <w:spacing w:before="60" w:beforeAutospacing="0" w:after="60" w:afterAutospacing="0" w:line="276" w:lineRule="auto"/>
        <w:jc w:val="both"/>
        <w:rPr>
          <w:rFonts w:ascii="Times New Roman" w:hAnsi="Times New Roman" w:cs="Times New Roman"/>
          <w:sz w:val="24"/>
        </w:rPr>
      </w:pPr>
      <w:r w:rsidRPr="002A3F16">
        <w:rPr>
          <w:rFonts w:ascii="Times New Roman" w:hAnsi="Times New Roman" w:cs="Times New Roman"/>
          <w:sz w:val="24"/>
        </w:rPr>
        <w:t xml:space="preserve">Si l’actif n’est pas coté sur un marché actif, la juste valeur correspond à la valeur </w:t>
      </w:r>
      <w:r w:rsidRPr="002A3F16">
        <w:rPr>
          <w:rFonts w:ascii="Times New Roman" w:hAnsi="Times New Roman" w:cs="Times New Roman"/>
          <w:bCs/>
          <w:sz w:val="24"/>
        </w:rPr>
        <w:t xml:space="preserve">probable de négociation  </w:t>
      </w:r>
      <w:r w:rsidRPr="002A3F16">
        <w:rPr>
          <w:rFonts w:ascii="Times New Roman" w:hAnsi="Times New Roman" w:cs="Times New Roman"/>
          <w:sz w:val="24"/>
        </w:rPr>
        <w:t xml:space="preserve">déterminée   à partir </w:t>
      </w:r>
      <w:r w:rsidRPr="002A3F16">
        <w:rPr>
          <w:rFonts w:ascii="Times New Roman" w:hAnsi="Times New Roman" w:cs="Times New Roman"/>
          <w:bCs/>
          <w:sz w:val="24"/>
        </w:rPr>
        <w:t>d’un modèle d’évaluation</w:t>
      </w:r>
      <w:r w:rsidRPr="002A3F16">
        <w:rPr>
          <w:rFonts w:ascii="Times New Roman" w:hAnsi="Times New Roman" w:cs="Times New Roman"/>
          <w:sz w:val="24"/>
        </w:rPr>
        <w:t>.</w:t>
      </w:r>
    </w:p>
    <w:p w:rsidR="002A3F16" w:rsidRPr="002A3F16" w:rsidRDefault="002A3F16" w:rsidP="002A3F16">
      <w:pPr>
        <w:numPr>
          <w:ilvl w:val="0"/>
          <w:numId w:val="55"/>
        </w:numPr>
        <w:spacing w:before="60" w:beforeAutospacing="0" w:after="60" w:afterAutospacing="0" w:line="276" w:lineRule="auto"/>
        <w:jc w:val="both"/>
        <w:rPr>
          <w:rFonts w:ascii="Times New Roman" w:hAnsi="Times New Roman" w:cs="Times New Roman"/>
          <w:b/>
          <w:sz w:val="24"/>
        </w:rPr>
      </w:pPr>
      <w:r w:rsidRPr="002A3F16">
        <w:rPr>
          <w:rFonts w:ascii="Times New Roman" w:hAnsi="Times New Roman" w:cs="Times New Roman"/>
          <w:b/>
          <w:bCs/>
          <w:sz w:val="24"/>
        </w:rPr>
        <w:t>Evaluation au coût amorti</w:t>
      </w:r>
    </w:p>
    <w:p w:rsidR="002A3F16" w:rsidRPr="002A3F16" w:rsidRDefault="002A3F16" w:rsidP="002A3F16">
      <w:pPr>
        <w:spacing w:before="60" w:beforeAutospacing="0" w:after="60" w:afterAutospacing="0" w:line="276" w:lineRule="auto"/>
        <w:ind w:firstLine="284"/>
        <w:jc w:val="both"/>
        <w:rPr>
          <w:rFonts w:ascii="Times New Roman" w:hAnsi="Times New Roman" w:cs="Times New Roman"/>
          <w:sz w:val="24"/>
        </w:rPr>
      </w:pPr>
      <w:r w:rsidRPr="002A3F16">
        <w:rPr>
          <w:rFonts w:ascii="Times New Roman" w:hAnsi="Times New Roman" w:cs="Times New Roman"/>
          <w:sz w:val="24"/>
        </w:rPr>
        <w:t>Les actifs financiers à échéance fixe qui ne sont pas évalués à la juste valeur doivent être évalués au coût amorti, le coût amorti s’applique aux trois catégories d’actifs suivants :</w:t>
      </w:r>
    </w:p>
    <w:p w:rsidR="002A3F16" w:rsidRPr="002A3F16" w:rsidRDefault="002A3F16" w:rsidP="002A3F16">
      <w:pPr>
        <w:numPr>
          <w:ilvl w:val="0"/>
          <w:numId w:val="24"/>
        </w:numPr>
        <w:spacing w:before="60" w:beforeAutospacing="0" w:after="60" w:afterAutospacing="0" w:line="276" w:lineRule="auto"/>
        <w:jc w:val="both"/>
        <w:rPr>
          <w:rFonts w:ascii="Times New Roman" w:hAnsi="Times New Roman" w:cs="Times New Roman"/>
          <w:sz w:val="24"/>
        </w:rPr>
      </w:pPr>
      <w:r w:rsidRPr="002A3F16">
        <w:rPr>
          <w:rFonts w:ascii="Times New Roman" w:hAnsi="Times New Roman" w:cs="Times New Roman"/>
          <w:sz w:val="24"/>
        </w:rPr>
        <w:t>Les prêts et créances émis par l’entité qui ne sont pas détenus à des fins de transaction.</w:t>
      </w:r>
    </w:p>
    <w:p w:rsidR="002A3F16" w:rsidRPr="002A3F16" w:rsidRDefault="002A3F16" w:rsidP="002A3F16">
      <w:pPr>
        <w:numPr>
          <w:ilvl w:val="0"/>
          <w:numId w:val="24"/>
        </w:numPr>
        <w:spacing w:before="60" w:beforeAutospacing="0" w:after="60" w:afterAutospacing="0" w:line="276" w:lineRule="auto"/>
        <w:jc w:val="both"/>
        <w:rPr>
          <w:rFonts w:ascii="Times New Roman" w:hAnsi="Times New Roman" w:cs="Times New Roman"/>
          <w:sz w:val="24"/>
        </w:rPr>
      </w:pPr>
      <w:r w:rsidRPr="002A3F16">
        <w:rPr>
          <w:rFonts w:ascii="Times New Roman" w:hAnsi="Times New Roman" w:cs="Times New Roman"/>
          <w:sz w:val="24"/>
        </w:rPr>
        <w:t>Les placements à échéance fixée que l’entité a l’intention et la capacité de détenir jusqu’à leur échéance.</w:t>
      </w:r>
    </w:p>
    <w:p w:rsidR="002A3F16" w:rsidRPr="002A3F16" w:rsidRDefault="002A3F16" w:rsidP="002A3F16">
      <w:pPr>
        <w:numPr>
          <w:ilvl w:val="0"/>
          <w:numId w:val="24"/>
        </w:numPr>
        <w:spacing w:before="60" w:beforeAutospacing="0" w:after="60" w:afterAutospacing="0" w:line="276" w:lineRule="auto"/>
        <w:jc w:val="both"/>
        <w:rPr>
          <w:rFonts w:ascii="Times New Roman" w:hAnsi="Times New Roman" w:cs="Times New Roman"/>
          <w:sz w:val="24"/>
        </w:rPr>
      </w:pPr>
      <w:r w:rsidRPr="002A3F16">
        <w:rPr>
          <w:rFonts w:ascii="Times New Roman" w:hAnsi="Times New Roman" w:cs="Times New Roman"/>
          <w:sz w:val="24"/>
        </w:rPr>
        <w:t>Tout actif financier qui n’a pas de prix coté sur un marché actif et dont la juste valeur ne peut être évaluée de manière fiable.</w:t>
      </w:r>
    </w:p>
    <w:p w:rsidR="002A3F16" w:rsidRPr="002A3F16" w:rsidRDefault="002A3F16" w:rsidP="002A3F16">
      <w:pPr>
        <w:spacing w:before="60" w:beforeAutospacing="0" w:after="60" w:afterAutospacing="0" w:line="276" w:lineRule="auto"/>
        <w:ind w:left="284"/>
        <w:jc w:val="both"/>
        <w:rPr>
          <w:rFonts w:ascii="Times New Roman" w:hAnsi="Times New Roman" w:cs="Times New Roman"/>
          <w:sz w:val="24"/>
        </w:rPr>
      </w:pPr>
      <w:r w:rsidRPr="002A3F16">
        <w:rPr>
          <w:rFonts w:ascii="Times New Roman" w:hAnsi="Times New Roman" w:cs="Times New Roman"/>
          <w:sz w:val="24"/>
        </w:rPr>
        <w:t xml:space="preserve">La méthode du coût amorti s’applique également pour l’évaluation ultérieure des emprunts et autres passifs </w:t>
      </w:r>
      <w:r w:rsidRPr="002A3F16">
        <w:rPr>
          <w:rFonts w:ascii="Times New Roman" w:hAnsi="Times New Roman" w:cs="Times New Roman"/>
          <w:bCs/>
          <w:sz w:val="24"/>
        </w:rPr>
        <w:t>en utilisant la méthode du taux d’intérêt effectif.</w:t>
      </w:r>
    </w:p>
    <w:p w:rsidR="002A3F16" w:rsidRPr="002A3F16" w:rsidRDefault="002A3F16" w:rsidP="002A3F16">
      <w:pPr>
        <w:spacing w:before="60" w:beforeAutospacing="0" w:after="60" w:afterAutospacing="0" w:line="276" w:lineRule="auto"/>
        <w:ind w:firstLine="284"/>
        <w:jc w:val="both"/>
        <w:rPr>
          <w:rFonts w:ascii="Times New Roman" w:hAnsi="Times New Roman" w:cs="Times New Roman"/>
          <w:i/>
          <w:iCs/>
          <w:sz w:val="24"/>
        </w:rPr>
      </w:pPr>
      <w:r w:rsidRPr="002A3F16">
        <w:rPr>
          <w:rFonts w:ascii="Times New Roman" w:hAnsi="Times New Roman" w:cs="Times New Roman"/>
          <w:sz w:val="24"/>
        </w:rPr>
        <w:t xml:space="preserve">Le coût amorti  est défini de la manière suivante: </w:t>
      </w:r>
      <w:r w:rsidRPr="002A3F16">
        <w:rPr>
          <w:rFonts w:ascii="Times New Roman" w:hAnsi="Times New Roman" w:cs="Times New Roman"/>
          <w:i/>
          <w:iCs/>
          <w:sz w:val="24"/>
        </w:rPr>
        <w:t>« montant auquel est évalué l’actif ou le passif financier lors de sa comptabilisation initiale, diminué des remboursements en principal, majoré ou diminué de l’amortissement cumulé calculé par la méthode du taux d’intérêt effectif, de toute différence entre ce montant initial et le montant à l’échéance ».</w:t>
      </w:r>
    </w:p>
    <w:p w:rsidR="002A3F16" w:rsidRPr="002A3F16" w:rsidRDefault="002A3F16" w:rsidP="002A3F16">
      <w:pPr>
        <w:numPr>
          <w:ilvl w:val="0"/>
          <w:numId w:val="55"/>
        </w:numPr>
        <w:spacing w:before="60" w:beforeAutospacing="0" w:after="60" w:afterAutospacing="0" w:line="276" w:lineRule="auto"/>
        <w:jc w:val="both"/>
        <w:rPr>
          <w:rFonts w:ascii="Times New Roman" w:hAnsi="Times New Roman" w:cs="Times New Roman"/>
          <w:b/>
          <w:bCs/>
          <w:sz w:val="24"/>
        </w:rPr>
      </w:pPr>
      <w:r w:rsidRPr="002A3F16">
        <w:rPr>
          <w:rFonts w:ascii="Times New Roman" w:hAnsi="Times New Roman" w:cs="Times New Roman"/>
          <w:b/>
          <w:bCs/>
          <w:sz w:val="24"/>
        </w:rPr>
        <w:t>Dépréciation des actifs financiers évalués au coût amorti</w:t>
      </w:r>
    </w:p>
    <w:p w:rsidR="002A3F16" w:rsidRPr="002A3F16" w:rsidRDefault="002A3F16" w:rsidP="002A3F16">
      <w:pPr>
        <w:spacing w:before="60" w:beforeAutospacing="0" w:after="60" w:afterAutospacing="0" w:line="276" w:lineRule="auto"/>
        <w:ind w:firstLine="284"/>
        <w:jc w:val="both"/>
        <w:rPr>
          <w:rFonts w:ascii="Times New Roman" w:hAnsi="Times New Roman" w:cs="Times New Roman"/>
          <w:bCs/>
          <w:sz w:val="24"/>
        </w:rPr>
      </w:pPr>
      <w:r w:rsidRPr="002A3F16">
        <w:rPr>
          <w:rFonts w:ascii="Times New Roman" w:hAnsi="Times New Roman" w:cs="Times New Roman"/>
          <w:bCs/>
          <w:sz w:val="24"/>
        </w:rPr>
        <w:t xml:space="preserve">Les actifs évalués au coût amorti doivent lors de chaque date de clôture faire l’objet d’un test de dépréciation. La dépréciation est constatée lorsque la valeur comptable de l’actif est supérieure à sa valeur recouvrable estimée (la différence correspond à la dépréciation). Cependant, le test de dépréciation est effectué si un indicateur objectif de dépréciation existe à la date de clôture comptable, parmi ces indicateurs on peut citer : </w:t>
      </w:r>
    </w:p>
    <w:p w:rsidR="002A3F16" w:rsidRPr="002A3F16" w:rsidRDefault="002A3F16" w:rsidP="002A3F16">
      <w:pPr>
        <w:numPr>
          <w:ilvl w:val="0"/>
          <w:numId w:val="25"/>
        </w:numPr>
        <w:spacing w:before="60" w:beforeAutospacing="0" w:after="60" w:afterAutospacing="0" w:line="276" w:lineRule="auto"/>
        <w:jc w:val="both"/>
        <w:rPr>
          <w:rFonts w:ascii="Times New Roman" w:hAnsi="Times New Roman" w:cs="Times New Roman"/>
          <w:bCs/>
          <w:sz w:val="24"/>
        </w:rPr>
      </w:pPr>
      <w:r w:rsidRPr="002A3F16">
        <w:rPr>
          <w:rFonts w:ascii="Times New Roman" w:hAnsi="Times New Roman" w:cs="Times New Roman"/>
          <w:bCs/>
          <w:sz w:val="24"/>
        </w:rPr>
        <w:t>L’apparition de difficultés financières importantes de l’émetteur des titres ;</w:t>
      </w:r>
    </w:p>
    <w:p w:rsidR="002A3F16" w:rsidRPr="002A3F16" w:rsidRDefault="002A3F16" w:rsidP="002A3F16">
      <w:pPr>
        <w:numPr>
          <w:ilvl w:val="0"/>
          <w:numId w:val="25"/>
        </w:numPr>
        <w:spacing w:before="60" w:beforeAutospacing="0" w:after="60" w:afterAutospacing="0" w:line="276" w:lineRule="auto"/>
        <w:jc w:val="both"/>
        <w:rPr>
          <w:rFonts w:ascii="Times New Roman" w:hAnsi="Times New Roman" w:cs="Times New Roman"/>
          <w:bCs/>
          <w:sz w:val="24"/>
        </w:rPr>
      </w:pPr>
      <w:r w:rsidRPr="002A3F16">
        <w:rPr>
          <w:rFonts w:ascii="Times New Roman" w:hAnsi="Times New Roman" w:cs="Times New Roman"/>
          <w:bCs/>
          <w:sz w:val="24"/>
        </w:rPr>
        <w:lastRenderedPageBreak/>
        <w:t>Une forte probabilité de faillite de l’émetteur ;</w:t>
      </w:r>
    </w:p>
    <w:p w:rsidR="002A3F16" w:rsidRPr="002A3F16" w:rsidRDefault="002A3F16" w:rsidP="002A3F16">
      <w:pPr>
        <w:numPr>
          <w:ilvl w:val="0"/>
          <w:numId w:val="25"/>
        </w:numPr>
        <w:spacing w:before="60" w:beforeAutospacing="0" w:after="60" w:afterAutospacing="0" w:line="276" w:lineRule="auto"/>
        <w:jc w:val="both"/>
        <w:rPr>
          <w:rFonts w:ascii="Times New Roman" w:hAnsi="Times New Roman" w:cs="Times New Roman"/>
          <w:bCs/>
          <w:sz w:val="24"/>
        </w:rPr>
      </w:pPr>
      <w:r w:rsidRPr="002A3F16">
        <w:rPr>
          <w:rFonts w:ascii="Times New Roman" w:hAnsi="Times New Roman" w:cs="Times New Roman"/>
          <w:bCs/>
          <w:sz w:val="24"/>
        </w:rPr>
        <w:t>Modification du prêt suite aux difficultés financières de l’emprunteur,</w:t>
      </w:r>
    </w:p>
    <w:p w:rsidR="002A3F16" w:rsidRPr="002A3F16" w:rsidRDefault="002A3F16" w:rsidP="002A3F16">
      <w:pPr>
        <w:numPr>
          <w:ilvl w:val="0"/>
          <w:numId w:val="25"/>
        </w:numPr>
        <w:spacing w:before="60" w:beforeAutospacing="0" w:after="60" w:afterAutospacing="0" w:line="276" w:lineRule="auto"/>
        <w:jc w:val="both"/>
        <w:rPr>
          <w:rFonts w:ascii="Times New Roman" w:hAnsi="Times New Roman" w:cs="Times New Roman"/>
          <w:bCs/>
          <w:sz w:val="24"/>
        </w:rPr>
      </w:pPr>
      <w:r w:rsidRPr="002A3F16">
        <w:rPr>
          <w:rFonts w:ascii="Times New Roman" w:hAnsi="Times New Roman" w:cs="Times New Roman"/>
          <w:bCs/>
          <w:sz w:val="24"/>
        </w:rPr>
        <w:t>Rupture effective du contrat,</w:t>
      </w:r>
    </w:p>
    <w:p w:rsidR="002A3F16" w:rsidRPr="002A3F16" w:rsidRDefault="002A3F16" w:rsidP="002A3F16">
      <w:pPr>
        <w:numPr>
          <w:ilvl w:val="0"/>
          <w:numId w:val="25"/>
        </w:numPr>
        <w:spacing w:before="60" w:beforeAutospacing="0" w:after="60" w:afterAutospacing="0" w:line="276" w:lineRule="auto"/>
        <w:jc w:val="both"/>
        <w:rPr>
          <w:rFonts w:ascii="Times New Roman" w:hAnsi="Times New Roman" w:cs="Times New Roman"/>
          <w:bCs/>
          <w:sz w:val="24"/>
        </w:rPr>
      </w:pPr>
      <w:r w:rsidRPr="002A3F16">
        <w:rPr>
          <w:rFonts w:ascii="Times New Roman" w:hAnsi="Times New Roman" w:cs="Times New Roman"/>
          <w:bCs/>
          <w:sz w:val="24"/>
        </w:rPr>
        <w:t>Probabilité de non recouvrement de l’émetteur,</w:t>
      </w:r>
    </w:p>
    <w:p w:rsidR="002A3F16" w:rsidRPr="002A3F16" w:rsidRDefault="002A3F16" w:rsidP="002A3F16">
      <w:pPr>
        <w:numPr>
          <w:ilvl w:val="0"/>
          <w:numId w:val="25"/>
        </w:numPr>
        <w:spacing w:before="60" w:beforeAutospacing="0" w:after="60" w:afterAutospacing="0" w:line="276" w:lineRule="auto"/>
        <w:jc w:val="both"/>
        <w:rPr>
          <w:rFonts w:ascii="Times New Roman" w:hAnsi="Times New Roman" w:cs="Times New Roman"/>
          <w:bCs/>
          <w:sz w:val="24"/>
        </w:rPr>
      </w:pPr>
      <w:proofErr w:type="spellStart"/>
      <w:r w:rsidRPr="002A3F16">
        <w:rPr>
          <w:rFonts w:ascii="Times New Roman" w:hAnsi="Times New Roman" w:cs="Times New Roman"/>
          <w:bCs/>
          <w:sz w:val="24"/>
        </w:rPr>
        <w:t>Illiquidité</w:t>
      </w:r>
      <w:proofErr w:type="spellEnd"/>
      <w:r w:rsidRPr="002A3F16">
        <w:rPr>
          <w:rFonts w:ascii="Times New Roman" w:hAnsi="Times New Roman" w:cs="Times New Roman"/>
          <w:bCs/>
          <w:sz w:val="24"/>
        </w:rPr>
        <w:t xml:space="preserve"> du titre,</w:t>
      </w:r>
    </w:p>
    <w:p w:rsidR="002A3F16" w:rsidRPr="002A3F16" w:rsidRDefault="002A3F16" w:rsidP="002A3F16">
      <w:pPr>
        <w:numPr>
          <w:ilvl w:val="0"/>
          <w:numId w:val="25"/>
        </w:numPr>
        <w:spacing w:before="60" w:beforeAutospacing="0" w:after="60" w:afterAutospacing="0" w:line="276" w:lineRule="auto"/>
        <w:jc w:val="both"/>
        <w:rPr>
          <w:rFonts w:ascii="Times New Roman" w:hAnsi="Times New Roman" w:cs="Times New Roman"/>
          <w:bCs/>
          <w:sz w:val="24"/>
        </w:rPr>
      </w:pPr>
      <w:r w:rsidRPr="002A3F16">
        <w:rPr>
          <w:rFonts w:ascii="Times New Roman" w:hAnsi="Times New Roman" w:cs="Times New Roman"/>
          <w:bCs/>
          <w:sz w:val="24"/>
        </w:rPr>
        <w:t>Comptabilisation d’une perte de valeur sur l’actif lors d’un exercice antérieur.</w:t>
      </w:r>
    </w:p>
    <w:p w:rsidR="002A3F16" w:rsidRPr="002A3F16" w:rsidRDefault="002A3F16" w:rsidP="002A3F16">
      <w:pPr>
        <w:numPr>
          <w:ilvl w:val="0"/>
          <w:numId w:val="25"/>
        </w:numPr>
        <w:spacing w:before="60" w:beforeAutospacing="0" w:after="60" w:afterAutospacing="0" w:line="276" w:lineRule="auto"/>
        <w:jc w:val="both"/>
        <w:rPr>
          <w:rFonts w:ascii="Times New Roman" w:hAnsi="Times New Roman" w:cs="Times New Roman"/>
          <w:bCs/>
          <w:sz w:val="24"/>
        </w:rPr>
      </w:pPr>
      <w:r w:rsidRPr="002A3F16">
        <w:rPr>
          <w:rFonts w:ascii="Times New Roman" w:hAnsi="Times New Roman" w:cs="Times New Roman"/>
          <w:bCs/>
          <w:sz w:val="24"/>
        </w:rPr>
        <w:t>Paiement de capital ou des intérêts interrompues ou retardés.</w:t>
      </w:r>
    </w:p>
    <w:p w:rsidR="002A3F16" w:rsidRPr="002A3F16" w:rsidRDefault="002A3F16" w:rsidP="002A3F16">
      <w:pPr>
        <w:spacing w:before="60" w:beforeAutospacing="0" w:after="60" w:afterAutospacing="0" w:line="276" w:lineRule="auto"/>
        <w:ind w:firstLine="284"/>
        <w:jc w:val="both"/>
        <w:rPr>
          <w:rFonts w:ascii="Times New Roman" w:hAnsi="Times New Roman" w:cs="Times New Roman"/>
          <w:sz w:val="24"/>
        </w:rPr>
      </w:pPr>
      <w:r w:rsidRPr="002A3F16">
        <w:rPr>
          <w:rFonts w:ascii="Times New Roman" w:hAnsi="Times New Roman" w:cs="Times New Roman"/>
          <w:bCs/>
          <w:sz w:val="24"/>
        </w:rPr>
        <w:t xml:space="preserve">Ces nouvelles méthodes d’évaluation vont avoir un impact sur les capitaux propres, particulièrement quand il s’agira d’actifs évalués à la juste valeur. Du fait que, les écarts d’évaluation dégagés lors de cette évaluation à la juste valeur sont comptabilisés directement en diminution ou en augmentation des capitaux propres. Tandis que, </w:t>
      </w:r>
      <w:r w:rsidRPr="002A3F16">
        <w:rPr>
          <w:rFonts w:ascii="Times New Roman" w:hAnsi="Times New Roman" w:cs="Times New Roman"/>
          <w:sz w:val="24"/>
        </w:rPr>
        <w:t>la différence liée aux dépréciations des actifs financiers évalués au coût amorti impacte les comptes de résultat des entreprises.</w:t>
      </w:r>
    </w:p>
    <w:p w:rsidR="002A3F16" w:rsidRPr="002A3F16" w:rsidRDefault="002A3F16" w:rsidP="002A3F16">
      <w:pPr>
        <w:spacing w:before="60" w:beforeAutospacing="0" w:after="60" w:afterAutospacing="0" w:line="276" w:lineRule="auto"/>
        <w:jc w:val="both"/>
        <w:rPr>
          <w:rFonts w:ascii="Times New Roman" w:hAnsi="Times New Roman" w:cs="Times New Roman"/>
          <w:b/>
          <w:bCs/>
          <w:sz w:val="24"/>
          <w:szCs w:val="24"/>
        </w:rPr>
      </w:pPr>
      <w:r w:rsidRPr="002A3F16">
        <w:rPr>
          <w:rFonts w:ascii="Times New Roman" w:hAnsi="Times New Roman" w:cs="Times New Roman"/>
          <w:b/>
          <w:bCs/>
          <w:sz w:val="24"/>
          <w:szCs w:val="24"/>
        </w:rPr>
        <w:t>3.3.3. Les avantages liés au personnel</w:t>
      </w:r>
    </w:p>
    <w:p w:rsidR="002A3F16" w:rsidRPr="002A3F16" w:rsidRDefault="002A3F16" w:rsidP="002A3F16">
      <w:pPr>
        <w:spacing w:before="60" w:beforeAutospacing="0" w:after="60" w:afterAutospacing="0" w:line="276" w:lineRule="auto"/>
        <w:ind w:firstLine="284"/>
        <w:jc w:val="both"/>
        <w:rPr>
          <w:rFonts w:ascii="Times New Roman" w:eastAsia="Calibri" w:hAnsi="Times New Roman" w:cs="Times New Roman"/>
          <w:sz w:val="24"/>
          <w:lang w:eastAsia="fr-FR"/>
        </w:rPr>
      </w:pPr>
      <w:r w:rsidRPr="002A3F16">
        <w:rPr>
          <w:rFonts w:ascii="Times New Roman" w:eastAsia="Calibri" w:hAnsi="Times New Roman" w:cs="Times New Roman"/>
          <w:sz w:val="24"/>
          <w:lang w:eastAsia="fr-FR"/>
        </w:rPr>
        <w:t>Les avantages du personnel désignent toutes formes de contrepartie données par une entreprise au titre des services rendus par son personnel.</w:t>
      </w:r>
    </w:p>
    <w:p w:rsidR="002A3F16" w:rsidRPr="002A3F16" w:rsidRDefault="002A3F16" w:rsidP="002A3F16">
      <w:pPr>
        <w:spacing w:before="60" w:beforeAutospacing="0" w:after="60" w:afterAutospacing="0" w:line="276" w:lineRule="auto"/>
        <w:ind w:firstLine="284"/>
        <w:jc w:val="both"/>
        <w:rPr>
          <w:rFonts w:ascii="Times New Roman" w:eastAsia="Calibri" w:hAnsi="Times New Roman" w:cs="Times New Roman"/>
          <w:sz w:val="24"/>
          <w:lang w:eastAsia="fr-FR"/>
        </w:rPr>
      </w:pPr>
      <w:r w:rsidRPr="002A3F16">
        <w:rPr>
          <w:rFonts w:ascii="Times New Roman" w:eastAsia="Calibri" w:hAnsi="Times New Roman" w:cs="Times New Roman"/>
          <w:sz w:val="24"/>
          <w:lang w:eastAsia="fr-FR"/>
        </w:rPr>
        <w:t>On distingue plusieurs types d’avantages de personnel :</w:t>
      </w:r>
    </w:p>
    <w:p w:rsidR="002A3F16" w:rsidRPr="002A3F16" w:rsidRDefault="002A3F16" w:rsidP="002A3F16">
      <w:pPr>
        <w:numPr>
          <w:ilvl w:val="0"/>
          <w:numId w:val="44"/>
        </w:numPr>
        <w:spacing w:before="60" w:beforeAutospacing="0" w:after="60" w:afterAutospacing="0" w:line="276" w:lineRule="auto"/>
        <w:contextualSpacing/>
        <w:jc w:val="both"/>
        <w:rPr>
          <w:rFonts w:ascii="Times New Roman" w:eastAsia="Calibri" w:hAnsi="Times New Roman" w:cs="Times New Roman"/>
          <w:sz w:val="24"/>
          <w:lang w:eastAsia="fr-FR"/>
        </w:rPr>
      </w:pPr>
      <w:r w:rsidRPr="002A3F16">
        <w:rPr>
          <w:rFonts w:ascii="Times New Roman" w:eastAsia="Calibri" w:hAnsi="Times New Roman" w:cs="Times New Roman"/>
          <w:b/>
          <w:bCs/>
          <w:sz w:val="24"/>
          <w:lang w:eastAsia="fr-FR"/>
        </w:rPr>
        <w:t xml:space="preserve">Les avantages à court terme </w:t>
      </w:r>
      <w:r w:rsidRPr="002A3F16">
        <w:rPr>
          <w:rFonts w:ascii="Times New Roman" w:eastAsia="Calibri" w:hAnsi="Times New Roman" w:cs="Times New Roman"/>
          <w:sz w:val="24"/>
          <w:lang w:eastAsia="fr-FR"/>
        </w:rPr>
        <w:t>désignent les avantages du personnel (autres que les indemnités de fin de contrat de travail et les avantages sur capitaux propres) qui sont dus intégralement dans les douze mois suivant la fin de l’exercice pendant lequel les membres du personnel ont rendu les services correspondants.</w:t>
      </w:r>
    </w:p>
    <w:p w:rsidR="002A3F16" w:rsidRPr="002A3F16" w:rsidRDefault="002A3F16" w:rsidP="002A3F16">
      <w:pPr>
        <w:spacing w:before="60" w:beforeAutospacing="0" w:after="60" w:afterAutospacing="0" w:line="276" w:lineRule="auto"/>
        <w:ind w:left="360"/>
        <w:contextualSpacing/>
        <w:jc w:val="both"/>
        <w:rPr>
          <w:rFonts w:ascii="Times New Roman" w:eastAsia="Calibri" w:hAnsi="Times New Roman" w:cs="Times New Roman"/>
          <w:sz w:val="24"/>
          <w:lang w:eastAsia="fr-FR"/>
        </w:rPr>
      </w:pPr>
      <w:r w:rsidRPr="002A3F16">
        <w:rPr>
          <w:rFonts w:ascii="Times New Roman" w:eastAsia="Calibri" w:hAnsi="Times New Roman" w:cs="Times New Roman"/>
          <w:sz w:val="24"/>
          <w:lang w:eastAsia="fr-FR"/>
        </w:rPr>
        <w:t>Composent les avantages à court terme, les éléments de salaires (y compris primes, congés payés,…) et les « avantages en nature » (voiture, logement,…) dont dispose le salarié dans le délai d’un an maximum après avoir rendu un service à l’entreprise.</w:t>
      </w:r>
    </w:p>
    <w:p w:rsidR="002A3F16" w:rsidRPr="002A3F16" w:rsidRDefault="002A3F16" w:rsidP="002A3F16">
      <w:pPr>
        <w:numPr>
          <w:ilvl w:val="0"/>
          <w:numId w:val="44"/>
        </w:numPr>
        <w:spacing w:before="60" w:beforeAutospacing="0" w:after="60" w:afterAutospacing="0" w:line="276" w:lineRule="auto"/>
        <w:contextualSpacing/>
        <w:jc w:val="both"/>
        <w:rPr>
          <w:rFonts w:ascii="Times New Roman" w:eastAsia="Calibri" w:hAnsi="Times New Roman" w:cs="Times New Roman"/>
          <w:b/>
          <w:bCs/>
          <w:sz w:val="24"/>
          <w:lang w:eastAsia="fr-FR"/>
        </w:rPr>
      </w:pPr>
      <w:r w:rsidRPr="002A3F16">
        <w:rPr>
          <w:rFonts w:ascii="Times New Roman" w:eastAsia="Calibri" w:hAnsi="Times New Roman" w:cs="Times New Roman"/>
          <w:sz w:val="24"/>
          <w:lang w:eastAsia="fr-FR"/>
        </w:rPr>
        <w:t xml:space="preserve"> </w:t>
      </w:r>
      <w:r w:rsidRPr="002A3F16">
        <w:rPr>
          <w:rFonts w:ascii="Times New Roman" w:eastAsia="Calibri" w:hAnsi="Times New Roman" w:cs="Times New Roman"/>
          <w:b/>
          <w:bCs/>
          <w:sz w:val="24"/>
          <w:lang w:eastAsia="fr-FR"/>
        </w:rPr>
        <w:t xml:space="preserve">Les avantages postérieurs à l’emploi : </w:t>
      </w:r>
      <w:r w:rsidRPr="002A3F16">
        <w:rPr>
          <w:rFonts w:ascii="Times New Roman" w:eastAsia="Calibri" w:hAnsi="Times New Roman" w:cs="Times New Roman"/>
          <w:bCs/>
          <w:sz w:val="24"/>
          <w:lang w:eastAsia="fr-FR"/>
        </w:rPr>
        <w:t>sont les avantages du personnel</w:t>
      </w:r>
      <w:r w:rsidRPr="002A3F16">
        <w:rPr>
          <w:rFonts w:ascii="Times New Roman" w:eastAsia="Calibri" w:hAnsi="Times New Roman" w:cs="Times New Roman"/>
          <w:sz w:val="24"/>
          <w:lang w:eastAsia="fr-FR"/>
        </w:rPr>
        <w:t xml:space="preserve"> payables postérieurement à la cessation de l’emploi. Sont concernés : les pensions de retraite, les indemnités de départ en retraite, les couvertures d’assurance vie post retraite, les régimes de frais de santé post-retraite.</w:t>
      </w:r>
    </w:p>
    <w:p w:rsidR="002A3F16" w:rsidRPr="002A3F16" w:rsidRDefault="002A3F16" w:rsidP="002A3F16">
      <w:pPr>
        <w:spacing w:before="60" w:beforeAutospacing="0" w:after="60" w:afterAutospacing="0" w:line="276" w:lineRule="auto"/>
        <w:ind w:left="360"/>
        <w:contextualSpacing/>
        <w:jc w:val="both"/>
        <w:rPr>
          <w:rFonts w:ascii="Times New Roman" w:eastAsia="Calibri" w:hAnsi="Times New Roman" w:cs="Times New Roman"/>
          <w:sz w:val="24"/>
          <w:lang w:eastAsia="fr-FR"/>
        </w:rPr>
      </w:pPr>
      <w:r w:rsidRPr="002A3F16">
        <w:rPr>
          <w:rFonts w:ascii="Times New Roman" w:eastAsia="Calibri" w:hAnsi="Times New Roman" w:cs="Times New Roman"/>
          <w:sz w:val="24"/>
          <w:lang w:eastAsia="fr-FR"/>
        </w:rPr>
        <w:t>Les avantages postérieurs à l’emploi sont les éléments versés après le départ du salarié, sous forme d’indemnités récurrentes ou ponctuelles, ces éléments peuvent être à la charge de l’entreprise (prestations définies) ou à la charge d’un organisme collecteur sans engagement complémentaire de l’entreprise (cotisations définies).</w:t>
      </w:r>
    </w:p>
    <w:p w:rsidR="002A3F16" w:rsidRPr="002A3F16" w:rsidRDefault="002A3F16" w:rsidP="002A3F16">
      <w:pPr>
        <w:numPr>
          <w:ilvl w:val="0"/>
          <w:numId w:val="44"/>
        </w:numPr>
        <w:spacing w:before="60" w:beforeAutospacing="0" w:after="60" w:afterAutospacing="0" w:line="276" w:lineRule="auto"/>
        <w:contextualSpacing/>
        <w:jc w:val="both"/>
        <w:rPr>
          <w:rFonts w:ascii="Times New Roman" w:eastAsia="Calibri" w:hAnsi="Times New Roman" w:cs="Times New Roman"/>
          <w:b/>
          <w:bCs/>
          <w:sz w:val="24"/>
          <w:lang w:eastAsia="fr-FR"/>
        </w:rPr>
      </w:pPr>
      <w:r w:rsidRPr="002A3F16">
        <w:rPr>
          <w:rFonts w:ascii="Times New Roman" w:eastAsia="Calibri" w:hAnsi="Times New Roman" w:cs="Times New Roman"/>
          <w:b/>
          <w:bCs/>
          <w:sz w:val="24"/>
          <w:lang w:eastAsia="fr-FR"/>
        </w:rPr>
        <w:t xml:space="preserve">Les autres avantages à long terme </w:t>
      </w:r>
      <w:r w:rsidRPr="002A3F16">
        <w:rPr>
          <w:rFonts w:ascii="Times New Roman" w:eastAsia="Calibri" w:hAnsi="Times New Roman" w:cs="Times New Roman"/>
          <w:bCs/>
          <w:sz w:val="24"/>
          <w:lang w:eastAsia="fr-FR"/>
        </w:rPr>
        <w:t>désignent les avantages</w:t>
      </w:r>
      <w:r w:rsidRPr="002A3F16">
        <w:rPr>
          <w:rFonts w:ascii="Times New Roman" w:eastAsia="Calibri" w:hAnsi="Times New Roman" w:cs="Times New Roman"/>
          <w:b/>
          <w:bCs/>
          <w:sz w:val="24"/>
          <w:lang w:eastAsia="fr-FR"/>
        </w:rPr>
        <w:t xml:space="preserve"> </w:t>
      </w:r>
      <w:r w:rsidRPr="002A3F16">
        <w:rPr>
          <w:rFonts w:ascii="Times New Roman" w:eastAsia="Calibri" w:hAnsi="Times New Roman" w:cs="Times New Roman"/>
          <w:sz w:val="24"/>
          <w:lang w:eastAsia="fr-FR"/>
        </w:rPr>
        <w:t>qui ne sont pas dus intégralement dans les douze mois suivant la fin de l’exercice pendant lequel les membres du personnel ont rendu les services correspondants. A titre d’exemple : les congés liés à l’ancienneté, les jubilés, les indemnités pour invalidité de longue durée, l’intéressement, les primes et rémunérations différées.</w:t>
      </w:r>
    </w:p>
    <w:p w:rsidR="002A3F16" w:rsidRPr="002A3F16" w:rsidRDefault="002A3F16" w:rsidP="002A3F16">
      <w:pPr>
        <w:spacing w:before="60" w:beforeAutospacing="0" w:after="60" w:afterAutospacing="0" w:line="276" w:lineRule="auto"/>
        <w:contextualSpacing/>
        <w:jc w:val="both"/>
        <w:rPr>
          <w:rFonts w:ascii="Times New Roman" w:eastAsia="Calibri" w:hAnsi="Times New Roman" w:cs="Times New Roman"/>
          <w:b/>
          <w:bCs/>
          <w:sz w:val="24"/>
          <w:lang w:eastAsia="fr-FR"/>
        </w:rPr>
      </w:pPr>
    </w:p>
    <w:p w:rsidR="002A3F16" w:rsidRPr="002A3F16" w:rsidRDefault="002A3F16" w:rsidP="002A3F16">
      <w:pPr>
        <w:spacing w:before="60" w:beforeAutospacing="0" w:after="60" w:afterAutospacing="0" w:line="276" w:lineRule="auto"/>
        <w:contextualSpacing/>
        <w:jc w:val="both"/>
        <w:rPr>
          <w:rFonts w:ascii="Times New Roman" w:eastAsia="Calibri" w:hAnsi="Times New Roman" w:cs="Times New Roman"/>
          <w:b/>
          <w:bCs/>
          <w:sz w:val="24"/>
          <w:lang w:eastAsia="fr-FR"/>
        </w:rPr>
      </w:pPr>
      <w:r w:rsidRPr="002A3F16">
        <w:rPr>
          <w:rFonts w:ascii="Times New Roman" w:eastAsia="Calibri" w:hAnsi="Times New Roman" w:cs="Times New Roman"/>
          <w:b/>
          <w:bCs/>
          <w:sz w:val="24"/>
          <w:lang w:eastAsia="fr-FR"/>
        </w:rPr>
        <w:lastRenderedPageBreak/>
        <w:t>Tableau (2) : les c</w:t>
      </w:r>
      <w:r w:rsidRPr="002A3F16">
        <w:rPr>
          <w:rFonts w:ascii="TimesNewRoman,Bold" w:hAnsi="TimesNewRoman,Bold" w:cs="TimesNewRoman,Bold"/>
          <w:b/>
          <w:bCs/>
          <w:sz w:val="24"/>
          <w:szCs w:val="24"/>
        </w:rPr>
        <w:t>onséquences comptables liées aux avantages de personnel</w:t>
      </w:r>
    </w:p>
    <w:tbl>
      <w:tblPr>
        <w:tblStyle w:val="Grilledutableau1"/>
        <w:tblW w:w="9322" w:type="dxa"/>
        <w:tblLook w:val="04A0" w:firstRow="1" w:lastRow="0" w:firstColumn="1" w:lastColumn="0" w:noHBand="0" w:noVBand="1"/>
      </w:tblPr>
      <w:tblGrid>
        <w:gridCol w:w="3510"/>
        <w:gridCol w:w="3402"/>
        <w:gridCol w:w="2410"/>
      </w:tblGrid>
      <w:tr w:rsidR="002A3F16" w:rsidRPr="002A3F16" w:rsidTr="00093157">
        <w:tc>
          <w:tcPr>
            <w:tcW w:w="3510" w:type="dxa"/>
          </w:tcPr>
          <w:p w:rsidR="002A3F16" w:rsidRPr="002A3F16" w:rsidRDefault="002A3F16" w:rsidP="002A3F16">
            <w:pPr>
              <w:jc w:val="both"/>
              <w:rPr>
                <w:rFonts w:ascii="Times New Roman" w:eastAsia="Calibri" w:hAnsi="Times New Roman" w:cs="Times New Roman"/>
                <w:b/>
                <w:sz w:val="24"/>
              </w:rPr>
            </w:pPr>
            <w:r w:rsidRPr="002A3F16">
              <w:rPr>
                <w:rFonts w:ascii="TimesNewRoman,Bold" w:hAnsi="TimesNewRoman,Bold" w:cs="TimesNewRoman,Bold"/>
                <w:b/>
                <w:bCs/>
                <w:sz w:val="24"/>
                <w:szCs w:val="24"/>
              </w:rPr>
              <w:t>Types d’avantages</w:t>
            </w:r>
          </w:p>
        </w:tc>
        <w:tc>
          <w:tcPr>
            <w:tcW w:w="3402" w:type="dxa"/>
          </w:tcPr>
          <w:p w:rsidR="002A3F16" w:rsidRPr="002A3F16" w:rsidRDefault="002A3F16" w:rsidP="002A3F16">
            <w:pPr>
              <w:jc w:val="both"/>
              <w:rPr>
                <w:rFonts w:ascii="Times New Roman" w:eastAsia="Calibri" w:hAnsi="Times New Roman" w:cs="Times New Roman"/>
                <w:b/>
                <w:sz w:val="24"/>
              </w:rPr>
            </w:pPr>
            <w:r w:rsidRPr="002A3F16">
              <w:rPr>
                <w:rFonts w:ascii="TimesNewRoman,Bold" w:hAnsi="TimesNewRoman,Bold" w:cs="TimesNewRoman,Bold"/>
                <w:b/>
                <w:bCs/>
                <w:sz w:val="24"/>
                <w:szCs w:val="24"/>
              </w:rPr>
              <w:t>Passif du Bilan</w:t>
            </w:r>
          </w:p>
        </w:tc>
        <w:tc>
          <w:tcPr>
            <w:tcW w:w="2410" w:type="dxa"/>
          </w:tcPr>
          <w:p w:rsidR="002A3F16" w:rsidRPr="002A3F16" w:rsidRDefault="002A3F16" w:rsidP="002A3F16">
            <w:pPr>
              <w:jc w:val="both"/>
              <w:rPr>
                <w:rFonts w:ascii="Times New Roman" w:eastAsia="Calibri" w:hAnsi="Times New Roman" w:cs="Times New Roman"/>
                <w:b/>
                <w:sz w:val="24"/>
              </w:rPr>
            </w:pPr>
            <w:r w:rsidRPr="002A3F16">
              <w:rPr>
                <w:rFonts w:ascii="TimesNewRoman,Bold" w:hAnsi="TimesNewRoman,Bold" w:cs="TimesNewRoman,Bold"/>
                <w:b/>
                <w:bCs/>
                <w:sz w:val="24"/>
                <w:szCs w:val="24"/>
              </w:rPr>
              <w:t>Compte de résultat</w:t>
            </w:r>
          </w:p>
        </w:tc>
      </w:tr>
      <w:tr w:rsidR="002A3F16" w:rsidRPr="002A3F16" w:rsidTr="00093157">
        <w:tc>
          <w:tcPr>
            <w:tcW w:w="3510" w:type="dxa"/>
          </w:tcPr>
          <w:p w:rsidR="002A3F16" w:rsidRPr="002A3F16" w:rsidRDefault="002A3F16" w:rsidP="002A3F16">
            <w:pPr>
              <w:autoSpaceDE w:val="0"/>
              <w:autoSpaceDN w:val="0"/>
              <w:adjustRightInd w:val="0"/>
              <w:jc w:val="both"/>
              <w:rPr>
                <w:rFonts w:ascii="TimesNewRoman" w:hAnsi="TimesNewRoman" w:cs="TimesNewRoman"/>
                <w:sz w:val="24"/>
                <w:szCs w:val="24"/>
              </w:rPr>
            </w:pPr>
            <w:r w:rsidRPr="002A3F16">
              <w:rPr>
                <w:rFonts w:ascii="TimesNewRoman" w:hAnsi="TimesNewRoman" w:cs="TimesNewRoman"/>
                <w:sz w:val="24"/>
                <w:szCs w:val="24"/>
              </w:rPr>
              <w:t>Avantages CT (dus dans les 12 mois)</w:t>
            </w:r>
          </w:p>
        </w:tc>
        <w:tc>
          <w:tcPr>
            <w:tcW w:w="3402" w:type="dxa"/>
            <w:vMerge w:val="restart"/>
          </w:tcPr>
          <w:p w:rsidR="002A3F16" w:rsidRPr="002A3F16" w:rsidRDefault="002A3F16" w:rsidP="002A3F16">
            <w:pPr>
              <w:jc w:val="both"/>
              <w:rPr>
                <w:rFonts w:ascii="Times New Roman" w:eastAsia="Calibri" w:hAnsi="Times New Roman" w:cs="Times New Roman"/>
                <w:sz w:val="24"/>
              </w:rPr>
            </w:pPr>
            <w:r w:rsidRPr="002A3F16">
              <w:rPr>
                <w:rFonts w:ascii="Times New Roman" w:eastAsia="Calibri" w:hAnsi="Times New Roman" w:cs="Times New Roman"/>
                <w:sz w:val="24"/>
              </w:rPr>
              <w:t xml:space="preserve">Dettes en cas d’avantages non payés </w:t>
            </w:r>
          </w:p>
        </w:tc>
        <w:tc>
          <w:tcPr>
            <w:tcW w:w="2410" w:type="dxa"/>
            <w:vMerge w:val="restart"/>
          </w:tcPr>
          <w:p w:rsidR="002A3F16" w:rsidRPr="002A3F16" w:rsidRDefault="002A3F16" w:rsidP="002A3F16">
            <w:pPr>
              <w:jc w:val="both"/>
              <w:rPr>
                <w:rFonts w:ascii="TimesNewRoman" w:hAnsi="TimesNewRoman" w:cs="TimesNewRoman"/>
                <w:sz w:val="24"/>
                <w:szCs w:val="24"/>
              </w:rPr>
            </w:pPr>
          </w:p>
          <w:p w:rsidR="002A3F16" w:rsidRPr="002A3F16" w:rsidRDefault="002A3F16" w:rsidP="002A3F16">
            <w:pPr>
              <w:jc w:val="both"/>
              <w:rPr>
                <w:rFonts w:ascii="Times New Roman" w:eastAsia="Calibri" w:hAnsi="Times New Roman" w:cs="Times New Roman"/>
                <w:b/>
                <w:sz w:val="24"/>
              </w:rPr>
            </w:pPr>
            <w:r w:rsidRPr="002A3F16">
              <w:rPr>
                <w:rFonts w:ascii="TimesNewRoman" w:hAnsi="TimesNewRoman" w:cs="TimesNewRoman"/>
                <w:sz w:val="24"/>
                <w:szCs w:val="24"/>
              </w:rPr>
              <w:t>Charges de la période</w:t>
            </w:r>
          </w:p>
        </w:tc>
      </w:tr>
      <w:tr w:rsidR="002A3F16" w:rsidRPr="002A3F16" w:rsidTr="00093157">
        <w:tc>
          <w:tcPr>
            <w:tcW w:w="3510" w:type="dxa"/>
          </w:tcPr>
          <w:p w:rsidR="002A3F16" w:rsidRPr="002A3F16" w:rsidRDefault="002A3F16" w:rsidP="002A3F16">
            <w:pPr>
              <w:autoSpaceDE w:val="0"/>
              <w:autoSpaceDN w:val="0"/>
              <w:adjustRightInd w:val="0"/>
              <w:jc w:val="both"/>
              <w:rPr>
                <w:rFonts w:ascii="TimesNewRoman" w:hAnsi="TimesNewRoman" w:cs="TimesNewRoman"/>
                <w:sz w:val="24"/>
                <w:szCs w:val="24"/>
              </w:rPr>
            </w:pPr>
            <w:r w:rsidRPr="002A3F16">
              <w:rPr>
                <w:rFonts w:ascii="TimesNewRoman" w:hAnsi="TimesNewRoman" w:cs="TimesNewRoman"/>
                <w:sz w:val="24"/>
                <w:szCs w:val="24"/>
              </w:rPr>
              <w:t>Avantages postérieurs à l’emploi : régimes à cotisations définies</w:t>
            </w:r>
          </w:p>
        </w:tc>
        <w:tc>
          <w:tcPr>
            <w:tcW w:w="3402" w:type="dxa"/>
            <w:vMerge/>
          </w:tcPr>
          <w:p w:rsidR="002A3F16" w:rsidRPr="002A3F16" w:rsidRDefault="002A3F16" w:rsidP="002A3F16">
            <w:pPr>
              <w:jc w:val="both"/>
              <w:rPr>
                <w:rFonts w:ascii="Times New Roman" w:eastAsia="Calibri" w:hAnsi="Times New Roman" w:cs="Times New Roman"/>
                <w:b/>
                <w:sz w:val="24"/>
              </w:rPr>
            </w:pPr>
          </w:p>
        </w:tc>
        <w:tc>
          <w:tcPr>
            <w:tcW w:w="2410" w:type="dxa"/>
            <w:vMerge/>
          </w:tcPr>
          <w:p w:rsidR="002A3F16" w:rsidRPr="002A3F16" w:rsidRDefault="002A3F16" w:rsidP="002A3F16">
            <w:pPr>
              <w:jc w:val="both"/>
              <w:rPr>
                <w:rFonts w:ascii="Times New Roman" w:eastAsia="Calibri" w:hAnsi="Times New Roman" w:cs="Times New Roman"/>
                <w:b/>
                <w:sz w:val="24"/>
              </w:rPr>
            </w:pPr>
          </w:p>
        </w:tc>
      </w:tr>
      <w:tr w:rsidR="002A3F16" w:rsidRPr="002A3F16" w:rsidTr="00093157">
        <w:tc>
          <w:tcPr>
            <w:tcW w:w="3510" w:type="dxa"/>
          </w:tcPr>
          <w:p w:rsidR="002A3F16" w:rsidRPr="002A3F16" w:rsidRDefault="002A3F16" w:rsidP="002A3F16">
            <w:pPr>
              <w:autoSpaceDE w:val="0"/>
              <w:autoSpaceDN w:val="0"/>
              <w:adjustRightInd w:val="0"/>
              <w:jc w:val="both"/>
              <w:rPr>
                <w:rFonts w:ascii="TimesNewRoman" w:hAnsi="TimesNewRoman" w:cs="TimesNewRoman"/>
                <w:sz w:val="24"/>
                <w:szCs w:val="24"/>
              </w:rPr>
            </w:pPr>
          </w:p>
          <w:p w:rsidR="002A3F16" w:rsidRPr="002A3F16" w:rsidRDefault="002A3F16" w:rsidP="002A3F16">
            <w:pPr>
              <w:autoSpaceDE w:val="0"/>
              <w:autoSpaceDN w:val="0"/>
              <w:adjustRightInd w:val="0"/>
              <w:jc w:val="both"/>
              <w:rPr>
                <w:rFonts w:ascii="TimesNewRoman" w:hAnsi="TimesNewRoman" w:cs="TimesNewRoman"/>
                <w:sz w:val="24"/>
                <w:szCs w:val="24"/>
              </w:rPr>
            </w:pPr>
            <w:r w:rsidRPr="002A3F16">
              <w:rPr>
                <w:rFonts w:ascii="TimesNewRoman" w:hAnsi="TimesNewRoman" w:cs="TimesNewRoman"/>
                <w:sz w:val="24"/>
                <w:szCs w:val="24"/>
              </w:rPr>
              <w:t>Avantages postérieurs à l’emploi : régimes à prestations définies et autre avantages LT</w:t>
            </w:r>
          </w:p>
        </w:tc>
        <w:tc>
          <w:tcPr>
            <w:tcW w:w="3402" w:type="dxa"/>
          </w:tcPr>
          <w:p w:rsidR="002A3F16" w:rsidRPr="002A3F16" w:rsidRDefault="002A3F16" w:rsidP="002A3F16">
            <w:pPr>
              <w:jc w:val="both"/>
              <w:rPr>
                <w:rFonts w:ascii="Times New Roman" w:eastAsia="Calibri" w:hAnsi="Times New Roman" w:cs="Times New Roman"/>
                <w:sz w:val="24"/>
              </w:rPr>
            </w:pPr>
            <w:r w:rsidRPr="002A3F16">
              <w:rPr>
                <w:rFonts w:ascii="Times New Roman" w:eastAsia="Calibri" w:hAnsi="Times New Roman" w:cs="Times New Roman"/>
                <w:sz w:val="24"/>
              </w:rPr>
              <w:t>Calcul de la provision relative aux prestations déjà fournies par le personnel (droits acquis), où le complément de la provision lié au changement de méthode d’estimation</w:t>
            </w:r>
            <w:r w:rsidRPr="002A3F16">
              <w:rPr>
                <w:rFonts w:ascii="Times New Roman" w:eastAsia="Calibri" w:hAnsi="Times New Roman" w:cs="Times New Roman"/>
                <w:sz w:val="24"/>
                <w:vertAlign w:val="superscript"/>
              </w:rPr>
              <w:footnoteReference w:customMarkFollows="1" w:id="109"/>
              <w:sym w:font="Symbol" w:char="F02A"/>
            </w:r>
            <w:r w:rsidRPr="002A3F16">
              <w:rPr>
                <w:rFonts w:ascii="Times New Roman" w:eastAsia="Calibri" w:hAnsi="Times New Roman" w:cs="Times New Roman"/>
                <w:sz w:val="24"/>
              </w:rPr>
              <w:t xml:space="preserve">.  </w:t>
            </w:r>
          </w:p>
        </w:tc>
        <w:tc>
          <w:tcPr>
            <w:tcW w:w="2410" w:type="dxa"/>
          </w:tcPr>
          <w:p w:rsidR="002A3F16" w:rsidRPr="002A3F16" w:rsidRDefault="002A3F16" w:rsidP="002A3F16">
            <w:pPr>
              <w:jc w:val="both"/>
              <w:rPr>
                <w:rFonts w:ascii="Times New Roman" w:eastAsia="Calibri" w:hAnsi="Times New Roman" w:cs="Times New Roman"/>
                <w:sz w:val="24"/>
              </w:rPr>
            </w:pPr>
          </w:p>
          <w:p w:rsidR="002A3F16" w:rsidRPr="002A3F16" w:rsidRDefault="002A3F16" w:rsidP="002A3F16">
            <w:pPr>
              <w:rPr>
                <w:rFonts w:ascii="Times New Roman" w:eastAsia="Calibri" w:hAnsi="Times New Roman" w:cs="Times New Roman"/>
                <w:sz w:val="24"/>
              </w:rPr>
            </w:pPr>
            <w:r w:rsidRPr="002A3F16">
              <w:rPr>
                <w:rFonts w:ascii="Times New Roman" w:eastAsia="Calibri" w:hAnsi="Times New Roman" w:cs="Times New Roman"/>
                <w:sz w:val="24"/>
              </w:rPr>
              <w:t>Constatation de la dotation de l’exercice</w:t>
            </w:r>
          </w:p>
        </w:tc>
      </w:tr>
    </w:tbl>
    <w:p w:rsidR="002A3F16" w:rsidRPr="002A3F16" w:rsidRDefault="002A3F16" w:rsidP="002A3F16">
      <w:pPr>
        <w:spacing w:before="240" w:beforeAutospacing="0" w:after="120" w:afterAutospacing="0" w:line="276" w:lineRule="auto"/>
        <w:jc w:val="both"/>
        <w:rPr>
          <w:rFonts w:ascii="Times New Roman" w:hAnsi="Times New Roman" w:cs="Times New Roman"/>
          <w:b/>
        </w:rPr>
      </w:pPr>
      <w:r w:rsidRPr="002A3F16">
        <w:rPr>
          <w:rFonts w:ascii="Times New Roman" w:eastAsia="Calibri" w:hAnsi="Times New Roman" w:cs="Times New Roman"/>
          <w:b/>
          <w:sz w:val="24"/>
        </w:rPr>
        <w:t>3.3.4. Provisions</w:t>
      </w:r>
      <w:r w:rsidRPr="002A3F16">
        <w:rPr>
          <w:rFonts w:ascii="Times New Roman" w:hAnsi="Times New Roman" w:cs="Times New Roman"/>
          <w:b/>
        </w:rPr>
        <w:t xml:space="preserve"> pour risques et charges</w:t>
      </w:r>
    </w:p>
    <w:p w:rsidR="002A3F16" w:rsidRPr="002A3F16" w:rsidRDefault="002A3F16" w:rsidP="002A3F16">
      <w:pPr>
        <w:spacing w:before="60" w:beforeAutospacing="0" w:after="60" w:afterAutospacing="0" w:line="276" w:lineRule="auto"/>
        <w:ind w:firstLine="284"/>
        <w:jc w:val="both"/>
        <w:rPr>
          <w:rFonts w:ascii="Times New Roman" w:hAnsi="Times New Roman" w:cs="Times New Roman"/>
          <w:bCs/>
          <w:sz w:val="24"/>
        </w:rPr>
      </w:pPr>
      <w:r w:rsidRPr="002A3F16">
        <w:rPr>
          <w:rFonts w:ascii="Times New Roman" w:hAnsi="Times New Roman" w:cs="Times New Roman"/>
          <w:bCs/>
          <w:sz w:val="24"/>
        </w:rPr>
        <w:t>Selon le système comptable et financier, une provision pour charges est un passif dont l’échéance ou le montant est incertain.</w:t>
      </w:r>
    </w:p>
    <w:p w:rsidR="002A3F16" w:rsidRPr="002A3F16" w:rsidRDefault="002A3F16" w:rsidP="002A3F16">
      <w:pPr>
        <w:spacing w:before="60" w:beforeAutospacing="0" w:after="60" w:afterAutospacing="0" w:line="276" w:lineRule="auto"/>
        <w:jc w:val="left"/>
        <w:rPr>
          <w:rFonts w:ascii="Times New Roman" w:eastAsia="Calibri" w:hAnsi="Times New Roman" w:cs="Times New Roman"/>
          <w:b/>
          <w:i/>
        </w:rPr>
      </w:pPr>
      <w:r w:rsidRPr="002A3F16">
        <w:rPr>
          <w:rFonts w:ascii="Times New Roman" w:eastAsia="Calibri" w:hAnsi="Times New Roman" w:cs="Times New Roman"/>
          <w:b/>
          <w:i/>
        </w:rPr>
        <w:t>Règles de comptabilisation</w:t>
      </w:r>
    </w:p>
    <w:p w:rsidR="002A3F16" w:rsidRPr="002A3F16" w:rsidRDefault="002A3F16" w:rsidP="002A3F16">
      <w:pPr>
        <w:spacing w:before="60" w:beforeAutospacing="0" w:after="60" w:afterAutospacing="0" w:line="276" w:lineRule="auto"/>
        <w:ind w:firstLine="284"/>
        <w:jc w:val="both"/>
        <w:rPr>
          <w:rFonts w:ascii="Times New Roman" w:eastAsia="Calibri" w:hAnsi="Times New Roman" w:cs="Times New Roman"/>
        </w:rPr>
      </w:pPr>
      <w:r w:rsidRPr="002A3F16">
        <w:rPr>
          <w:rFonts w:ascii="Times New Roman" w:eastAsia="Calibri" w:hAnsi="Times New Roman" w:cs="Times New Roman"/>
        </w:rPr>
        <w:t xml:space="preserve">Une </w:t>
      </w:r>
      <w:r w:rsidRPr="002A3F16">
        <w:rPr>
          <w:rFonts w:ascii="Times New Roman" w:hAnsi="Times New Roman" w:cs="Times New Roman"/>
          <w:bCs/>
          <w:sz w:val="24"/>
        </w:rPr>
        <w:t>provision</w:t>
      </w:r>
      <w:r w:rsidRPr="002A3F16">
        <w:rPr>
          <w:rFonts w:ascii="Times New Roman" w:eastAsia="Calibri" w:hAnsi="Times New Roman" w:cs="Times New Roman"/>
        </w:rPr>
        <w:t xml:space="preserve"> pour risques et charges n’est comptabilisée que lorsque :</w:t>
      </w:r>
    </w:p>
    <w:p w:rsidR="002A3F16" w:rsidRPr="002A3F16" w:rsidRDefault="002A3F16" w:rsidP="002A3F16">
      <w:pPr>
        <w:numPr>
          <w:ilvl w:val="0"/>
          <w:numId w:val="63"/>
        </w:numPr>
        <w:spacing w:before="60" w:beforeAutospacing="0" w:after="60" w:afterAutospacing="0" w:line="276" w:lineRule="auto"/>
        <w:jc w:val="both"/>
        <w:rPr>
          <w:rFonts w:ascii="Times New Roman" w:eastAsia="Calibri" w:hAnsi="Times New Roman" w:cs="Times New Roman"/>
          <w:sz w:val="24"/>
        </w:rPr>
      </w:pPr>
      <w:r w:rsidRPr="002A3F16">
        <w:rPr>
          <w:rFonts w:ascii="Times New Roman" w:eastAsia="Calibri" w:hAnsi="Times New Roman" w:cs="Times New Roman"/>
          <w:sz w:val="24"/>
        </w:rPr>
        <w:t xml:space="preserve">Une entité </w:t>
      </w:r>
      <w:proofErr w:type="gramStart"/>
      <w:r w:rsidRPr="002A3F16">
        <w:rPr>
          <w:rFonts w:ascii="Times New Roman" w:eastAsia="Calibri" w:hAnsi="Times New Roman" w:cs="Times New Roman"/>
          <w:sz w:val="24"/>
        </w:rPr>
        <w:t>a</w:t>
      </w:r>
      <w:proofErr w:type="gramEnd"/>
      <w:r w:rsidRPr="002A3F16">
        <w:rPr>
          <w:rFonts w:ascii="Times New Roman" w:eastAsia="Calibri" w:hAnsi="Times New Roman" w:cs="Times New Roman"/>
          <w:sz w:val="24"/>
        </w:rPr>
        <w:t xml:space="preserve"> une obligation actuelle (juridique ou implicite) résultant d’un événement passé ;</w:t>
      </w:r>
    </w:p>
    <w:p w:rsidR="002A3F16" w:rsidRPr="002A3F16" w:rsidRDefault="002A3F16" w:rsidP="002A3F16">
      <w:pPr>
        <w:numPr>
          <w:ilvl w:val="0"/>
          <w:numId w:val="63"/>
        </w:numPr>
        <w:spacing w:before="60" w:beforeAutospacing="0" w:after="60" w:afterAutospacing="0" w:line="276" w:lineRule="auto"/>
        <w:jc w:val="both"/>
        <w:rPr>
          <w:rFonts w:ascii="Times New Roman" w:eastAsia="Calibri" w:hAnsi="Times New Roman" w:cs="Times New Roman"/>
          <w:sz w:val="24"/>
        </w:rPr>
      </w:pPr>
      <w:r w:rsidRPr="002A3F16">
        <w:rPr>
          <w:rFonts w:ascii="Times New Roman" w:eastAsia="Calibri" w:hAnsi="Times New Roman" w:cs="Times New Roman"/>
          <w:sz w:val="24"/>
        </w:rPr>
        <w:t>Il est probable qu’une sortie de ressources sera nécessaire pour éteindre cette obligation ;</w:t>
      </w:r>
    </w:p>
    <w:p w:rsidR="002A3F16" w:rsidRPr="002A3F16" w:rsidRDefault="002A3F16" w:rsidP="002A3F16">
      <w:pPr>
        <w:numPr>
          <w:ilvl w:val="0"/>
          <w:numId w:val="63"/>
        </w:numPr>
        <w:spacing w:before="60" w:beforeAutospacing="0" w:after="60" w:afterAutospacing="0" w:line="276" w:lineRule="auto"/>
        <w:jc w:val="both"/>
        <w:rPr>
          <w:rFonts w:ascii="Times New Roman" w:eastAsia="Calibri" w:hAnsi="Times New Roman" w:cs="Times New Roman"/>
          <w:sz w:val="24"/>
        </w:rPr>
      </w:pPr>
      <w:r w:rsidRPr="002A3F16">
        <w:rPr>
          <w:rFonts w:ascii="Times New Roman" w:eastAsia="Calibri" w:hAnsi="Times New Roman" w:cs="Times New Roman"/>
          <w:sz w:val="24"/>
        </w:rPr>
        <w:t>une estimation fiable du montant de cette obligation peut être faite.</w:t>
      </w:r>
    </w:p>
    <w:p w:rsidR="002A3F16" w:rsidRPr="002A3F16" w:rsidRDefault="002A3F16" w:rsidP="002A3F16">
      <w:pPr>
        <w:spacing w:before="60" w:beforeAutospacing="0" w:after="60" w:afterAutospacing="0" w:line="276" w:lineRule="auto"/>
        <w:jc w:val="left"/>
        <w:rPr>
          <w:rFonts w:ascii="Times New Roman" w:eastAsia="Calibri" w:hAnsi="Times New Roman" w:cs="Times New Roman"/>
        </w:rPr>
      </w:pPr>
      <w:r w:rsidRPr="002A3F16">
        <w:rPr>
          <w:rFonts w:ascii="Times New Roman" w:eastAsia="Calibri" w:hAnsi="Times New Roman" w:cs="Times New Roman"/>
        </w:rPr>
        <w:t>Dès lors, Les pertes opérationnelles futures ne font pas l’objet d’une provision pour charges.</w:t>
      </w:r>
    </w:p>
    <w:p w:rsidR="002A3F16" w:rsidRPr="002A3F16" w:rsidRDefault="002A3F16" w:rsidP="002A3F16">
      <w:pPr>
        <w:spacing w:before="60" w:beforeAutospacing="0" w:after="60" w:afterAutospacing="0" w:line="276" w:lineRule="auto"/>
        <w:jc w:val="left"/>
        <w:rPr>
          <w:rFonts w:ascii="Times New Roman" w:eastAsia="Calibri" w:hAnsi="Times New Roman" w:cs="Times New Roman"/>
          <w:b/>
          <w:i/>
        </w:rPr>
      </w:pPr>
      <w:r w:rsidRPr="002A3F16">
        <w:rPr>
          <w:rFonts w:ascii="Times New Roman" w:eastAsia="Calibri" w:hAnsi="Times New Roman" w:cs="Times New Roman"/>
          <w:b/>
          <w:i/>
        </w:rPr>
        <w:t>Règles d’évaluation</w:t>
      </w:r>
    </w:p>
    <w:p w:rsidR="002A3F16" w:rsidRPr="002A3F16" w:rsidRDefault="002A3F16" w:rsidP="002A3F16">
      <w:pPr>
        <w:spacing w:before="60" w:beforeAutospacing="0" w:after="60" w:afterAutospacing="0" w:line="276" w:lineRule="auto"/>
        <w:ind w:firstLine="284"/>
        <w:jc w:val="both"/>
        <w:rPr>
          <w:rFonts w:ascii="Times New Roman" w:hAnsi="Times New Roman" w:cs="Times New Roman"/>
          <w:bCs/>
          <w:sz w:val="24"/>
        </w:rPr>
      </w:pPr>
      <w:r w:rsidRPr="002A3F16">
        <w:rPr>
          <w:rFonts w:ascii="Times New Roman" w:hAnsi="Times New Roman" w:cs="Times New Roman"/>
          <w:bCs/>
          <w:sz w:val="24"/>
        </w:rPr>
        <w:t>« Le montant comptabilisé en provision pour charges en fin d’exercice correspond à la meilleure estimation des dépenses à supporter jusqu’à l’extinction de l’obligation concernée. Les provisions font l’objet d’une nouvelle estimation à la clôture de chaque exercice »</w:t>
      </w:r>
      <w:r w:rsidRPr="002A3F16">
        <w:rPr>
          <w:rFonts w:ascii="Times New Roman" w:hAnsi="Times New Roman" w:cs="Times New Roman"/>
          <w:bCs/>
          <w:sz w:val="24"/>
          <w:vertAlign w:val="superscript"/>
        </w:rPr>
        <w:footnoteReference w:id="110"/>
      </w:r>
      <w:r w:rsidRPr="002A3F16">
        <w:rPr>
          <w:rFonts w:ascii="Times New Roman" w:hAnsi="Times New Roman" w:cs="Times New Roman"/>
          <w:bCs/>
          <w:sz w:val="24"/>
        </w:rPr>
        <w:t>.</w:t>
      </w:r>
    </w:p>
    <w:p w:rsidR="002A3F16" w:rsidRPr="002A3F16" w:rsidRDefault="002A3F16" w:rsidP="002A3F16">
      <w:pPr>
        <w:spacing w:before="60" w:beforeAutospacing="0" w:after="60" w:afterAutospacing="0" w:line="276" w:lineRule="auto"/>
        <w:jc w:val="left"/>
        <w:rPr>
          <w:rFonts w:ascii="Times New Roman" w:eastAsia="Calibri" w:hAnsi="Times New Roman" w:cs="Times New Roman"/>
          <w:b/>
          <w:i/>
        </w:rPr>
      </w:pPr>
      <w:r w:rsidRPr="002A3F16">
        <w:rPr>
          <w:rFonts w:ascii="Times New Roman" w:eastAsia="Calibri" w:hAnsi="Times New Roman" w:cs="Times New Roman"/>
          <w:b/>
          <w:i/>
        </w:rPr>
        <w:t>Conséquences comptables</w:t>
      </w:r>
    </w:p>
    <w:p w:rsidR="002A3F16" w:rsidRPr="002A3F16" w:rsidRDefault="002A3F16" w:rsidP="002A3F16">
      <w:pPr>
        <w:numPr>
          <w:ilvl w:val="0"/>
          <w:numId w:val="56"/>
        </w:numPr>
        <w:spacing w:before="60" w:beforeAutospacing="0" w:after="60" w:afterAutospacing="0" w:line="276" w:lineRule="auto"/>
        <w:contextualSpacing/>
        <w:jc w:val="both"/>
        <w:rPr>
          <w:rFonts w:ascii="Times New Roman" w:hAnsi="Times New Roman" w:cs="Times New Roman"/>
          <w:bCs/>
          <w:sz w:val="24"/>
        </w:rPr>
      </w:pPr>
      <w:r w:rsidRPr="002A3F16">
        <w:rPr>
          <w:rFonts w:ascii="Times New Roman" w:hAnsi="Times New Roman" w:cs="Times New Roman"/>
          <w:bCs/>
          <w:sz w:val="24"/>
        </w:rPr>
        <w:t xml:space="preserve">Annulation de certaines provisions qui ne feront plus l’objet de provisionnement dans le cadre du SCF. C’est le cas des dépenses relatives aux gros entretiens.  </w:t>
      </w:r>
    </w:p>
    <w:p w:rsidR="002A3F16" w:rsidRPr="002A3F16" w:rsidRDefault="002A3F16" w:rsidP="002A3F16">
      <w:pPr>
        <w:numPr>
          <w:ilvl w:val="0"/>
          <w:numId w:val="56"/>
        </w:numPr>
        <w:spacing w:before="60" w:beforeAutospacing="0" w:after="60" w:afterAutospacing="0" w:line="276" w:lineRule="auto"/>
        <w:contextualSpacing/>
        <w:jc w:val="both"/>
        <w:rPr>
          <w:rFonts w:ascii="Times New Roman" w:hAnsi="Times New Roman" w:cs="Times New Roman"/>
          <w:bCs/>
          <w:sz w:val="24"/>
        </w:rPr>
      </w:pPr>
      <w:r w:rsidRPr="002A3F16">
        <w:rPr>
          <w:rFonts w:ascii="Times New Roman" w:hAnsi="Times New Roman" w:cs="Times New Roman"/>
          <w:bCs/>
          <w:sz w:val="24"/>
        </w:rPr>
        <w:t>Annulation des dotations constatées pour l’exercice de retraitement, ce qui va impacter le résultat de l’entreprise ;</w:t>
      </w:r>
    </w:p>
    <w:p w:rsidR="002A3F16" w:rsidRPr="002A3F16" w:rsidRDefault="002A3F16" w:rsidP="002A3F16">
      <w:pPr>
        <w:numPr>
          <w:ilvl w:val="0"/>
          <w:numId w:val="56"/>
        </w:numPr>
        <w:spacing w:before="60" w:beforeAutospacing="0" w:after="60" w:afterAutospacing="0" w:line="276" w:lineRule="auto"/>
        <w:contextualSpacing/>
        <w:jc w:val="both"/>
        <w:rPr>
          <w:rFonts w:ascii="Times New Roman" w:hAnsi="Times New Roman" w:cs="Times New Roman"/>
          <w:bCs/>
          <w:sz w:val="24"/>
        </w:rPr>
      </w:pPr>
      <w:r w:rsidRPr="002A3F16">
        <w:rPr>
          <w:rFonts w:ascii="Times New Roman" w:hAnsi="Times New Roman" w:cs="Times New Roman"/>
          <w:bCs/>
          <w:sz w:val="24"/>
        </w:rPr>
        <w:lastRenderedPageBreak/>
        <w:t xml:space="preserve">L’impact du au changement des méthodes d’estimation est constaté en capitaux propres. </w:t>
      </w:r>
    </w:p>
    <w:p w:rsidR="002A3F16" w:rsidRPr="002A3F16" w:rsidRDefault="002A3F16" w:rsidP="002A3F16">
      <w:pPr>
        <w:spacing w:before="60" w:beforeAutospacing="0" w:after="60" w:afterAutospacing="0" w:line="276" w:lineRule="auto"/>
        <w:jc w:val="both"/>
        <w:rPr>
          <w:rFonts w:ascii="Times New Roman" w:eastAsia="Calibri" w:hAnsi="Times New Roman" w:cs="Times New Roman"/>
          <w:b/>
          <w:sz w:val="24"/>
          <w:szCs w:val="24"/>
        </w:rPr>
      </w:pPr>
      <w:r w:rsidRPr="002A3F16">
        <w:rPr>
          <w:rFonts w:ascii="Times New Roman" w:eastAsia="Calibri" w:hAnsi="Times New Roman" w:cs="Times New Roman"/>
          <w:b/>
          <w:sz w:val="24"/>
          <w:szCs w:val="24"/>
        </w:rPr>
        <w:t>3.3.5. Les impôts différés</w:t>
      </w:r>
    </w:p>
    <w:p w:rsidR="002A3F16" w:rsidRPr="002A3F16" w:rsidRDefault="002A3F16" w:rsidP="002A3F16">
      <w:pPr>
        <w:spacing w:before="60" w:beforeAutospacing="0" w:after="60" w:afterAutospacing="0" w:line="276" w:lineRule="auto"/>
        <w:ind w:firstLine="284"/>
        <w:jc w:val="both"/>
        <w:rPr>
          <w:rFonts w:ascii="Times New Roman" w:hAnsi="Times New Roman" w:cs="Times New Roman"/>
          <w:bCs/>
          <w:sz w:val="24"/>
          <w:szCs w:val="24"/>
        </w:rPr>
      </w:pPr>
      <w:r w:rsidRPr="002A3F16">
        <w:rPr>
          <w:rFonts w:ascii="Times New Roman" w:hAnsi="Times New Roman" w:cs="Times New Roman"/>
          <w:bCs/>
          <w:sz w:val="24"/>
          <w:szCs w:val="24"/>
        </w:rPr>
        <w:t xml:space="preserve">La méthode de l’imposition différée est une méthode comptable qui consiste à comptabiliser en charges la charge d’impôt sur le résultat imputable aux seules opérations de l’exercice. L’impôt différé </w:t>
      </w:r>
      <w:r w:rsidRPr="002A3F16">
        <w:rPr>
          <w:rFonts w:ascii="Times New Roman" w:hAnsi="Times New Roman" w:cs="Times New Roman"/>
          <w:sz w:val="24"/>
          <w:szCs w:val="24"/>
        </w:rPr>
        <w:t>est un montant d’impôt sur les bénéfices payable ou recouvrable au cours d’exercices futurs</w:t>
      </w:r>
      <w:r w:rsidRPr="002A3F16">
        <w:rPr>
          <w:rFonts w:ascii="Times New Roman" w:hAnsi="Times New Roman" w:cs="Times New Roman"/>
          <w:bCs/>
          <w:sz w:val="24"/>
          <w:szCs w:val="24"/>
          <w:vertAlign w:val="superscript"/>
        </w:rPr>
        <w:footnoteReference w:id="111"/>
      </w:r>
      <w:r w:rsidRPr="002A3F16">
        <w:rPr>
          <w:rFonts w:ascii="Times New Roman" w:hAnsi="Times New Roman" w:cs="Times New Roman"/>
          <w:sz w:val="24"/>
          <w:szCs w:val="24"/>
        </w:rPr>
        <w:t xml:space="preserve">. Il existe deux types d’impôts différés : </w:t>
      </w:r>
    </w:p>
    <w:p w:rsidR="002A3F16" w:rsidRPr="002A3F16" w:rsidRDefault="002A3F16" w:rsidP="002A3F16">
      <w:pPr>
        <w:numPr>
          <w:ilvl w:val="0"/>
          <w:numId w:val="26"/>
        </w:numPr>
        <w:spacing w:before="60" w:beforeAutospacing="0" w:after="60" w:afterAutospacing="0" w:line="276" w:lineRule="auto"/>
        <w:ind w:left="714" w:hanging="357"/>
        <w:contextualSpacing/>
        <w:jc w:val="left"/>
        <w:rPr>
          <w:rFonts w:ascii="Times New Roman" w:hAnsi="Times New Roman" w:cs="Times New Roman"/>
          <w:sz w:val="24"/>
          <w:szCs w:val="24"/>
        </w:rPr>
      </w:pPr>
      <w:r w:rsidRPr="002A3F16">
        <w:rPr>
          <w:rFonts w:ascii="Times New Roman" w:hAnsi="Times New Roman" w:cs="Times New Roman"/>
          <w:sz w:val="24"/>
          <w:szCs w:val="24"/>
        </w:rPr>
        <w:t>Impôts différés actifs = impôts recouvrables au cours d’exercices futurs</w:t>
      </w:r>
    </w:p>
    <w:p w:rsidR="002A3F16" w:rsidRPr="002A3F16" w:rsidRDefault="002A3F16" w:rsidP="002A3F16">
      <w:pPr>
        <w:numPr>
          <w:ilvl w:val="0"/>
          <w:numId w:val="26"/>
        </w:numPr>
        <w:spacing w:before="60" w:beforeAutospacing="0" w:after="60" w:afterAutospacing="0" w:line="276" w:lineRule="auto"/>
        <w:ind w:left="714" w:hanging="357"/>
        <w:contextualSpacing/>
        <w:jc w:val="left"/>
        <w:rPr>
          <w:rFonts w:ascii="Times New Roman" w:hAnsi="Times New Roman" w:cs="Times New Roman"/>
          <w:sz w:val="24"/>
          <w:szCs w:val="24"/>
        </w:rPr>
      </w:pPr>
      <w:r w:rsidRPr="002A3F16">
        <w:rPr>
          <w:rFonts w:ascii="Times New Roman" w:hAnsi="Times New Roman" w:cs="Times New Roman"/>
          <w:sz w:val="24"/>
          <w:szCs w:val="24"/>
        </w:rPr>
        <w:t>Impôts différés passifs = impôts payables au cours d’exercices futurs</w:t>
      </w:r>
    </w:p>
    <w:p w:rsidR="002A3F16" w:rsidRPr="002A3F16" w:rsidRDefault="002A3F16" w:rsidP="002A3F16">
      <w:pPr>
        <w:spacing w:before="60" w:beforeAutospacing="0" w:after="60" w:afterAutospacing="0" w:line="276" w:lineRule="auto"/>
        <w:ind w:firstLine="284"/>
        <w:jc w:val="both"/>
        <w:rPr>
          <w:rFonts w:ascii="Times New Roman" w:hAnsi="Times New Roman" w:cs="Times New Roman"/>
          <w:bCs/>
          <w:sz w:val="24"/>
          <w:szCs w:val="24"/>
        </w:rPr>
      </w:pPr>
      <w:r w:rsidRPr="002A3F16">
        <w:rPr>
          <w:rFonts w:ascii="Times New Roman" w:hAnsi="Times New Roman" w:cs="Times New Roman"/>
          <w:bCs/>
          <w:sz w:val="24"/>
          <w:szCs w:val="24"/>
        </w:rPr>
        <w:t>Généralement, on distingue quatre sources qui peuvent être à l’origine d’une imposition différée :</w:t>
      </w:r>
    </w:p>
    <w:p w:rsidR="002A3F16" w:rsidRPr="002A3F16" w:rsidRDefault="002A3F16" w:rsidP="002A3F16">
      <w:pPr>
        <w:numPr>
          <w:ilvl w:val="0"/>
          <w:numId w:val="61"/>
        </w:numPr>
        <w:spacing w:before="60" w:beforeAutospacing="0" w:after="60" w:afterAutospacing="0" w:line="276" w:lineRule="auto"/>
        <w:contextualSpacing/>
        <w:jc w:val="both"/>
        <w:rPr>
          <w:rFonts w:ascii="Times New Roman" w:hAnsi="Times New Roman" w:cs="Times New Roman"/>
          <w:sz w:val="24"/>
          <w:szCs w:val="24"/>
        </w:rPr>
      </w:pPr>
      <w:r w:rsidRPr="002A3F16">
        <w:rPr>
          <w:rFonts w:ascii="Times New Roman" w:hAnsi="Times New Roman" w:cs="Times New Roman"/>
          <w:b/>
          <w:sz w:val="24"/>
          <w:szCs w:val="24"/>
        </w:rPr>
        <w:t>Les décalages temporaires :</w:t>
      </w:r>
      <w:r w:rsidRPr="002A3F16">
        <w:rPr>
          <w:rFonts w:ascii="Times New Roman" w:hAnsi="Times New Roman" w:cs="Times New Roman"/>
          <w:sz w:val="24"/>
          <w:szCs w:val="24"/>
        </w:rPr>
        <w:t xml:space="preserve"> Ce sont les décalages temporaires entre la comptabilisation d’une charge ou d’un produit et sa prise en compte dans le résultat fiscal d’un exercice ultérieur dans un avenir prévisible.</w:t>
      </w:r>
    </w:p>
    <w:p w:rsidR="002A3F16" w:rsidRPr="002A3F16" w:rsidRDefault="002A3F16" w:rsidP="002A3F16">
      <w:pPr>
        <w:numPr>
          <w:ilvl w:val="0"/>
          <w:numId w:val="61"/>
        </w:numPr>
        <w:spacing w:before="60" w:beforeAutospacing="0" w:after="60" w:afterAutospacing="0" w:line="276" w:lineRule="auto"/>
        <w:contextualSpacing/>
        <w:jc w:val="both"/>
        <w:rPr>
          <w:rFonts w:ascii="Times New Roman" w:hAnsi="Times New Roman" w:cs="Times New Roman"/>
          <w:sz w:val="24"/>
          <w:szCs w:val="24"/>
        </w:rPr>
      </w:pPr>
      <w:r w:rsidRPr="002A3F16">
        <w:rPr>
          <w:rFonts w:ascii="Times New Roman" w:hAnsi="Times New Roman" w:cs="Times New Roman"/>
          <w:b/>
          <w:bCs/>
          <w:sz w:val="24"/>
          <w:szCs w:val="24"/>
        </w:rPr>
        <w:t>Les déficits fiscaux ou crédits d’impôts :</w:t>
      </w:r>
      <w:r w:rsidRPr="002A3F16">
        <w:rPr>
          <w:rFonts w:ascii="Times New Roman" w:hAnsi="Times New Roman" w:cs="Times New Roman"/>
          <w:bCs/>
          <w:sz w:val="24"/>
          <w:szCs w:val="24"/>
        </w:rPr>
        <w:t xml:space="preserve"> Les déficits fiscaux et les crédits d’impôt  reportables génèrent des impôts différés dans la mesure où leur imputation sur des bénéfices fiscaux ou des impôts futurs est probable dans un avenir prévisible.</w:t>
      </w:r>
    </w:p>
    <w:p w:rsidR="002A3F16" w:rsidRPr="002A3F16" w:rsidRDefault="002A3F16" w:rsidP="002A3F16">
      <w:pPr>
        <w:spacing w:before="60" w:beforeAutospacing="0" w:after="60" w:afterAutospacing="0" w:line="276" w:lineRule="auto"/>
        <w:ind w:left="360"/>
        <w:contextualSpacing/>
        <w:jc w:val="both"/>
        <w:rPr>
          <w:rFonts w:ascii="Times New Roman" w:hAnsi="Times New Roman" w:cs="Times New Roman"/>
          <w:sz w:val="24"/>
          <w:szCs w:val="24"/>
        </w:rPr>
      </w:pPr>
      <w:r w:rsidRPr="002A3F16">
        <w:rPr>
          <w:rFonts w:ascii="Times New Roman" w:hAnsi="Times New Roman" w:cs="Times New Roman"/>
          <w:bCs/>
          <w:sz w:val="24"/>
          <w:szCs w:val="24"/>
        </w:rPr>
        <w:t>Le report du résultat déficitaire sur un ou plusieurs exercices  ultérieurs  (04 exercices suivant le code des impôts) traduit une économie d’impôts futurs. Cependant, l’entreprise ne doit comptabiliser l’impôt différé actif y afférent que si elle estime qu’elle pourra l’imputer sur les résultats futurs, cela suppose notamment:</w:t>
      </w:r>
    </w:p>
    <w:p w:rsidR="002A3F16" w:rsidRPr="002A3F16" w:rsidRDefault="002A3F16" w:rsidP="002A3F16">
      <w:pPr>
        <w:numPr>
          <w:ilvl w:val="0"/>
          <w:numId w:val="62"/>
        </w:numPr>
        <w:spacing w:before="60" w:beforeAutospacing="0" w:after="60" w:afterAutospacing="0" w:line="276" w:lineRule="auto"/>
        <w:contextualSpacing/>
        <w:jc w:val="both"/>
        <w:rPr>
          <w:rFonts w:ascii="Times New Roman" w:hAnsi="Times New Roman" w:cs="Times New Roman"/>
          <w:bCs/>
          <w:sz w:val="24"/>
          <w:szCs w:val="24"/>
        </w:rPr>
      </w:pPr>
      <w:r w:rsidRPr="002A3F16">
        <w:rPr>
          <w:rFonts w:ascii="Times New Roman" w:hAnsi="Times New Roman" w:cs="Times New Roman"/>
          <w:bCs/>
          <w:sz w:val="24"/>
          <w:szCs w:val="24"/>
        </w:rPr>
        <w:t>Que l’entreprise prévoit de réaliser des bénéfices sur les exercices à venir ;</w:t>
      </w:r>
    </w:p>
    <w:p w:rsidR="002A3F16" w:rsidRPr="002A3F16" w:rsidRDefault="002A3F16" w:rsidP="002A3F16">
      <w:pPr>
        <w:numPr>
          <w:ilvl w:val="0"/>
          <w:numId w:val="62"/>
        </w:numPr>
        <w:spacing w:before="60" w:beforeAutospacing="0" w:after="60" w:afterAutospacing="0" w:line="276" w:lineRule="auto"/>
        <w:contextualSpacing/>
        <w:jc w:val="both"/>
        <w:rPr>
          <w:rFonts w:ascii="Times New Roman" w:hAnsi="Times New Roman" w:cs="Times New Roman"/>
          <w:bCs/>
          <w:sz w:val="24"/>
          <w:szCs w:val="24"/>
        </w:rPr>
      </w:pPr>
      <w:r w:rsidRPr="002A3F16">
        <w:rPr>
          <w:rFonts w:ascii="Times New Roman" w:hAnsi="Times New Roman" w:cs="Times New Roman"/>
          <w:bCs/>
          <w:sz w:val="24"/>
          <w:szCs w:val="24"/>
        </w:rPr>
        <w:t>Que les dispositions fiscales en vigueur lui permettent de procéder au report.</w:t>
      </w:r>
    </w:p>
    <w:p w:rsidR="002A3F16" w:rsidRPr="002A3F16" w:rsidRDefault="002A3F16" w:rsidP="002A3F16">
      <w:pPr>
        <w:numPr>
          <w:ilvl w:val="0"/>
          <w:numId w:val="61"/>
        </w:numPr>
        <w:spacing w:before="60" w:beforeAutospacing="0" w:after="60" w:afterAutospacing="0" w:line="276" w:lineRule="auto"/>
        <w:contextualSpacing/>
        <w:jc w:val="both"/>
        <w:rPr>
          <w:rFonts w:ascii="Times New Roman" w:hAnsi="Times New Roman" w:cs="Times New Roman"/>
          <w:bCs/>
          <w:sz w:val="24"/>
          <w:szCs w:val="24"/>
        </w:rPr>
      </w:pPr>
      <w:r w:rsidRPr="002A3F16">
        <w:rPr>
          <w:rFonts w:ascii="Times New Roman" w:hAnsi="Times New Roman" w:cs="Times New Roman"/>
          <w:b/>
          <w:bCs/>
          <w:sz w:val="24"/>
          <w:szCs w:val="24"/>
        </w:rPr>
        <w:t xml:space="preserve">Les différences temporelles : </w:t>
      </w:r>
      <w:r w:rsidRPr="002A3F16">
        <w:rPr>
          <w:rFonts w:ascii="Times New Roman" w:hAnsi="Times New Roman" w:cs="Times New Roman"/>
          <w:bCs/>
          <w:sz w:val="24"/>
          <w:szCs w:val="24"/>
        </w:rPr>
        <w:t>La notion de différence temporelle est définie dans le SCF comme étant la différence entre la valeur comptable d’un  actif ou d’un passif au bilan et sa base fiscale. Les différences temporelles peuvent être :</w:t>
      </w:r>
    </w:p>
    <w:p w:rsidR="002A3F16" w:rsidRPr="002A3F16" w:rsidRDefault="002A3F16" w:rsidP="002A3F16">
      <w:pPr>
        <w:numPr>
          <w:ilvl w:val="0"/>
          <w:numId w:val="59"/>
        </w:numPr>
        <w:spacing w:before="60" w:beforeAutospacing="0" w:after="60" w:afterAutospacing="0" w:line="276" w:lineRule="auto"/>
        <w:jc w:val="both"/>
        <w:rPr>
          <w:rFonts w:ascii="Times New Roman" w:hAnsi="Times New Roman" w:cs="Times New Roman"/>
          <w:bCs/>
          <w:sz w:val="24"/>
          <w:szCs w:val="24"/>
        </w:rPr>
      </w:pPr>
      <w:r w:rsidRPr="002A3F16">
        <w:rPr>
          <w:rFonts w:ascii="Times New Roman" w:hAnsi="Times New Roman" w:cs="Times New Roman"/>
          <w:bCs/>
          <w:sz w:val="24"/>
          <w:szCs w:val="24"/>
        </w:rPr>
        <w:t>des différences temporelles imposables, ou</w:t>
      </w:r>
    </w:p>
    <w:p w:rsidR="002A3F16" w:rsidRPr="002A3F16" w:rsidRDefault="002A3F16" w:rsidP="002A3F16">
      <w:pPr>
        <w:numPr>
          <w:ilvl w:val="0"/>
          <w:numId w:val="59"/>
        </w:numPr>
        <w:spacing w:before="60" w:beforeAutospacing="0" w:after="60" w:afterAutospacing="0" w:line="276" w:lineRule="auto"/>
        <w:jc w:val="both"/>
        <w:rPr>
          <w:rFonts w:ascii="Times New Roman" w:hAnsi="Times New Roman" w:cs="Times New Roman"/>
          <w:bCs/>
          <w:sz w:val="24"/>
          <w:szCs w:val="24"/>
        </w:rPr>
      </w:pPr>
      <w:r w:rsidRPr="002A3F16">
        <w:rPr>
          <w:rFonts w:ascii="Times New Roman" w:hAnsi="Times New Roman" w:cs="Times New Roman"/>
          <w:bCs/>
          <w:sz w:val="24"/>
          <w:szCs w:val="24"/>
        </w:rPr>
        <w:t>des différences temporelles déductibles.</w:t>
      </w:r>
    </w:p>
    <w:p w:rsidR="002A3F16" w:rsidRPr="002A3F16" w:rsidRDefault="002A3F16" w:rsidP="002A3F16">
      <w:pPr>
        <w:spacing w:before="60" w:beforeAutospacing="0" w:after="60" w:afterAutospacing="0" w:line="276" w:lineRule="auto"/>
        <w:ind w:left="360"/>
        <w:contextualSpacing/>
        <w:jc w:val="both"/>
        <w:rPr>
          <w:rFonts w:ascii="Times New Roman" w:hAnsi="Times New Roman" w:cs="Times New Roman"/>
          <w:bCs/>
          <w:sz w:val="24"/>
          <w:szCs w:val="24"/>
        </w:rPr>
      </w:pPr>
      <w:r w:rsidRPr="002A3F16">
        <w:rPr>
          <w:rFonts w:ascii="Times New Roman" w:hAnsi="Times New Roman" w:cs="Times New Roman"/>
          <w:bCs/>
          <w:sz w:val="24"/>
          <w:szCs w:val="24"/>
        </w:rPr>
        <w:t>Les différences temporelles généreront des montants respectivement imposables et déductibles dans la détermination du bénéfice imposable (ou de la perte fiscale) d’exercices futurs lorsque la valeur comptable de l’actif ou du passif sera recouvrée ou réglée.</w:t>
      </w:r>
    </w:p>
    <w:p w:rsidR="002A3F16" w:rsidRPr="002A3F16" w:rsidRDefault="002A3F16" w:rsidP="002A3F16">
      <w:pPr>
        <w:spacing w:before="60" w:beforeAutospacing="0" w:after="60" w:afterAutospacing="0" w:line="276" w:lineRule="auto"/>
        <w:ind w:left="360"/>
        <w:contextualSpacing/>
        <w:jc w:val="both"/>
        <w:rPr>
          <w:rFonts w:ascii="Times New Roman" w:hAnsi="Times New Roman" w:cs="Times New Roman"/>
          <w:bCs/>
          <w:sz w:val="24"/>
          <w:szCs w:val="24"/>
        </w:rPr>
      </w:pPr>
      <w:r w:rsidRPr="002A3F16">
        <w:rPr>
          <w:rFonts w:ascii="Times New Roman" w:hAnsi="Times New Roman" w:cs="Times New Roman"/>
          <w:bCs/>
          <w:sz w:val="24"/>
          <w:szCs w:val="24"/>
        </w:rPr>
        <w:t>Les impôts différés résultant des différences temporelles doivent être comptabilisés dans la mesure où ces différences donneront probablement lieu ultérieurement à une charge ou un produit d’impôt.</w:t>
      </w:r>
    </w:p>
    <w:p w:rsidR="002A3F16" w:rsidRPr="002A3F16" w:rsidRDefault="002A3F16" w:rsidP="002A3F16">
      <w:pPr>
        <w:spacing w:before="60" w:beforeAutospacing="0" w:after="60" w:afterAutospacing="0" w:line="276" w:lineRule="auto"/>
        <w:ind w:left="360"/>
        <w:contextualSpacing/>
        <w:jc w:val="both"/>
        <w:rPr>
          <w:rFonts w:ascii="Times New Roman" w:hAnsi="Times New Roman" w:cs="Times New Roman"/>
          <w:bCs/>
          <w:sz w:val="24"/>
          <w:szCs w:val="24"/>
        </w:rPr>
      </w:pPr>
      <w:r w:rsidRPr="002A3F16">
        <w:rPr>
          <w:rFonts w:ascii="Times New Roman" w:hAnsi="Times New Roman" w:cs="Times New Roman"/>
          <w:bCs/>
          <w:sz w:val="24"/>
          <w:szCs w:val="24"/>
        </w:rPr>
        <w:lastRenderedPageBreak/>
        <w:t>Et pour déterminer les différences temporelles pouvant exister au bilan d’une entité, il est nécessaire de déterminer les bases fiscales des éléments d’actifs et passifs.</w:t>
      </w:r>
    </w:p>
    <w:p w:rsidR="002A3F16" w:rsidRPr="002A3F16" w:rsidRDefault="002A3F16" w:rsidP="002A3F16">
      <w:pPr>
        <w:numPr>
          <w:ilvl w:val="0"/>
          <w:numId w:val="61"/>
        </w:numPr>
        <w:spacing w:before="60" w:beforeAutospacing="0" w:after="60" w:afterAutospacing="0" w:line="276" w:lineRule="auto"/>
        <w:contextualSpacing/>
        <w:jc w:val="both"/>
        <w:rPr>
          <w:rFonts w:ascii="Times New Roman" w:hAnsi="Times New Roman" w:cs="Times New Roman"/>
          <w:bCs/>
          <w:sz w:val="24"/>
          <w:szCs w:val="24"/>
        </w:rPr>
      </w:pPr>
      <w:r w:rsidRPr="002A3F16">
        <w:rPr>
          <w:rFonts w:ascii="Times New Roman" w:hAnsi="Times New Roman" w:cs="Times New Roman"/>
          <w:b/>
          <w:bCs/>
          <w:sz w:val="24"/>
          <w:szCs w:val="24"/>
        </w:rPr>
        <w:t xml:space="preserve">Les aménagements, éliminations et retraitements effectués dans le cadre de l’élaboration d’états financiers consolides : </w:t>
      </w:r>
      <w:r w:rsidRPr="002A3F16">
        <w:rPr>
          <w:rFonts w:ascii="Times New Roman" w:hAnsi="Times New Roman" w:cs="Times New Roman"/>
          <w:bCs/>
          <w:sz w:val="24"/>
          <w:szCs w:val="24"/>
        </w:rPr>
        <w:t xml:space="preserve">Il existe plusieurs retraitements effectués pour l’élaboration des états financiers consolidés. Le SCF ne spécifie pas lesquels peuvent être source d’imposition différée. </w:t>
      </w:r>
    </w:p>
    <w:p w:rsidR="002A3F16" w:rsidRPr="002A3F16" w:rsidRDefault="002A3F16" w:rsidP="002A3F16">
      <w:pPr>
        <w:spacing w:before="60" w:beforeAutospacing="0" w:after="60" w:afterAutospacing="0" w:line="276" w:lineRule="auto"/>
        <w:ind w:left="360"/>
        <w:contextualSpacing/>
        <w:jc w:val="both"/>
        <w:rPr>
          <w:rFonts w:ascii="Times New Roman" w:hAnsi="Times New Roman" w:cs="Times New Roman"/>
          <w:bCs/>
          <w:sz w:val="24"/>
          <w:szCs w:val="24"/>
        </w:rPr>
      </w:pPr>
      <w:r w:rsidRPr="002A3F16">
        <w:rPr>
          <w:rFonts w:ascii="Times New Roman" w:hAnsi="Times New Roman" w:cs="Times New Roman"/>
          <w:bCs/>
          <w:sz w:val="24"/>
          <w:szCs w:val="24"/>
        </w:rPr>
        <w:t>En théorie, il s’agit des opérations de consolidation qui ont un impact sur le résultat et induisent de ce fait un impact sur la charge d’impôt sur les résultats, notamment :</w:t>
      </w:r>
    </w:p>
    <w:p w:rsidR="002A3F16" w:rsidRPr="002A3F16" w:rsidRDefault="002A3F16" w:rsidP="002A3F16">
      <w:pPr>
        <w:numPr>
          <w:ilvl w:val="0"/>
          <w:numId w:val="60"/>
        </w:numPr>
        <w:spacing w:before="60" w:beforeAutospacing="0" w:after="60" w:afterAutospacing="0" w:line="276" w:lineRule="auto"/>
        <w:jc w:val="both"/>
        <w:rPr>
          <w:rFonts w:ascii="Times New Roman" w:hAnsi="Times New Roman" w:cs="Times New Roman"/>
          <w:bCs/>
          <w:sz w:val="24"/>
          <w:szCs w:val="24"/>
        </w:rPr>
      </w:pPr>
      <w:r w:rsidRPr="002A3F16">
        <w:rPr>
          <w:rFonts w:ascii="Times New Roman" w:hAnsi="Times New Roman" w:cs="Times New Roman"/>
          <w:bCs/>
          <w:sz w:val="24"/>
          <w:szCs w:val="24"/>
        </w:rPr>
        <w:t>Les retraitements d’uniformisation des méthodes comptables et méthodes d’évaluation  (évaluation des immobilisations, des stocks,…)</w:t>
      </w:r>
    </w:p>
    <w:p w:rsidR="002A3F16" w:rsidRPr="002A3F16" w:rsidRDefault="002A3F16" w:rsidP="002A3F16">
      <w:pPr>
        <w:numPr>
          <w:ilvl w:val="0"/>
          <w:numId w:val="60"/>
        </w:numPr>
        <w:spacing w:before="60" w:beforeAutospacing="0" w:after="60" w:afterAutospacing="0" w:line="276" w:lineRule="auto"/>
        <w:jc w:val="both"/>
        <w:rPr>
          <w:rFonts w:ascii="Times New Roman" w:hAnsi="Times New Roman" w:cs="Times New Roman"/>
          <w:bCs/>
          <w:sz w:val="24"/>
          <w:szCs w:val="24"/>
        </w:rPr>
      </w:pPr>
      <w:r w:rsidRPr="002A3F16">
        <w:rPr>
          <w:rFonts w:ascii="Times New Roman" w:hAnsi="Times New Roman" w:cs="Times New Roman"/>
          <w:bCs/>
          <w:sz w:val="24"/>
          <w:szCs w:val="24"/>
        </w:rPr>
        <w:t xml:space="preserve">L’élimination des résultats internes au groupe: les </w:t>
      </w:r>
      <w:proofErr w:type="spellStart"/>
      <w:r w:rsidRPr="002A3F16">
        <w:rPr>
          <w:rFonts w:ascii="Times New Roman" w:hAnsi="Times New Roman" w:cs="Times New Roman"/>
          <w:bCs/>
          <w:sz w:val="24"/>
          <w:szCs w:val="24"/>
        </w:rPr>
        <w:t>plus values</w:t>
      </w:r>
      <w:proofErr w:type="spellEnd"/>
      <w:r w:rsidRPr="002A3F16">
        <w:rPr>
          <w:rFonts w:ascii="Times New Roman" w:hAnsi="Times New Roman" w:cs="Times New Roman"/>
          <w:bCs/>
          <w:sz w:val="24"/>
          <w:szCs w:val="24"/>
        </w:rPr>
        <w:t xml:space="preserve"> de cession d’immobilisation, les profits de cession de stocks ainsi que les provisions intra groupe.</w:t>
      </w:r>
    </w:p>
    <w:p w:rsidR="002A3F16" w:rsidRPr="002A3F16" w:rsidRDefault="002A3F16" w:rsidP="002A3F16">
      <w:pPr>
        <w:spacing w:before="60" w:beforeAutospacing="0" w:after="60" w:afterAutospacing="0" w:line="276" w:lineRule="auto"/>
        <w:ind w:firstLine="284"/>
        <w:jc w:val="both"/>
        <w:rPr>
          <w:rFonts w:ascii="Times New Roman" w:hAnsi="Times New Roman" w:cs="Times New Roman"/>
          <w:bCs/>
          <w:sz w:val="24"/>
          <w:szCs w:val="24"/>
        </w:rPr>
      </w:pPr>
      <w:r w:rsidRPr="002A3F16">
        <w:rPr>
          <w:rFonts w:ascii="Times New Roman" w:hAnsi="Times New Roman" w:cs="Times New Roman"/>
          <w:bCs/>
          <w:sz w:val="24"/>
          <w:szCs w:val="24"/>
        </w:rPr>
        <w:t>Généralement, la constatation des impôts différés va impacter directement le compte du résultat. Cependant, les retraitements à effectuer lors de la première application du SCF, peuvent donner lieu à la constatation d’impôts différés imputés directement en capitaux propres (sur la rubrique changement d’estimation et de méthode comptable), également les réajustements ultérieurs du solde des impôts différés.</w:t>
      </w:r>
    </w:p>
    <w:p w:rsidR="002A3F16" w:rsidRPr="002A3F16" w:rsidRDefault="002A3F16" w:rsidP="002A3F16">
      <w:pPr>
        <w:spacing w:before="60" w:beforeAutospacing="0" w:after="60" w:afterAutospacing="0" w:line="276" w:lineRule="auto"/>
        <w:jc w:val="both"/>
        <w:rPr>
          <w:rFonts w:ascii="Times New Roman" w:eastAsia="Calibri" w:hAnsi="Times New Roman" w:cs="Times New Roman"/>
          <w:b/>
          <w:sz w:val="24"/>
          <w:szCs w:val="24"/>
        </w:rPr>
      </w:pPr>
      <w:r w:rsidRPr="002A3F16">
        <w:rPr>
          <w:rFonts w:ascii="Times New Roman" w:eastAsia="Calibri" w:hAnsi="Times New Roman" w:cs="Times New Roman"/>
          <w:b/>
          <w:sz w:val="24"/>
          <w:szCs w:val="24"/>
        </w:rPr>
        <w:t xml:space="preserve">3.3.6. Contrats de location </w:t>
      </w:r>
    </w:p>
    <w:p w:rsidR="002A3F16" w:rsidRPr="002A3F16" w:rsidRDefault="002A3F16" w:rsidP="002A3F16">
      <w:pPr>
        <w:spacing w:before="60" w:beforeAutospacing="0" w:after="60" w:afterAutospacing="0" w:line="276" w:lineRule="auto"/>
        <w:ind w:firstLine="284"/>
        <w:jc w:val="both"/>
        <w:rPr>
          <w:rFonts w:ascii="Times New Roman" w:hAnsi="Times New Roman" w:cs="Times New Roman"/>
          <w:sz w:val="24"/>
          <w:szCs w:val="24"/>
        </w:rPr>
      </w:pPr>
      <w:r w:rsidRPr="002A3F16">
        <w:rPr>
          <w:rFonts w:ascii="Times New Roman" w:hAnsi="Times New Roman" w:cs="Times New Roman"/>
          <w:sz w:val="24"/>
          <w:szCs w:val="24"/>
        </w:rPr>
        <w:t>Le SCF distingue deux types de contrats de location : location simple et location financement :</w:t>
      </w:r>
    </w:p>
    <w:p w:rsidR="002A3F16" w:rsidRPr="002A3F16" w:rsidRDefault="002A3F16" w:rsidP="002A3F16">
      <w:pPr>
        <w:numPr>
          <w:ilvl w:val="0"/>
          <w:numId w:val="61"/>
        </w:numPr>
        <w:spacing w:before="60" w:beforeAutospacing="0" w:after="60" w:afterAutospacing="0" w:line="276" w:lineRule="auto"/>
        <w:contextualSpacing/>
        <w:jc w:val="both"/>
        <w:rPr>
          <w:rFonts w:ascii="Times New Roman" w:hAnsi="Times New Roman" w:cs="Times New Roman"/>
          <w:sz w:val="24"/>
          <w:szCs w:val="24"/>
        </w:rPr>
      </w:pPr>
      <w:r w:rsidRPr="002A3F16">
        <w:rPr>
          <w:rFonts w:ascii="Times New Roman" w:hAnsi="Times New Roman" w:cs="Times New Roman"/>
          <w:sz w:val="24"/>
          <w:szCs w:val="24"/>
        </w:rPr>
        <w:t xml:space="preserve">Un contrat de location financement est un accord par lequel le bailleur cède au preneur pour une période déterminée, le droit d’utilisation d’un actif en échange d’un paiement. Suivant </w:t>
      </w:r>
      <w:proofErr w:type="spellStart"/>
      <w:r w:rsidRPr="002A3F16">
        <w:rPr>
          <w:rFonts w:ascii="Times New Roman" w:hAnsi="Times New Roman" w:cs="Times New Roman"/>
          <w:sz w:val="24"/>
          <w:szCs w:val="24"/>
        </w:rPr>
        <w:t>le quel</w:t>
      </w:r>
      <w:proofErr w:type="spellEnd"/>
      <w:r w:rsidRPr="002A3F16">
        <w:rPr>
          <w:rFonts w:ascii="Times New Roman" w:hAnsi="Times New Roman" w:cs="Times New Roman"/>
          <w:sz w:val="24"/>
          <w:szCs w:val="24"/>
        </w:rPr>
        <w:t xml:space="preserve">, la quasi-totalité des risques et avantages inhérents à la propriété de l’actif est transférée chez le preneur. </w:t>
      </w:r>
    </w:p>
    <w:p w:rsidR="002A3F16" w:rsidRPr="002A3F16" w:rsidRDefault="002A3F16" w:rsidP="002A3F16">
      <w:pPr>
        <w:numPr>
          <w:ilvl w:val="0"/>
          <w:numId w:val="61"/>
        </w:numPr>
        <w:spacing w:before="60" w:beforeAutospacing="0" w:after="60" w:afterAutospacing="0" w:line="276" w:lineRule="auto"/>
        <w:contextualSpacing/>
        <w:jc w:val="both"/>
        <w:rPr>
          <w:rFonts w:ascii="Times New Roman" w:hAnsi="Times New Roman" w:cs="Times New Roman"/>
          <w:sz w:val="24"/>
          <w:szCs w:val="24"/>
        </w:rPr>
      </w:pPr>
      <w:r w:rsidRPr="002A3F16">
        <w:rPr>
          <w:rFonts w:ascii="Times New Roman" w:hAnsi="Times New Roman" w:cs="Times New Roman"/>
          <w:sz w:val="24"/>
          <w:szCs w:val="24"/>
        </w:rPr>
        <w:t>Un contrat de location simple est tout contrat de location autre qu’un contrat de location financement</w:t>
      </w:r>
    </w:p>
    <w:p w:rsidR="002A3F16" w:rsidRPr="002A3F16" w:rsidRDefault="002A3F16" w:rsidP="002A3F16">
      <w:pPr>
        <w:spacing w:before="60" w:beforeAutospacing="0" w:after="60" w:afterAutospacing="0" w:line="276" w:lineRule="auto"/>
        <w:ind w:firstLine="284"/>
        <w:jc w:val="both"/>
        <w:rPr>
          <w:rFonts w:ascii="Times New Roman" w:hAnsi="Times New Roman" w:cs="Times New Roman"/>
          <w:sz w:val="24"/>
          <w:szCs w:val="24"/>
        </w:rPr>
      </w:pPr>
      <w:r w:rsidRPr="002A3F16">
        <w:rPr>
          <w:rFonts w:ascii="Times New Roman" w:hAnsi="Times New Roman" w:cs="Times New Roman"/>
          <w:sz w:val="24"/>
          <w:szCs w:val="24"/>
        </w:rPr>
        <w:t>Le SCF a défini des critères qui permettent de qualifier un contrat de location en tant que location financement:</w:t>
      </w:r>
    </w:p>
    <w:p w:rsidR="002A3F16" w:rsidRPr="002A3F16" w:rsidRDefault="002A3F16" w:rsidP="002A3F16">
      <w:pPr>
        <w:numPr>
          <w:ilvl w:val="0"/>
          <w:numId w:val="45"/>
        </w:numPr>
        <w:spacing w:before="60" w:beforeAutospacing="0" w:after="60" w:afterAutospacing="0" w:line="276" w:lineRule="auto"/>
        <w:jc w:val="both"/>
        <w:rPr>
          <w:rFonts w:ascii="Times New Roman" w:hAnsi="Times New Roman" w:cs="Times New Roman"/>
          <w:sz w:val="24"/>
          <w:szCs w:val="24"/>
        </w:rPr>
      </w:pPr>
      <w:r w:rsidRPr="002A3F16">
        <w:rPr>
          <w:rFonts w:ascii="Times New Roman" w:hAnsi="Times New Roman" w:cs="Times New Roman"/>
          <w:sz w:val="24"/>
          <w:szCs w:val="24"/>
        </w:rPr>
        <w:t>Transfert de propriété au preneur à la fin de la location.</w:t>
      </w:r>
    </w:p>
    <w:p w:rsidR="002A3F16" w:rsidRPr="002A3F16" w:rsidRDefault="002A3F16" w:rsidP="002A3F16">
      <w:pPr>
        <w:numPr>
          <w:ilvl w:val="0"/>
          <w:numId w:val="45"/>
        </w:numPr>
        <w:spacing w:before="60" w:beforeAutospacing="0" w:after="60" w:afterAutospacing="0" w:line="276" w:lineRule="auto"/>
        <w:jc w:val="both"/>
        <w:rPr>
          <w:rFonts w:ascii="Times New Roman" w:hAnsi="Times New Roman" w:cs="Times New Roman"/>
          <w:sz w:val="24"/>
          <w:szCs w:val="24"/>
        </w:rPr>
      </w:pPr>
      <w:r w:rsidRPr="002A3F16">
        <w:rPr>
          <w:rFonts w:ascii="Times New Roman" w:hAnsi="Times New Roman" w:cs="Times New Roman"/>
          <w:sz w:val="24"/>
          <w:szCs w:val="24"/>
        </w:rPr>
        <w:t>Option d’achat à un prix inférieur à la juste valeur.</w:t>
      </w:r>
    </w:p>
    <w:p w:rsidR="002A3F16" w:rsidRPr="002A3F16" w:rsidRDefault="002A3F16" w:rsidP="002A3F16">
      <w:pPr>
        <w:numPr>
          <w:ilvl w:val="0"/>
          <w:numId w:val="45"/>
        </w:numPr>
        <w:spacing w:before="60" w:beforeAutospacing="0" w:after="60" w:afterAutospacing="0" w:line="276" w:lineRule="auto"/>
        <w:jc w:val="both"/>
        <w:rPr>
          <w:rFonts w:ascii="Times New Roman" w:hAnsi="Times New Roman" w:cs="Times New Roman"/>
          <w:sz w:val="24"/>
          <w:szCs w:val="24"/>
        </w:rPr>
      </w:pPr>
      <w:r w:rsidRPr="002A3F16">
        <w:rPr>
          <w:rFonts w:ascii="Times New Roman" w:hAnsi="Times New Roman" w:cs="Times New Roman"/>
          <w:sz w:val="24"/>
          <w:szCs w:val="24"/>
        </w:rPr>
        <w:t>Durée de location couvrant la majeure partie de la durée de vie de l’actif loué.</w:t>
      </w:r>
    </w:p>
    <w:p w:rsidR="002A3F16" w:rsidRPr="002A3F16" w:rsidRDefault="002A3F16" w:rsidP="002A3F16">
      <w:pPr>
        <w:numPr>
          <w:ilvl w:val="0"/>
          <w:numId w:val="45"/>
        </w:numPr>
        <w:spacing w:before="60" w:beforeAutospacing="0" w:after="60" w:afterAutospacing="0" w:line="276" w:lineRule="auto"/>
        <w:jc w:val="both"/>
        <w:rPr>
          <w:rFonts w:ascii="Times New Roman" w:hAnsi="Times New Roman" w:cs="Times New Roman"/>
          <w:sz w:val="24"/>
          <w:szCs w:val="24"/>
        </w:rPr>
      </w:pPr>
      <w:r w:rsidRPr="002A3F16">
        <w:rPr>
          <w:rFonts w:ascii="Times New Roman" w:hAnsi="Times New Roman" w:cs="Times New Roman"/>
          <w:sz w:val="24"/>
          <w:szCs w:val="24"/>
        </w:rPr>
        <w:t>La valeur actualisée des paiements futurs couvre au moins la juste valeur du bien.</w:t>
      </w:r>
    </w:p>
    <w:p w:rsidR="002A3F16" w:rsidRPr="002A3F16" w:rsidRDefault="002A3F16" w:rsidP="002A3F16">
      <w:pPr>
        <w:numPr>
          <w:ilvl w:val="0"/>
          <w:numId w:val="45"/>
        </w:numPr>
        <w:spacing w:before="60" w:beforeAutospacing="0" w:after="60" w:afterAutospacing="0" w:line="276" w:lineRule="auto"/>
        <w:jc w:val="both"/>
        <w:rPr>
          <w:rFonts w:ascii="Times New Roman" w:hAnsi="Times New Roman" w:cs="Times New Roman"/>
          <w:sz w:val="24"/>
          <w:szCs w:val="24"/>
        </w:rPr>
      </w:pPr>
      <w:r w:rsidRPr="002A3F16">
        <w:rPr>
          <w:rFonts w:ascii="Times New Roman" w:hAnsi="Times New Roman" w:cs="Times New Roman"/>
          <w:sz w:val="24"/>
          <w:szCs w:val="24"/>
        </w:rPr>
        <w:t xml:space="preserve">Nature spécifique des actifs. </w:t>
      </w:r>
    </w:p>
    <w:p w:rsidR="002A3F16" w:rsidRDefault="002A3F16" w:rsidP="002A3F16">
      <w:pPr>
        <w:spacing w:before="0" w:beforeAutospacing="0" w:after="60" w:afterAutospacing="0" w:line="276" w:lineRule="auto"/>
        <w:jc w:val="both"/>
        <w:rPr>
          <w:rFonts w:ascii="Times New Roman" w:hAnsi="Times New Roman" w:cs="Times New Roman"/>
          <w:b/>
          <w:sz w:val="24"/>
          <w:szCs w:val="24"/>
        </w:rPr>
      </w:pPr>
    </w:p>
    <w:p w:rsidR="002A3F16" w:rsidRDefault="002A3F16" w:rsidP="002A3F16">
      <w:pPr>
        <w:spacing w:before="0" w:beforeAutospacing="0" w:after="60" w:afterAutospacing="0" w:line="276" w:lineRule="auto"/>
        <w:jc w:val="both"/>
        <w:rPr>
          <w:rFonts w:ascii="Times New Roman" w:hAnsi="Times New Roman" w:cs="Times New Roman"/>
          <w:b/>
          <w:sz w:val="24"/>
          <w:szCs w:val="24"/>
        </w:rPr>
      </w:pPr>
    </w:p>
    <w:p w:rsidR="002A3F16" w:rsidRPr="002A3F16" w:rsidRDefault="002A3F16" w:rsidP="002A3F16">
      <w:pPr>
        <w:spacing w:before="0" w:beforeAutospacing="0" w:after="60" w:afterAutospacing="0" w:line="276" w:lineRule="auto"/>
        <w:jc w:val="both"/>
        <w:rPr>
          <w:rFonts w:ascii="Times New Roman" w:hAnsi="Times New Roman" w:cs="Times New Roman"/>
          <w:b/>
          <w:sz w:val="24"/>
          <w:szCs w:val="24"/>
        </w:rPr>
      </w:pPr>
    </w:p>
    <w:p w:rsidR="002A3F16" w:rsidRPr="002A3F16" w:rsidRDefault="002A3F16" w:rsidP="002A3F16">
      <w:pPr>
        <w:spacing w:before="0" w:beforeAutospacing="0" w:after="60" w:afterAutospacing="0" w:line="276" w:lineRule="auto"/>
        <w:jc w:val="both"/>
        <w:rPr>
          <w:rFonts w:ascii="Times New Roman" w:hAnsi="Times New Roman" w:cs="Times New Roman"/>
          <w:b/>
          <w:sz w:val="24"/>
          <w:szCs w:val="24"/>
        </w:rPr>
      </w:pPr>
      <w:r w:rsidRPr="002A3F16">
        <w:rPr>
          <w:rFonts w:ascii="Times New Roman" w:hAnsi="Times New Roman" w:cs="Times New Roman"/>
          <w:b/>
          <w:sz w:val="24"/>
          <w:szCs w:val="24"/>
        </w:rPr>
        <w:lastRenderedPageBreak/>
        <w:t>Tableau (3) : Comptabilisation des contrats de location et ses conséquences</w:t>
      </w:r>
    </w:p>
    <w:tbl>
      <w:tblPr>
        <w:tblW w:w="54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832"/>
        <w:gridCol w:w="3726"/>
        <w:gridCol w:w="3859"/>
      </w:tblGrid>
      <w:tr w:rsidR="002A3F16" w:rsidRPr="002A3F16" w:rsidTr="00093157">
        <w:trPr>
          <w:trHeight w:val="303"/>
        </w:trPr>
        <w:tc>
          <w:tcPr>
            <w:tcW w:w="972" w:type="pct"/>
            <w:shd w:val="clear" w:color="auto" w:fill="auto"/>
            <w:tcMar>
              <w:top w:w="15" w:type="dxa"/>
              <w:left w:w="108" w:type="dxa"/>
              <w:bottom w:w="0" w:type="dxa"/>
              <w:right w:w="108" w:type="dxa"/>
            </w:tcMar>
            <w:vAlign w:val="center"/>
            <w:hideMark/>
          </w:tcPr>
          <w:p w:rsidR="002A3F16" w:rsidRPr="002A3F16" w:rsidRDefault="002A3F16" w:rsidP="002A3F16">
            <w:pPr>
              <w:spacing w:before="0" w:beforeAutospacing="0" w:after="200" w:afterAutospacing="0" w:line="276" w:lineRule="auto"/>
              <w:rPr>
                <w:rFonts w:ascii="Times New Roman" w:hAnsi="Times New Roman" w:cs="Times New Roman"/>
              </w:rPr>
            </w:pPr>
          </w:p>
        </w:tc>
        <w:tc>
          <w:tcPr>
            <w:tcW w:w="1978" w:type="pct"/>
            <w:shd w:val="clear" w:color="auto" w:fill="auto"/>
            <w:tcMar>
              <w:top w:w="15" w:type="dxa"/>
              <w:left w:w="108" w:type="dxa"/>
              <w:bottom w:w="0" w:type="dxa"/>
              <w:right w:w="108" w:type="dxa"/>
            </w:tcMar>
            <w:hideMark/>
          </w:tcPr>
          <w:p w:rsidR="002A3F16" w:rsidRPr="002A3F16" w:rsidRDefault="002A3F16" w:rsidP="002A3F16">
            <w:pPr>
              <w:spacing w:before="0" w:beforeAutospacing="0" w:after="0" w:afterAutospacing="0" w:line="276" w:lineRule="auto"/>
              <w:rPr>
                <w:rFonts w:ascii="Times New Roman" w:hAnsi="Times New Roman" w:cs="Times New Roman"/>
              </w:rPr>
            </w:pPr>
            <w:r w:rsidRPr="002A3F16">
              <w:rPr>
                <w:rFonts w:ascii="Times New Roman" w:hAnsi="Times New Roman" w:cs="Times New Roman"/>
                <w:b/>
                <w:bCs/>
              </w:rPr>
              <w:t>Preneur (locataire)</w:t>
            </w:r>
          </w:p>
        </w:tc>
        <w:tc>
          <w:tcPr>
            <w:tcW w:w="2049" w:type="pct"/>
            <w:shd w:val="clear" w:color="auto" w:fill="auto"/>
            <w:tcMar>
              <w:top w:w="15" w:type="dxa"/>
              <w:left w:w="108" w:type="dxa"/>
              <w:bottom w:w="0" w:type="dxa"/>
              <w:right w:w="108" w:type="dxa"/>
            </w:tcMar>
            <w:hideMark/>
          </w:tcPr>
          <w:p w:rsidR="002A3F16" w:rsidRPr="002A3F16" w:rsidRDefault="002A3F16" w:rsidP="002A3F16">
            <w:pPr>
              <w:spacing w:before="0" w:beforeAutospacing="0" w:after="0" w:afterAutospacing="0" w:line="276" w:lineRule="auto"/>
              <w:rPr>
                <w:rFonts w:ascii="Times New Roman" w:hAnsi="Times New Roman" w:cs="Times New Roman"/>
              </w:rPr>
            </w:pPr>
            <w:r w:rsidRPr="002A3F16">
              <w:rPr>
                <w:rFonts w:ascii="Times New Roman" w:hAnsi="Times New Roman" w:cs="Times New Roman"/>
                <w:b/>
                <w:bCs/>
              </w:rPr>
              <w:t>Bailleur</w:t>
            </w:r>
          </w:p>
        </w:tc>
      </w:tr>
      <w:tr w:rsidR="002A3F16" w:rsidRPr="002A3F16" w:rsidTr="00093157">
        <w:trPr>
          <w:trHeight w:val="2257"/>
        </w:trPr>
        <w:tc>
          <w:tcPr>
            <w:tcW w:w="972" w:type="pct"/>
            <w:shd w:val="clear" w:color="auto" w:fill="auto"/>
            <w:tcMar>
              <w:top w:w="15" w:type="dxa"/>
              <w:left w:w="108" w:type="dxa"/>
              <w:bottom w:w="0" w:type="dxa"/>
              <w:right w:w="108" w:type="dxa"/>
            </w:tcMar>
            <w:vAlign w:val="center"/>
            <w:hideMark/>
          </w:tcPr>
          <w:p w:rsidR="002A3F16" w:rsidRPr="002A3F16" w:rsidRDefault="002A3F16" w:rsidP="002A3F16">
            <w:pPr>
              <w:spacing w:before="0" w:beforeAutospacing="0" w:after="200" w:afterAutospacing="0" w:line="276" w:lineRule="auto"/>
              <w:jc w:val="both"/>
              <w:rPr>
                <w:rFonts w:ascii="Times New Roman" w:hAnsi="Times New Roman" w:cs="Times New Roman"/>
              </w:rPr>
            </w:pPr>
            <w:r w:rsidRPr="002A3F16">
              <w:rPr>
                <w:rFonts w:ascii="Times New Roman" w:hAnsi="Times New Roman" w:cs="Times New Roman"/>
              </w:rPr>
              <w:t>Comptabilisation initiale</w:t>
            </w:r>
          </w:p>
        </w:tc>
        <w:tc>
          <w:tcPr>
            <w:tcW w:w="1978" w:type="pct"/>
            <w:shd w:val="clear" w:color="auto" w:fill="auto"/>
            <w:tcMar>
              <w:top w:w="15" w:type="dxa"/>
              <w:left w:w="108" w:type="dxa"/>
              <w:bottom w:w="0" w:type="dxa"/>
              <w:right w:w="108" w:type="dxa"/>
            </w:tcMar>
            <w:vAlign w:val="center"/>
            <w:hideMark/>
          </w:tcPr>
          <w:p w:rsidR="002A3F16" w:rsidRPr="002A3F16" w:rsidRDefault="002A3F16" w:rsidP="002A3F16">
            <w:pPr>
              <w:numPr>
                <w:ilvl w:val="0"/>
                <w:numId w:val="58"/>
              </w:numPr>
              <w:tabs>
                <w:tab w:val="num" w:pos="720"/>
              </w:tabs>
              <w:spacing w:before="0" w:beforeAutospacing="0" w:after="0" w:afterAutospacing="0" w:line="276" w:lineRule="auto"/>
              <w:ind w:hanging="357"/>
              <w:jc w:val="both"/>
              <w:rPr>
                <w:rFonts w:ascii="Times New Roman" w:hAnsi="Times New Roman" w:cs="Times New Roman"/>
              </w:rPr>
            </w:pPr>
            <w:r w:rsidRPr="002A3F16">
              <w:rPr>
                <w:rFonts w:ascii="Times New Roman" w:hAnsi="Times New Roman" w:cs="Times New Roman"/>
              </w:rPr>
              <w:t>Inscription en actif du bien loué ;</w:t>
            </w:r>
          </w:p>
          <w:p w:rsidR="002A3F16" w:rsidRPr="002A3F16" w:rsidRDefault="002A3F16" w:rsidP="002A3F16">
            <w:pPr>
              <w:numPr>
                <w:ilvl w:val="0"/>
                <w:numId w:val="58"/>
              </w:numPr>
              <w:tabs>
                <w:tab w:val="num" w:pos="720"/>
              </w:tabs>
              <w:spacing w:before="0" w:beforeAutospacing="0" w:after="0" w:afterAutospacing="0" w:line="276" w:lineRule="auto"/>
              <w:ind w:hanging="357"/>
              <w:jc w:val="both"/>
              <w:rPr>
                <w:rFonts w:ascii="Times New Roman" w:hAnsi="Times New Roman" w:cs="Times New Roman"/>
              </w:rPr>
            </w:pPr>
            <w:r w:rsidRPr="002A3F16">
              <w:rPr>
                <w:rFonts w:ascii="Times New Roman" w:hAnsi="Times New Roman" w:cs="Times New Roman"/>
              </w:rPr>
              <w:t>Contrepartie : Dette de location financement ;</w:t>
            </w:r>
          </w:p>
          <w:p w:rsidR="002A3F16" w:rsidRPr="002A3F16" w:rsidRDefault="002A3F16" w:rsidP="002A3F16">
            <w:pPr>
              <w:numPr>
                <w:ilvl w:val="0"/>
                <w:numId w:val="58"/>
              </w:numPr>
              <w:tabs>
                <w:tab w:val="num" w:pos="720"/>
              </w:tabs>
              <w:spacing w:before="0" w:beforeAutospacing="0" w:after="0" w:afterAutospacing="0" w:line="276" w:lineRule="auto"/>
              <w:ind w:hanging="357"/>
              <w:jc w:val="both"/>
              <w:rPr>
                <w:rFonts w:ascii="Times New Roman" w:hAnsi="Times New Roman" w:cs="Times New Roman"/>
              </w:rPr>
            </w:pPr>
            <w:r w:rsidRPr="002A3F16">
              <w:rPr>
                <w:rFonts w:ascii="Times New Roman" w:hAnsi="Times New Roman" w:cs="Times New Roman"/>
              </w:rPr>
              <w:t>minimum entre Juste valeur du bien et : la valeur actuelle des paiements minimaux.</w:t>
            </w:r>
          </w:p>
        </w:tc>
        <w:tc>
          <w:tcPr>
            <w:tcW w:w="2049" w:type="pct"/>
            <w:shd w:val="clear" w:color="auto" w:fill="auto"/>
            <w:tcMar>
              <w:top w:w="15" w:type="dxa"/>
              <w:left w:w="108" w:type="dxa"/>
              <w:bottom w:w="0" w:type="dxa"/>
              <w:right w:w="108" w:type="dxa"/>
            </w:tcMar>
            <w:vAlign w:val="center"/>
            <w:hideMark/>
          </w:tcPr>
          <w:p w:rsidR="002A3F16" w:rsidRPr="002A3F16" w:rsidRDefault="002A3F16" w:rsidP="002A3F16">
            <w:pPr>
              <w:numPr>
                <w:ilvl w:val="3"/>
                <w:numId w:val="57"/>
              </w:numPr>
              <w:spacing w:before="0" w:beforeAutospacing="0" w:after="0" w:afterAutospacing="0" w:line="276" w:lineRule="auto"/>
              <w:jc w:val="both"/>
              <w:rPr>
                <w:rFonts w:ascii="Times New Roman" w:hAnsi="Times New Roman" w:cs="Times New Roman"/>
              </w:rPr>
            </w:pPr>
            <w:r w:rsidRPr="002A3F16">
              <w:rPr>
                <w:rFonts w:ascii="Times New Roman" w:hAnsi="Times New Roman" w:cs="Times New Roman"/>
              </w:rPr>
              <w:t xml:space="preserve">Inscription d’une  créance (immobilisation financière) pour la valeur de l’investissement net </w:t>
            </w:r>
          </w:p>
          <w:p w:rsidR="002A3F16" w:rsidRPr="002A3F16" w:rsidRDefault="002A3F16" w:rsidP="002A3F16">
            <w:pPr>
              <w:numPr>
                <w:ilvl w:val="3"/>
                <w:numId w:val="57"/>
              </w:numPr>
              <w:spacing w:before="0" w:beforeAutospacing="0" w:after="0" w:afterAutospacing="0" w:line="276" w:lineRule="auto"/>
              <w:jc w:val="both"/>
              <w:rPr>
                <w:rFonts w:ascii="Times New Roman" w:hAnsi="Times New Roman" w:cs="Times New Roman"/>
              </w:rPr>
            </w:pPr>
            <w:r w:rsidRPr="002A3F16">
              <w:rPr>
                <w:rFonts w:ascii="Times New Roman" w:hAnsi="Times New Roman" w:cs="Times New Roman"/>
              </w:rPr>
              <w:t xml:space="preserve"> Contrepartie</w:t>
            </w:r>
          </w:p>
          <w:p w:rsidR="002A3F16" w:rsidRPr="002A3F16" w:rsidRDefault="002A3F16" w:rsidP="002A3F16">
            <w:pPr>
              <w:numPr>
                <w:ilvl w:val="3"/>
                <w:numId w:val="57"/>
              </w:numPr>
              <w:spacing w:before="0" w:beforeAutospacing="0" w:after="0" w:afterAutospacing="0" w:line="276" w:lineRule="auto"/>
              <w:jc w:val="both"/>
              <w:rPr>
                <w:rFonts w:ascii="Times New Roman" w:hAnsi="Times New Roman" w:cs="Times New Roman"/>
              </w:rPr>
            </w:pPr>
            <w:r w:rsidRPr="002A3F16">
              <w:rPr>
                <w:rFonts w:ascii="Times New Roman" w:hAnsi="Times New Roman" w:cs="Times New Roman"/>
              </w:rPr>
              <w:t>Dette d’acquisition du bien (bailleur non fabricant ou non distributeur)</w:t>
            </w:r>
          </w:p>
          <w:p w:rsidR="002A3F16" w:rsidRPr="002A3F16" w:rsidRDefault="002A3F16" w:rsidP="002A3F16">
            <w:pPr>
              <w:numPr>
                <w:ilvl w:val="3"/>
                <w:numId w:val="57"/>
              </w:numPr>
              <w:spacing w:before="0" w:beforeAutospacing="0" w:after="0" w:afterAutospacing="0" w:line="276" w:lineRule="auto"/>
              <w:jc w:val="both"/>
              <w:rPr>
                <w:rFonts w:ascii="Times New Roman" w:hAnsi="Times New Roman" w:cs="Times New Roman"/>
              </w:rPr>
            </w:pPr>
            <w:r w:rsidRPr="002A3F16">
              <w:rPr>
                <w:rFonts w:ascii="Times New Roman" w:hAnsi="Times New Roman" w:cs="Times New Roman"/>
              </w:rPr>
              <w:t>Produit « Ventes » (bailleur fabricant ou distributeur)</w:t>
            </w:r>
          </w:p>
        </w:tc>
      </w:tr>
      <w:tr w:rsidR="002A3F16" w:rsidRPr="002A3F16" w:rsidTr="00093157">
        <w:trPr>
          <w:trHeight w:val="1835"/>
        </w:trPr>
        <w:tc>
          <w:tcPr>
            <w:tcW w:w="972" w:type="pct"/>
            <w:shd w:val="clear" w:color="auto" w:fill="auto"/>
            <w:tcMar>
              <w:top w:w="15" w:type="dxa"/>
              <w:left w:w="108" w:type="dxa"/>
              <w:bottom w:w="0" w:type="dxa"/>
              <w:right w:w="108" w:type="dxa"/>
            </w:tcMar>
            <w:vAlign w:val="center"/>
            <w:hideMark/>
          </w:tcPr>
          <w:p w:rsidR="002A3F16" w:rsidRPr="002A3F16" w:rsidRDefault="002A3F16" w:rsidP="002A3F16">
            <w:pPr>
              <w:spacing w:before="0" w:beforeAutospacing="0" w:after="200" w:afterAutospacing="0" w:line="276" w:lineRule="auto"/>
              <w:jc w:val="both"/>
              <w:rPr>
                <w:rFonts w:ascii="Times New Roman" w:hAnsi="Times New Roman" w:cs="Times New Roman"/>
              </w:rPr>
            </w:pPr>
            <w:r w:rsidRPr="002A3F16">
              <w:rPr>
                <w:rFonts w:ascii="Times New Roman" w:hAnsi="Times New Roman" w:cs="Times New Roman"/>
              </w:rPr>
              <w:t>En cours de contrat</w:t>
            </w:r>
          </w:p>
        </w:tc>
        <w:tc>
          <w:tcPr>
            <w:tcW w:w="1978" w:type="pct"/>
            <w:shd w:val="clear" w:color="auto" w:fill="auto"/>
            <w:tcMar>
              <w:top w:w="15" w:type="dxa"/>
              <w:left w:w="108" w:type="dxa"/>
              <w:bottom w:w="0" w:type="dxa"/>
              <w:right w:w="108" w:type="dxa"/>
            </w:tcMar>
            <w:vAlign w:val="center"/>
            <w:hideMark/>
          </w:tcPr>
          <w:p w:rsidR="002A3F16" w:rsidRPr="002A3F16" w:rsidRDefault="002A3F16" w:rsidP="002A3F16">
            <w:pPr>
              <w:numPr>
                <w:ilvl w:val="0"/>
                <w:numId w:val="58"/>
              </w:numPr>
              <w:tabs>
                <w:tab w:val="num" w:pos="720"/>
              </w:tabs>
              <w:spacing w:before="0" w:beforeAutospacing="0" w:after="0" w:afterAutospacing="0" w:line="276" w:lineRule="auto"/>
              <w:ind w:hanging="357"/>
              <w:jc w:val="both"/>
              <w:rPr>
                <w:rFonts w:ascii="Times New Roman" w:hAnsi="Times New Roman" w:cs="Times New Roman"/>
              </w:rPr>
            </w:pPr>
            <w:r w:rsidRPr="002A3F16">
              <w:rPr>
                <w:rFonts w:ascii="Times New Roman" w:hAnsi="Times New Roman" w:cs="Times New Roman"/>
              </w:rPr>
              <w:t>Amortissement sur la plus courte entre durée du contrat et durée d’utilité.</w:t>
            </w:r>
          </w:p>
          <w:p w:rsidR="002A3F16" w:rsidRPr="002A3F16" w:rsidRDefault="002A3F16" w:rsidP="002A3F16">
            <w:pPr>
              <w:numPr>
                <w:ilvl w:val="0"/>
                <w:numId w:val="58"/>
              </w:numPr>
              <w:tabs>
                <w:tab w:val="num" w:pos="720"/>
              </w:tabs>
              <w:spacing w:before="0" w:beforeAutospacing="0" w:after="0" w:afterAutospacing="0" w:line="276" w:lineRule="auto"/>
              <w:ind w:hanging="357"/>
              <w:jc w:val="both"/>
              <w:rPr>
                <w:rFonts w:ascii="Times New Roman" w:hAnsi="Times New Roman" w:cs="Times New Roman"/>
              </w:rPr>
            </w:pPr>
            <w:r w:rsidRPr="002A3F16">
              <w:rPr>
                <w:rFonts w:ascii="Times New Roman" w:hAnsi="Times New Roman" w:cs="Times New Roman"/>
              </w:rPr>
              <w:t>Les paiements effectués sont ventilés en :</w:t>
            </w:r>
          </w:p>
          <w:p w:rsidR="002A3F16" w:rsidRPr="002A3F16" w:rsidRDefault="002A3F16" w:rsidP="002A3F16">
            <w:pPr>
              <w:numPr>
                <w:ilvl w:val="1"/>
                <w:numId w:val="58"/>
              </w:numPr>
              <w:tabs>
                <w:tab w:val="num" w:pos="1440"/>
              </w:tabs>
              <w:spacing w:before="0" w:beforeAutospacing="0" w:after="0" w:afterAutospacing="0" w:line="276" w:lineRule="auto"/>
              <w:ind w:hanging="357"/>
              <w:jc w:val="left"/>
              <w:rPr>
                <w:rFonts w:ascii="Times New Roman" w:hAnsi="Times New Roman" w:cs="Times New Roman"/>
              </w:rPr>
            </w:pPr>
            <w:r w:rsidRPr="002A3F16">
              <w:rPr>
                <w:rFonts w:ascii="Times New Roman" w:hAnsi="Times New Roman" w:cs="Times New Roman"/>
              </w:rPr>
              <w:t>Intérêts: charges financières</w:t>
            </w:r>
          </w:p>
          <w:p w:rsidR="002A3F16" w:rsidRPr="002A3F16" w:rsidRDefault="002A3F16" w:rsidP="002A3F16">
            <w:pPr>
              <w:numPr>
                <w:ilvl w:val="1"/>
                <w:numId w:val="58"/>
              </w:numPr>
              <w:tabs>
                <w:tab w:val="num" w:pos="1440"/>
              </w:tabs>
              <w:spacing w:before="0" w:beforeAutospacing="0" w:after="0" w:afterAutospacing="0" w:line="276" w:lineRule="auto"/>
              <w:ind w:hanging="357"/>
              <w:jc w:val="left"/>
              <w:rPr>
                <w:rFonts w:ascii="Times New Roman" w:hAnsi="Times New Roman" w:cs="Times New Roman"/>
              </w:rPr>
            </w:pPr>
            <w:r w:rsidRPr="002A3F16">
              <w:rPr>
                <w:rFonts w:ascii="Times New Roman" w:hAnsi="Times New Roman" w:cs="Times New Roman"/>
              </w:rPr>
              <w:t>Remboursement principal</w:t>
            </w:r>
          </w:p>
        </w:tc>
        <w:tc>
          <w:tcPr>
            <w:tcW w:w="2049" w:type="pct"/>
            <w:shd w:val="clear" w:color="auto" w:fill="auto"/>
            <w:tcMar>
              <w:top w:w="15" w:type="dxa"/>
              <w:left w:w="108" w:type="dxa"/>
              <w:bottom w:w="0" w:type="dxa"/>
              <w:right w:w="108" w:type="dxa"/>
            </w:tcMar>
            <w:vAlign w:val="center"/>
            <w:hideMark/>
          </w:tcPr>
          <w:p w:rsidR="002A3F16" w:rsidRPr="002A3F16" w:rsidRDefault="002A3F16" w:rsidP="002A3F16">
            <w:pPr>
              <w:numPr>
                <w:ilvl w:val="0"/>
                <w:numId w:val="58"/>
              </w:numPr>
              <w:tabs>
                <w:tab w:val="num" w:pos="720"/>
              </w:tabs>
              <w:spacing w:before="0" w:beforeAutospacing="0" w:after="0" w:afterAutospacing="0" w:line="276" w:lineRule="auto"/>
              <w:ind w:hanging="357"/>
              <w:jc w:val="left"/>
              <w:rPr>
                <w:rFonts w:ascii="Times New Roman" w:hAnsi="Times New Roman" w:cs="Times New Roman"/>
              </w:rPr>
            </w:pPr>
            <w:r w:rsidRPr="002A3F16">
              <w:rPr>
                <w:rFonts w:ascii="Times New Roman" w:hAnsi="Times New Roman" w:cs="Times New Roman"/>
              </w:rPr>
              <w:t>Les paiements perçus sont ventilés en :</w:t>
            </w:r>
          </w:p>
          <w:p w:rsidR="002A3F16" w:rsidRPr="002A3F16" w:rsidRDefault="002A3F16" w:rsidP="002A3F16">
            <w:pPr>
              <w:numPr>
                <w:ilvl w:val="1"/>
                <w:numId w:val="58"/>
              </w:numPr>
              <w:tabs>
                <w:tab w:val="num" w:pos="1440"/>
              </w:tabs>
              <w:spacing w:before="0" w:beforeAutospacing="0" w:after="0" w:afterAutospacing="0" w:line="276" w:lineRule="auto"/>
              <w:ind w:hanging="357"/>
              <w:jc w:val="left"/>
              <w:rPr>
                <w:rFonts w:ascii="Times New Roman" w:hAnsi="Times New Roman" w:cs="Times New Roman"/>
              </w:rPr>
            </w:pPr>
            <w:r w:rsidRPr="002A3F16">
              <w:rPr>
                <w:rFonts w:ascii="Times New Roman" w:hAnsi="Times New Roman" w:cs="Times New Roman"/>
              </w:rPr>
              <w:t>Intérêts : produits financiers</w:t>
            </w:r>
          </w:p>
          <w:p w:rsidR="002A3F16" w:rsidRPr="002A3F16" w:rsidRDefault="002A3F16" w:rsidP="002A3F16">
            <w:pPr>
              <w:numPr>
                <w:ilvl w:val="1"/>
                <w:numId w:val="58"/>
              </w:numPr>
              <w:tabs>
                <w:tab w:val="num" w:pos="1440"/>
              </w:tabs>
              <w:spacing w:before="0" w:beforeAutospacing="0" w:after="0" w:afterAutospacing="0" w:line="276" w:lineRule="auto"/>
              <w:ind w:hanging="357"/>
              <w:jc w:val="left"/>
              <w:rPr>
                <w:rFonts w:ascii="Times New Roman" w:hAnsi="Times New Roman" w:cs="Times New Roman"/>
              </w:rPr>
            </w:pPr>
            <w:r w:rsidRPr="002A3F16">
              <w:rPr>
                <w:rFonts w:ascii="Times New Roman" w:hAnsi="Times New Roman" w:cs="Times New Roman"/>
              </w:rPr>
              <w:t xml:space="preserve">Remboursement du principal </w:t>
            </w:r>
          </w:p>
        </w:tc>
      </w:tr>
      <w:tr w:rsidR="002A3F16" w:rsidRPr="002A3F16" w:rsidTr="00093157">
        <w:trPr>
          <w:trHeight w:val="722"/>
        </w:trPr>
        <w:tc>
          <w:tcPr>
            <w:tcW w:w="972" w:type="pct"/>
            <w:shd w:val="clear" w:color="auto" w:fill="auto"/>
            <w:tcMar>
              <w:top w:w="15" w:type="dxa"/>
              <w:left w:w="108" w:type="dxa"/>
              <w:bottom w:w="0" w:type="dxa"/>
              <w:right w:w="108" w:type="dxa"/>
            </w:tcMar>
            <w:vAlign w:val="center"/>
            <w:hideMark/>
          </w:tcPr>
          <w:p w:rsidR="002A3F16" w:rsidRPr="002A3F16" w:rsidRDefault="002A3F16" w:rsidP="002A3F16">
            <w:pPr>
              <w:spacing w:before="0" w:beforeAutospacing="0" w:after="200" w:afterAutospacing="0" w:line="276" w:lineRule="auto"/>
              <w:jc w:val="both"/>
              <w:rPr>
                <w:rFonts w:ascii="Times New Roman" w:hAnsi="Times New Roman" w:cs="Times New Roman"/>
              </w:rPr>
            </w:pPr>
            <w:r w:rsidRPr="002A3F16">
              <w:rPr>
                <w:rFonts w:ascii="Times New Roman" w:hAnsi="Times New Roman" w:cs="Times New Roman"/>
              </w:rPr>
              <w:t>Impact sur le compte de résultat</w:t>
            </w:r>
          </w:p>
        </w:tc>
        <w:tc>
          <w:tcPr>
            <w:tcW w:w="1978" w:type="pct"/>
            <w:shd w:val="clear" w:color="auto" w:fill="auto"/>
            <w:tcMar>
              <w:top w:w="15" w:type="dxa"/>
              <w:left w:w="108" w:type="dxa"/>
              <w:bottom w:w="0" w:type="dxa"/>
              <w:right w:w="108" w:type="dxa"/>
            </w:tcMar>
            <w:vAlign w:val="center"/>
            <w:hideMark/>
          </w:tcPr>
          <w:p w:rsidR="002A3F16" w:rsidRPr="002A3F16" w:rsidRDefault="002A3F16" w:rsidP="002A3F16">
            <w:pPr>
              <w:numPr>
                <w:ilvl w:val="0"/>
                <w:numId w:val="58"/>
              </w:numPr>
              <w:tabs>
                <w:tab w:val="num" w:pos="720"/>
              </w:tabs>
              <w:spacing w:before="0" w:beforeAutospacing="0" w:after="0" w:afterAutospacing="0" w:line="276" w:lineRule="auto"/>
              <w:ind w:hanging="357"/>
              <w:jc w:val="both"/>
              <w:rPr>
                <w:rFonts w:ascii="Times New Roman" w:hAnsi="Times New Roman" w:cs="Times New Roman"/>
              </w:rPr>
            </w:pPr>
            <w:r w:rsidRPr="002A3F16">
              <w:rPr>
                <w:rFonts w:ascii="Times New Roman" w:hAnsi="Times New Roman" w:cs="Times New Roman"/>
              </w:rPr>
              <w:t>Constatation de la charge d’amortissement ;</w:t>
            </w:r>
          </w:p>
          <w:p w:rsidR="002A3F16" w:rsidRPr="002A3F16" w:rsidRDefault="002A3F16" w:rsidP="002A3F16">
            <w:pPr>
              <w:numPr>
                <w:ilvl w:val="0"/>
                <w:numId w:val="58"/>
              </w:numPr>
              <w:tabs>
                <w:tab w:val="num" w:pos="720"/>
              </w:tabs>
              <w:spacing w:before="0" w:beforeAutospacing="0" w:after="0" w:afterAutospacing="0" w:line="276" w:lineRule="auto"/>
              <w:ind w:hanging="357"/>
              <w:jc w:val="both"/>
              <w:rPr>
                <w:rFonts w:ascii="Times New Roman" w:hAnsi="Times New Roman" w:cs="Times New Roman"/>
              </w:rPr>
            </w:pPr>
            <w:r w:rsidRPr="002A3F16">
              <w:rPr>
                <w:rFonts w:ascii="Times New Roman" w:hAnsi="Times New Roman" w:cs="Times New Roman"/>
              </w:rPr>
              <w:t>Et des charges financières </w:t>
            </w:r>
          </w:p>
        </w:tc>
        <w:tc>
          <w:tcPr>
            <w:tcW w:w="2049" w:type="pct"/>
            <w:shd w:val="clear" w:color="auto" w:fill="auto"/>
            <w:tcMar>
              <w:top w:w="15" w:type="dxa"/>
              <w:left w:w="108" w:type="dxa"/>
              <w:bottom w:w="0" w:type="dxa"/>
              <w:right w:w="108" w:type="dxa"/>
            </w:tcMar>
            <w:vAlign w:val="center"/>
            <w:hideMark/>
          </w:tcPr>
          <w:p w:rsidR="002A3F16" w:rsidRPr="002A3F16" w:rsidRDefault="002A3F16" w:rsidP="002A3F16">
            <w:pPr>
              <w:numPr>
                <w:ilvl w:val="0"/>
                <w:numId w:val="58"/>
              </w:numPr>
              <w:tabs>
                <w:tab w:val="num" w:pos="720"/>
              </w:tabs>
              <w:spacing w:before="0" w:beforeAutospacing="0" w:after="0" w:afterAutospacing="0" w:line="276" w:lineRule="auto"/>
              <w:ind w:hanging="357"/>
              <w:jc w:val="both"/>
              <w:rPr>
                <w:rFonts w:ascii="Times New Roman" w:hAnsi="Times New Roman" w:cs="Times New Roman"/>
              </w:rPr>
            </w:pPr>
            <w:r w:rsidRPr="002A3F16">
              <w:rPr>
                <w:rFonts w:ascii="Times New Roman" w:hAnsi="Times New Roman" w:cs="Times New Roman"/>
              </w:rPr>
              <w:t>Annulation des dotations aux amortissements relatives au bien loué ;</w:t>
            </w:r>
          </w:p>
        </w:tc>
      </w:tr>
    </w:tbl>
    <w:p w:rsidR="002A3F16" w:rsidRPr="002A3F16" w:rsidRDefault="002A3F16" w:rsidP="002A3F16">
      <w:pPr>
        <w:spacing w:before="180" w:beforeAutospacing="0" w:after="60" w:afterAutospacing="0" w:line="276" w:lineRule="auto"/>
        <w:jc w:val="both"/>
        <w:rPr>
          <w:rFonts w:ascii="Times New Roman" w:hAnsi="Times New Roman" w:cs="Times New Roman"/>
          <w:b/>
          <w:bCs/>
        </w:rPr>
      </w:pPr>
      <w:r w:rsidRPr="002A3F16">
        <w:rPr>
          <w:rFonts w:ascii="Times New Roman" w:eastAsia="Calibri" w:hAnsi="Times New Roman" w:cs="Times New Roman"/>
          <w:b/>
          <w:sz w:val="24"/>
          <w:szCs w:val="24"/>
        </w:rPr>
        <w:t>3.3.7. Changements</w:t>
      </w:r>
      <w:r w:rsidRPr="002A3F16">
        <w:rPr>
          <w:rFonts w:ascii="Times New Roman" w:hAnsi="Times New Roman" w:cs="Times New Roman"/>
          <w:b/>
          <w:bCs/>
        </w:rPr>
        <w:t xml:space="preserve"> d’estimations ou de méthodes comptables, corrections d’erreurs ou d’omissions</w:t>
      </w:r>
      <w:bookmarkStart w:id="5" w:name="_Toc280543363"/>
      <w:bookmarkStart w:id="6" w:name="_Toc280543888"/>
      <w:bookmarkStart w:id="7" w:name="_Toc280549367"/>
      <w:bookmarkStart w:id="8" w:name="_Toc280549872"/>
      <w:bookmarkStart w:id="9" w:name="_Toc280543365"/>
      <w:bookmarkStart w:id="10" w:name="_Toc280543890"/>
      <w:bookmarkStart w:id="11" w:name="_Toc280549369"/>
      <w:bookmarkStart w:id="12" w:name="_Toc280549874"/>
    </w:p>
    <w:p w:rsidR="002A3F16" w:rsidRPr="002A3F16" w:rsidRDefault="002A3F16" w:rsidP="002A3F16">
      <w:pPr>
        <w:numPr>
          <w:ilvl w:val="0"/>
          <w:numId w:val="42"/>
        </w:numPr>
        <w:spacing w:before="60" w:beforeAutospacing="0" w:after="60" w:afterAutospacing="0" w:line="276" w:lineRule="auto"/>
        <w:ind w:left="357"/>
        <w:jc w:val="both"/>
        <w:rPr>
          <w:rFonts w:ascii="Times New Roman" w:eastAsia="Times New Roman" w:hAnsi="Times New Roman" w:cs="Times New Roman"/>
          <w:sz w:val="24"/>
          <w:szCs w:val="24"/>
        </w:rPr>
      </w:pPr>
      <w:r w:rsidRPr="002A3F16">
        <w:rPr>
          <w:rFonts w:ascii="Times New Roman" w:eastAsia="Times New Roman" w:hAnsi="Times New Roman" w:cs="Times New Roman"/>
          <w:b/>
          <w:sz w:val="24"/>
          <w:szCs w:val="24"/>
        </w:rPr>
        <w:t>Changement d’estimations :</w:t>
      </w:r>
      <w:bookmarkEnd w:id="5"/>
      <w:bookmarkEnd w:id="6"/>
      <w:bookmarkEnd w:id="7"/>
      <w:bookmarkEnd w:id="8"/>
      <w:r w:rsidRPr="002A3F16">
        <w:rPr>
          <w:rFonts w:ascii="Times New Roman" w:eastAsia="Times New Roman" w:hAnsi="Times New Roman" w:cs="Times New Roman"/>
          <w:sz w:val="24"/>
          <w:szCs w:val="24"/>
        </w:rPr>
        <w:t xml:space="preserve"> Certains éléments du bilan ne peuvent être évalués avec précision. Ils font l’objet donc d’une estimation basée sur des informations disponibles. Les estimations doivent être actualisées dans le temps en fonction de nouvelles évolutions, de nouvelles informations ou une meilleure expérience.</w:t>
      </w:r>
    </w:p>
    <w:p w:rsidR="002A3F16" w:rsidRPr="002A3F16" w:rsidRDefault="002A3F16" w:rsidP="002A3F16">
      <w:pPr>
        <w:spacing w:before="60" w:beforeAutospacing="0" w:after="60" w:afterAutospacing="0"/>
        <w:ind w:left="357"/>
        <w:jc w:val="both"/>
        <w:rPr>
          <w:rFonts w:ascii="Times New Roman" w:eastAsia="Calibri" w:hAnsi="Times New Roman" w:cs="Times New Roman"/>
          <w:sz w:val="24"/>
          <w:szCs w:val="24"/>
        </w:rPr>
      </w:pPr>
      <w:r w:rsidRPr="002A3F16">
        <w:rPr>
          <w:rFonts w:ascii="Times New Roman" w:eastAsia="Calibri" w:hAnsi="Times New Roman" w:cs="Times New Roman"/>
          <w:sz w:val="24"/>
          <w:szCs w:val="24"/>
        </w:rPr>
        <w:t>Le changement d’estimation n’est pas un changement de méthode comptable, il s’agit de l’estimation faite de la durée de vie d’un actif, ou de la valeur résiduelle d’une immobilisation amortie, ou du risque d’obsolescence des stocks, par exemples.</w:t>
      </w:r>
    </w:p>
    <w:p w:rsidR="002A3F16" w:rsidRPr="002A3F16" w:rsidRDefault="002A3F16" w:rsidP="002A3F16">
      <w:pPr>
        <w:numPr>
          <w:ilvl w:val="0"/>
          <w:numId w:val="42"/>
        </w:numPr>
        <w:spacing w:before="60" w:beforeAutospacing="0" w:after="60" w:afterAutospacing="0" w:line="276" w:lineRule="auto"/>
        <w:jc w:val="both"/>
        <w:rPr>
          <w:rFonts w:ascii="Times New Roman" w:eastAsia="Calibri" w:hAnsi="Times New Roman" w:cs="Times New Roman"/>
          <w:sz w:val="24"/>
          <w:szCs w:val="24"/>
        </w:rPr>
      </w:pPr>
      <w:r w:rsidRPr="002A3F16">
        <w:rPr>
          <w:rFonts w:ascii="Times New Roman" w:eastAsia="Times New Roman" w:hAnsi="Times New Roman" w:cs="Times New Roman"/>
          <w:b/>
          <w:sz w:val="24"/>
          <w:szCs w:val="24"/>
        </w:rPr>
        <w:t>Changements de méthodes comptables :</w:t>
      </w:r>
      <w:bookmarkEnd w:id="9"/>
      <w:bookmarkEnd w:id="10"/>
      <w:bookmarkEnd w:id="11"/>
      <w:bookmarkEnd w:id="12"/>
      <w:r w:rsidRPr="002A3F16">
        <w:rPr>
          <w:rFonts w:ascii="Times New Roman" w:eastAsia="Times New Roman" w:hAnsi="Times New Roman" w:cs="Times New Roman"/>
          <w:sz w:val="24"/>
          <w:szCs w:val="24"/>
        </w:rPr>
        <w:t xml:space="preserve"> Les changements de méthodes comptables concernent les modifications de principes, bases, conventions, règles et pratiques spécifiques appliquées par une entité pour établir et présenter ses états financiers. Par exemple la méthode d’évaluation des immobilisations. </w:t>
      </w:r>
    </w:p>
    <w:p w:rsidR="002A3F16" w:rsidRPr="002A3F16" w:rsidRDefault="002A3F16" w:rsidP="002A3F16">
      <w:pPr>
        <w:spacing w:before="60" w:beforeAutospacing="0" w:after="60" w:afterAutospacing="0"/>
        <w:ind w:left="360"/>
        <w:jc w:val="both"/>
        <w:rPr>
          <w:rFonts w:ascii="Times New Roman" w:eastAsia="Calibri" w:hAnsi="Times New Roman" w:cs="Times New Roman"/>
          <w:sz w:val="24"/>
          <w:szCs w:val="24"/>
        </w:rPr>
      </w:pPr>
      <w:r w:rsidRPr="002A3F16">
        <w:rPr>
          <w:rFonts w:ascii="Times New Roman" w:eastAsia="Calibri" w:hAnsi="Times New Roman" w:cs="Times New Roman"/>
          <w:sz w:val="24"/>
          <w:szCs w:val="24"/>
        </w:rPr>
        <w:t>Un changement de méthode comptable n’est effectué que s’il est imposé dans le cadre d’une nouvelle réglementation ou s’il permet une amélioration dans la présentation des états financiers de l’entité concernée.</w:t>
      </w:r>
    </w:p>
    <w:p w:rsidR="002A3F16" w:rsidRPr="002A3F16" w:rsidRDefault="002A3F16" w:rsidP="002A3F16">
      <w:pPr>
        <w:keepNext/>
        <w:keepLines/>
        <w:numPr>
          <w:ilvl w:val="0"/>
          <w:numId w:val="50"/>
        </w:numPr>
        <w:spacing w:before="60" w:beforeAutospacing="0" w:after="60" w:afterAutospacing="0" w:line="276" w:lineRule="auto"/>
        <w:ind w:left="357" w:hanging="357"/>
        <w:jc w:val="both"/>
        <w:outlineLvl w:val="1"/>
        <w:rPr>
          <w:rFonts w:ascii="Times New Roman" w:eastAsia="Times New Roman" w:hAnsi="Times New Roman" w:cs="Times New Roman"/>
          <w:bCs/>
          <w:sz w:val="24"/>
          <w:szCs w:val="24"/>
        </w:rPr>
      </w:pPr>
      <w:r w:rsidRPr="002A3F16">
        <w:rPr>
          <w:rFonts w:ascii="Times New Roman" w:eastAsia="Times New Roman" w:hAnsi="Times New Roman" w:cs="Times New Roman"/>
          <w:b/>
          <w:bCs/>
          <w:sz w:val="24"/>
          <w:szCs w:val="24"/>
        </w:rPr>
        <w:lastRenderedPageBreak/>
        <w:t xml:space="preserve">Corrections d’erreurs : </w:t>
      </w:r>
      <w:r w:rsidRPr="002A3F16">
        <w:rPr>
          <w:rFonts w:ascii="Times New Roman" w:eastAsia="Times New Roman" w:hAnsi="Times New Roman" w:cs="Times New Roman"/>
          <w:bCs/>
          <w:sz w:val="24"/>
          <w:szCs w:val="24"/>
        </w:rPr>
        <w:t>«Les erreurs fondamentales sont les erreurs découvertes durant l’exercice qui sont d’une telle importance que les états financiers d’un ou plusieurs exercices antérieurs ne peuvent plus être considérés comme ayant été fiables à la date de leur publication. » Elles peuvent être dues à des erreurs : de calcul, dans l’application des méthodes, des négligences, dans l’interprétation des faits ou une fraude.</w:t>
      </w:r>
    </w:p>
    <w:p w:rsidR="002A3F16" w:rsidRPr="002A3F16" w:rsidRDefault="002A3F16" w:rsidP="002A3F16">
      <w:pPr>
        <w:spacing w:before="120" w:beforeAutospacing="0" w:after="60" w:afterAutospacing="0" w:line="276" w:lineRule="auto"/>
        <w:ind w:firstLine="284"/>
        <w:jc w:val="both"/>
        <w:rPr>
          <w:rFonts w:ascii="Times New Roman" w:hAnsi="Times New Roman" w:cs="Times New Roman"/>
          <w:sz w:val="24"/>
          <w:szCs w:val="24"/>
        </w:rPr>
      </w:pPr>
      <w:r w:rsidRPr="002A3F16">
        <w:rPr>
          <w:rFonts w:ascii="Times New Roman" w:hAnsi="Times New Roman" w:cs="Times New Roman"/>
          <w:sz w:val="24"/>
          <w:szCs w:val="24"/>
        </w:rPr>
        <w:t>L’impact relatif aux changements d’estimations ou de méthodes comptables ainsi que celui relatif aux corrections d’erreurs est porté sur les capitaux propres.</w:t>
      </w:r>
    </w:p>
    <w:p w:rsidR="002A3F16" w:rsidRPr="002A3F16" w:rsidRDefault="002A3F16" w:rsidP="002A3F16">
      <w:pPr>
        <w:tabs>
          <w:tab w:val="left" w:pos="5595"/>
        </w:tabs>
        <w:spacing w:before="60" w:beforeAutospacing="0" w:after="60" w:afterAutospacing="0" w:line="276" w:lineRule="auto"/>
        <w:jc w:val="both"/>
        <w:rPr>
          <w:b/>
          <w:sz w:val="24"/>
          <w:szCs w:val="24"/>
        </w:rPr>
      </w:pPr>
      <w:r w:rsidRPr="002A3F16">
        <w:rPr>
          <w:rFonts w:ascii="Times New Roman" w:hAnsi="Times New Roman" w:cs="Times New Roman"/>
          <w:b/>
          <w:sz w:val="24"/>
          <w:szCs w:val="24"/>
        </w:rPr>
        <w:t xml:space="preserve">3.3.8. </w:t>
      </w:r>
      <w:r w:rsidRPr="002A3F16">
        <w:rPr>
          <w:rFonts w:ascii="Times New Roman" w:eastAsia="Calibri" w:hAnsi="Times New Roman" w:cs="Times New Roman"/>
          <w:b/>
          <w:sz w:val="24"/>
          <w:szCs w:val="24"/>
        </w:rPr>
        <w:t>La consolidation</w:t>
      </w:r>
      <w:r w:rsidRPr="002A3F16">
        <w:rPr>
          <w:rFonts w:ascii="Times New Roman" w:eastAsia="Calibri" w:hAnsi="Times New Roman" w:cs="Times New Roman"/>
          <w:b/>
          <w:sz w:val="24"/>
          <w:szCs w:val="24"/>
        </w:rPr>
        <w:tab/>
      </w:r>
    </w:p>
    <w:p w:rsidR="002A3F16" w:rsidRPr="002A3F16" w:rsidRDefault="002A3F16" w:rsidP="002A3F16">
      <w:pPr>
        <w:spacing w:before="60" w:beforeAutospacing="0" w:after="60" w:afterAutospacing="0" w:line="276" w:lineRule="auto"/>
        <w:ind w:firstLine="284"/>
        <w:jc w:val="both"/>
        <w:rPr>
          <w:rFonts w:ascii="Times New Roman" w:hAnsi="Times New Roman" w:cs="Times New Roman"/>
          <w:bCs/>
          <w:sz w:val="24"/>
        </w:rPr>
      </w:pPr>
      <w:r w:rsidRPr="002A3F16">
        <w:rPr>
          <w:rFonts w:ascii="Times New Roman" w:hAnsi="Times New Roman" w:cs="Times New Roman"/>
          <w:bCs/>
          <w:sz w:val="24"/>
        </w:rPr>
        <w:t>Le SCF retient des concepts nouveaux par rapport à la consolidation des comptes, à savoir :</w:t>
      </w:r>
    </w:p>
    <w:p w:rsidR="002A3F16" w:rsidRPr="002A3F16" w:rsidRDefault="002A3F16" w:rsidP="002A3F16">
      <w:pPr>
        <w:numPr>
          <w:ilvl w:val="0"/>
          <w:numId w:val="49"/>
        </w:numPr>
        <w:spacing w:before="60" w:beforeAutospacing="0" w:after="60" w:afterAutospacing="0" w:line="276" w:lineRule="auto"/>
        <w:contextualSpacing/>
        <w:jc w:val="both"/>
        <w:rPr>
          <w:rFonts w:ascii="Times New Roman" w:hAnsi="Times New Roman" w:cs="Times New Roman"/>
          <w:bCs/>
          <w:sz w:val="24"/>
          <w:u w:color="9BBB59"/>
        </w:rPr>
      </w:pPr>
      <w:r w:rsidRPr="002A3F16">
        <w:rPr>
          <w:rFonts w:ascii="Times New Roman" w:eastAsia="Calibri" w:hAnsi="Times New Roman" w:cs="Times New Roman"/>
          <w:b/>
          <w:bCs/>
          <w:sz w:val="24"/>
        </w:rPr>
        <w:t>La notion de contrôle</w:t>
      </w:r>
      <w:r w:rsidRPr="002A3F16">
        <w:rPr>
          <w:rFonts w:ascii="Times New Roman" w:eastAsia="Calibri" w:hAnsi="Times New Roman" w:cs="Times New Roman"/>
          <w:sz w:val="24"/>
        </w:rPr>
        <w:t> (au sens duquel une entité est considérée comme étant une filiale) qui est rattachée non pas à un taux de participation dans un capital mais à certains critères que sont :</w:t>
      </w:r>
    </w:p>
    <w:p w:rsidR="002A3F16" w:rsidRPr="002A3F16" w:rsidRDefault="002A3F16" w:rsidP="002A3F16">
      <w:pPr>
        <w:numPr>
          <w:ilvl w:val="0"/>
          <w:numId w:val="47"/>
        </w:numPr>
        <w:spacing w:before="60" w:beforeAutospacing="0" w:after="60" w:afterAutospacing="0" w:line="276" w:lineRule="auto"/>
        <w:contextualSpacing/>
        <w:jc w:val="both"/>
        <w:rPr>
          <w:rFonts w:ascii="Times New Roman" w:eastAsia="Calibri" w:hAnsi="Times New Roman" w:cs="Times New Roman"/>
          <w:sz w:val="24"/>
        </w:rPr>
      </w:pPr>
      <w:r w:rsidRPr="002A3F16">
        <w:rPr>
          <w:rFonts w:ascii="Times New Roman" w:eastAsia="Calibri" w:hAnsi="Times New Roman" w:cs="Times New Roman"/>
          <w:sz w:val="24"/>
        </w:rPr>
        <w:t>Détention directe ou indirecte de la majorité des droits de vote ;</w:t>
      </w:r>
    </w:p>
    <w:p w:rsidR="002A3F16" w:rsidRPr="002A3F16" w:rsidRDefault="002A3F16" w:rsidP="002A3F16">
      <w:pPr>
        <w:numPr>
          <w:ilvl w:val="0"/>
          <w:numId w:val="47"/>
        </w:numPr>
        <w:spacing w:before="60" w:beforeAutospacing="0" w:after="60" w:afterAutospacing="0" w:line="276" w:lineRule="auto"/>
        <w:contextualSpacing/>
        <w:jc w:val="both"/>
        <w:rPr>
          <w:rFonts w:ascii="Times New Roman" w:eastAsia="Calibri" w:hAnsi="Times New Roman" w:cs="Times New Roman"/>
          <w:sz w:val="24"/>
        </w:rPr>
      </w:pPr>
      <w:r w:rsidRPr="002A3F16">
        <w:rPr>
          <w:rFonts w:ascii="Times New Roman" w:eastAsia="Calibri" w:hAnsi="Times New Roman" w:cs="Times New Roman"/>
          <w:sz w:val="24"/>
        </w:rPr>
        <w:t>Les droits de vote à plus de 50% obtenus dans le cadre d’un accord avec les autres associés actionnaires ;</w:t>
      </w:r>
    </w:p>
    <w:p w:rsidR="002A3F16" w:rsidRPr="002A3F16" w:rsidRDefault="002A3F16" w:rsidP="002A3F16">
      <w:pPr>
        <w:numPr>
          <w:ilvl w:val="0"/>
          <w:numId w:val="47"/>
        </w:numPr>
        <w:spacing w:before="60" w:beforeAutospacing="0" w:after="60" w:afterAutospacing="0" w:line="276" w:lineRule="auto"/>
        <w:contextualSpacing/>
        <w:jc w:val="both"/>
        <w:rPr>
          <w:rFonts w:ascii="Times New Roman" w:eastAsia="Calibri" w:hAnsi="Times New Roman" w:cs="Times New Roman"/>
          <w:sz w:val="24"/>
        </w:rPr>
      </w:pPr>
      <w:r w:rsidRPr="002A3F16">
        <w:rPr>
          <w:rFonts w:ascii="Times New Roman" w:eastAsia="Calibri" w:hAnsi="Times New Roman" w:cs="Times New Roman"/>
          <w:sz w:val="24"/>
        </w:rPr>
        <w:t>Le pouvoir de nommer ou de révoquer la majorité des dirigeants d’une entité</w:t>
      </w:r>
    </w:p>
    <w:p w:rsidR="002A3F16" w:rsidRPr="002A3F16" w:rsidRDefault="002A3F16" w:rsidP="002A3F16">
      <w:pPr>
        <w:numPr>
          <w:ilvl w:val="0"/>
          <w:numId w:val="47"/>
        </w:numPr>
        <w:spacing w:before="60" w:beforeAutospacing="0" w:after="60" w:afterAutospacing="0" w:line="276" w:lineRule="auto"/>
        <w:contextualSpacing/>
        <w:jc w:val="both"/>
        <w:rPr>
          <w:rFonts w:ascii="Times New Roman" w:eastAsia="Calibri" w:hAnsi="Times New Roman" w:cs="Times New Roman"/>
          <w:sz w:val="24"/>
        </w:rPr>
      </w:pPr>
      <w:r w:rsidRPr="002A3F16">
        <w:rPr>
          <w:rFonts w:ascii="Times New Roman" w:eastAsia="Calibri" w:hAnsi="Times New Roman" w:cs="Times New Roman"/>
          <w:sz w:val="24"/>
        </w:rPr>
        <w:t>Le pouvoir de fixer les politiques financières et opérationnelles en vertu des statuts ou des contrats ;</w:t>
      </w:r>
    </w:p>
    <w:p w:rsidR="002A3F16" w:rsidRPr="002A3F16" w:rsidRDefault="002A3F16" w:rsidP="002A3F16">
      <w:pPr>
        <w:numPr>
          <w:ilvl w:val="0"/>
          <w:numId w:val="47"/>
        </w:numPr>
        <w:spacing w:before="60" w:beforeAutospacing="0" w:after="60" w:afterAutospacing="0" w:line="276" w:lineRule="auto"/>
        <w:ind w:left="714" w:hanging="357"/>
        <w:jc w:val="both"/>
        <w:rPr>
          <w:rFonts w:ascii="Times New Roman" w:eastAsia="Calibri" w:hAnsi="Times New Roman" w:cs="Times New Roman"/>
          <w:sz w:val="24"/>
        </w:rPr>
      </w:pPr>
      <w:r w:rsidRPr="002A3F16">
        <w:rPr>
          <w:rFonts w:ascii="Times New Roman" w:eastAsia="Calibri" w:hAnsi="Times New Roman" w:cs="Times New Roman"/>
          <w:sz w:val="24"/>
        </w:rPr>
        <w:t>Le pouvoir de réunir la majorité des droits de vote dans les réunions des organes de gestion.</w:t>
      </w:r>
    </w:p>
    <w:p w:rsidR="002A3F16" w:rsidRPr="002A3F16" w:rsidRDefault="002A3F16" w:rsidP="002A3F16">
      <w:pPr>
        <w:spacing w:before="60" w:beforeAutospacing="0" w:after="60" w:afterAutospacing="0" w:line="276" w:lineRule="auto"/>
        <w:ind w:left="357"/>
        <w:jc w:val="both"/>
        <w:rPr>
          <w:rFonts w:ascii="Times New Roman" w:eastAsia="Calibri" w:hAnsi="Times New Roman" w:cs="Times New Roman"/>
          <w:sz w:val="24"/>
        </w:rPr>
      </w:pPr>
      <w:r w:rsidRPr="002A3F16">
        <w:rPr>
          <w:rFonts w:ascii="Times New Roman" w:eastAsia="Calibri" w:hAnsi="Times New Roman" w:cs="Times New Roman"/>
          <w:sz w:val="24"/>
        </w:rPr>
        <w:t xml:space="preserve">La méthode à utiliser dans le cas des filiales est </w:t>
      </w:r>
      <w:r w:rsidRPr="002A3F16">
        <w:rPr>
          <w:rFonts w:ascii="Times New Roman" w:eastAsia="Calibri" w:hAnsi="Times New Roman" w:cs="Times New Roman"/>
          <w:b/>
          <w:bCs/>
          <w:sz w:val="24"/>
        </w:rPr>
        <w:t>l’intégration globale.</w:t>
      </w:r>
    </w:p>
    <w:p w:rsidR="002A3F16" w:rsidRPr="002A3F16" w:rsidRDefault="002A3F16" w:rsidP="002A3F16">
      <w:pPr>
        <w:numPr>
          <w:ilvl w:val="0"/>
          <w:numId w:val="49"/>
        </w:numPr>
        <w:spacing w:before="60" w:beforeAutospacing="0" w:after="60" w:afterAutospacing="0" w:line="276" w:lineRule="auto"/>
        <w:contextualSpacing/>
        <w:jc w:val="both"/>
        <w:rPr>
          <w:rFonts w:ascii="Times New Roman" w:eastAsia="Calibri" w:hAnsi="Times New Roman" w:cs="Times New Roman"/>
          <w:sz w:val="24"/>
          <w:szCs w:val="24"/>
        </w:rPr>
      </w:pPr>
      <w:r w:rsidRPr="002A3F16">
        <w:rPr>
          <w:rFonts w:ascii="Times New Roman" w:eastAsia="Calibri" w:hAnsi="Times New Roman" w:cs="Times New Roman"/>
          <w:b/>
          <w:bCs/>
          <w:sz w:val="24"/>
          <w:szCs w:val="24"/>
        </w:rPr>
        <w:t xml:space="preserve">l’influence </w:t>
      </w:r>
      <w:r w:rsidRPr="002A3F16">
        <w:rPr>
          <w:rFonts w:ascii="Times New Roman" w:hAnsi="Times New Roman" w:cs="Times New Roman"/>
          <w:b/>
          <w:sz w:val="24"/>
          <w:szCs w:val="24"/>
        </w:rPr>
        <w:t>notable </w:t>
      </w:r>
      <w:r w:rsidRPr="002A3F16">
        <w:rPr>
          <w:rFonts w:ascii="Times New Roman" w:hAnsi="Times New Roman" w:cs="Times New Roman"/>
          <w:sz w:val="24"/>
          <w:szCs w:val="24"/>
        </w:rPr>
        <w:t>qui est présumée exister, pour</w:t>
      </w:r>
      <w:r w:rsidRPr="002A3F16">
        <w:rPr>
          <w:rFonts w:ascii="Times New Roman" w:eastAsia="Calibri" w:hAnsi="Times New Roman" w:cs="Times New Roman"/>
          <w:sz w:val="24"/>
          <w:szCs w:val="24"/>
          <w:u w:color="9BBB59"/>
        </w:rPr>
        <w:t xml:space="preserve"> u</w:t>
      </w:r>
      <w:r w:rsidRPr="002A3F16">
        <w:rPr>
          <w:rFonts w:ascii="Times New Roman" w:eastAsia="Calibri" w:hAnsi="Times New Roman" w:cs="Times New Roman"/>
          <w:sz w:val="24"/>
          <w:szCs w:val="24"/>
        </w:rPr>
        <w:t>ne entité associé (entité qui n’est ni filiale ni une société constituée dans le cadre d’opérations faites en commun) dans les cas suivants :</w:t>
      </w:r>
    </w:p>
    <w:p w:rsidR="002A3F16" w:rsidRPr="002A3F16" w:rsidRDefault="002A3F16" w:rsidP="002A3F16">
      <w:pPr>
        <w:numPr>
          <w:ilvl w:val="0"/>
          <w:numId w:val="46"/>
        </w:numPr>
        <w:spacing w:before="60" w:beforeAutospacing="0" w:after="60" w:afterAutospacing="0" w:line="276" w:lineRule="auto"/>
        <w:ind w:left="567" w:hanging="357"/>
        <w:contextualSpacing/>
        <w:jc w:val="both"/>
        <w:rPr>
          <w:rFonts w:ascii="Times New Roman" w:eastAsia="Calibri" w:hAnsi="Times New Roman" w:cs="Times New Roman"/>
          <w:sz w:val="24"/>
          <w:szCs w:val="24"/>
          <w:u w:val="single" w:color="9BBB59"/>
        </w:rPr>
      </w:pPr>
      <w:r w:rsidRPr="002A3F16">
        <w:rPr>
          <w:rFonts w:ascii="Times New Roman" w:eastAsia="Calibri" w:hAnsi="Times New Roman" w:cs="Times New Roman"/>
          <w:sz w:val="24"/>
          <w:szCs w:val="24"/>
        </w:rPr>
        <w:t>détention (directe ou indirecte) de 20% ou plus des droits de vote ;</w:t>
      </w:r>
    </w:p>
    <w:p w:rsidR="002A3F16" w:rsidRPr="002A3F16" w:rsidRDefault="002A3F16" w:rsidP="002A3F16">
      <w:pPr>
        <w:numPr>
          <w:ilvl w:val="0"/>
          <w:numId w:val="46"/>
        </w:numPr>
        <w:spacing w:before="60" w:beforeAutospacing="0" w:after="60" w:afterAutospacing="0" w:line="276" w:lineRule="auto"/>
        <w:ind w:left="567"/>
        <w:contextualSpacing/>
        <w:jc w:val="both"/>
        <w:rPr>
          <w:rFonts w:ascii="Times New Roman" w:eastAsia="Calibri" w:hAnsi="Times New Roman" w:cs="Times New Roman"/>
          <w:sz w:val="24"/>
          <w:szCs w:val="24"/>
        </w:rPr>
      </w:pPr>
      <w:r w:rsidRPr="002A3F16">
        <w:rPr>
          <w:rFonts w:ascii="Times New Roman" w:eastAsia="Calibri" w:hAnsi="Times New Roman" w:cs="Times New Roman"/>
          <w:sz w:val="24"/>
          <w:szCs w:val="24"/>
        </w:rPr>
        <w:t>représentation dans les organes dirigeants ;</w:t>
      </w:r>
    </w:p>
    <w:p w:rsidR="002A3F16" w:rsidRPr="002A3F16" w:rsidRDefault="002A3F16" w:rsidP="002A3F16">
      <w:pPr>
        <w:numPr>
          <w:ilvl w:val="0"/>
          <w:numId w:val="46"/>
        </w:numPr>
        <w:spacing w:before="60" w:beforeAutospacing="0" w:after="60" w:afterAutospacing="0" w:line="276" w:lineRule="auto"/>
        <w:ind w:left="567"/>
        <w:contextualSpacing/>
        <w:jc w:val="both"/>
        <w:rPr>
          <w:rFonts w:ascii="Times New Roman" w:eastAsia="Calibri" w:hAnsi="Times New Roman" w:cs="Times New Roman"/>
          <w:sz w:val="24"/>
          <w:szCs w:val="24"/>
        </w:rPr>
      </w:pPr>
      <w:r w:rsidRPr="002A3F16">
        <w:rPr>
          <w:rFonts w:ascii="Times New Roman" w:eastAsia="Calibri" w:hAnsi="Times New Roman" w:cs="Times New Roman"/>
          <w:sz w:val="24"/>
          <w:szCs w:val="24"/>
        </w:rPr>
        <w:t>participation au processus d’élaboration des politiques stratégiques ;</w:t>
      </w:r>
    </w:p>
    <w:p w:rsidR="002A3F16" w:rsidRPr="002A3F16" w:rsidRDefault="002A3F16" w:rsidP="002A3F16">
      <w:pPr>
        <w:numPr>
          <w:ilvl w:val="0"/>
          <w:numId w:val="46"/>
        </w:numPr>
        <w:spacing w:before="60" w:beforeAutospacing="0" w:after="60" w:afterAutospacing="0" w:line="276" w:lineRule="auto"/>
        <w:ind w:left="567" w:hanging="357"/>
        <w:jc w:val="both"/>
        <w:rPr>
          <w:rFonts w:ascii="Times New Roman" w:eastAsia="Calibri" w:hAnsi="Times New Roman" w:cs="Times New Roman"/>
          <w:sz w:val="24"/>
          <w:szCs w:val="24"/>
        </w:rPr>
      </w:pPr>
      <w:r w:rsidRPr="002A3F16">
        <w:rPr>
          <w:rFonts w:ascii="Times New Roman" w:eastAsia="Calibri" w:hAnsi="Times New Roman" w:cs="Times New Roman"/>
          <w:sz w:val="24"/>
          <w:szCs w:val="24"/>
        </w:rPr>
        <w:t>transactions d’importance significative, échange d’informations techniques essentielles ou échange de cadres et de dirigeants.</w:t>
      </w:r>
    </w:p>
    <w:p w:rsidR="002A3F16" w:rsidRPr="002A3F16" w:rsidRDefault="002A3F16" w:rsidP="002A3F16">
      <w:pPr>
        <w:spacing w:before="60" w:beforeAutospacing="0" w:after="60" w:afterAutospacing="0" w:line="276" w:lineRule="auto"/>
        <w:ind w:left="426"/>
        <w:jc w:val="both"/>
        <w:rPr>
          <w:rFonts w:ascii="Times New Roman" w:eastAsia="Calibri" w:hAnsi="Times New Roman" w:cs="Times New Roman"/>
          <w:sz w:val="24"/>
          <w:szCs w:val="24"/>
        </w:rPr>
      </w:pPr>
      <w:r w:rsidRPr="002A3F16">
        <w:rPr>
          <w:rFonts w:ascii="Times New Roman" w:eastAsia="Calibri" w:hAnsi="Times New Roman" w:cs="Times New Roman"/>
          <w:sz w:val="24"/>
          <w:szCs w:val="24"/>
        </w:rPr>
        <w:t xml:space="preserve">La méthode à utiliser dans le cas des entités </w:t>
      </w:r>
      <w:r w:rsidRPr="002A3F16">
        <w:rPr>
          <w:rFonts w:ascii="Times New Roman" w:eastAsia="Calibri" w:hAnsi="Times New Roman" w:cs="Times New Roman"/>
          <w:b/>
          <w:bCs/>
          <w:sz w:val="24"/>
          <w:szCs w:val="24"/>
        </w:rPr>
        <w:t>associées</w:t>
      </w:r>
      <w:r w:rsidRPr="002A3F16">
        <w:rPr>
          <w:rFonts w:ascii="Times New Roman" w:eastAsia="Calibri" w:hAnsi="Times New Roman" w:cs="Times New Roman"/>
          <w:sz w:val="24"/>
          <w:szCs w:val="24"/>
        </w:rPr>
        <w:t xml:space="preserve"> est la </w:t>
      </w:r>
      <w:r w:rsidRPr="002A3F16">
        <w:rPr>
          <w:rFonts w:ascii="Times New Roman" w:eastAsia="Calibri" w:hAnsi="Times New Roman" w:cs="Times New Roman"/>
          <w:b/>
          <w:bCs/>
          <w:sz w:val="24"/>
          <w:szCs w:val="24"/>
        </w:rPr>
        <w:t xml:space="preserve">mise en équivalence, </w:t>
      </w:r>
    </w:p>
    <w:p w:rsidR="002A3F16" w:rsidRPr="002A3F16" w:rsidRDefault="002A3F16" w:rsidP="002A3F16">
      <w:pPr>
        <w:numPr>
          <w:ilvl w:val="0"/>
          <w:numId w:val="49"/>
        </w:numPr>
        <w:spacing w:before="60" w:beforeAutospacing="0" w:after="60" w:afterAutospacing="0" w:line="276" w:lineRule="auto"/>
        <w:jc w:val="both"/>
        <w:rPr>
          <w:rFonts w:ascii="Times New Roman" w:eastAsia="Calibri" w:hAnsi="Times New Roman" w:cs="Times New Roman"/>
          <w:b/>
          <w:bCs/>
          <w:sz w:val="24"/>
          <w:szCs w:val="24"/>
        </w:rPr>
      </w:pPr>
      <w:r w:rsidRPr="002A3F16">
        <w:rPr>
          <w:rFonts w:ascii="Times New Roman" w:eastAsia="Calibri" w:hAnsi="Times New Roman" w:cs="Times New Roman"/>
          <w:b/>
          <w:bCs/>
          <w:sz w:val="24"/>
          <w:szCs w:val="24"/>
        </w:rPr>
        <w:t xml:space="preserve">Dispense de l’établissement de comptes consolidés, </w:t>
      </w:r>
      <w:r w:rsidRPr="002A3F16">
        <w:rPr>
          <w:rFonts w:ascii="Times New Roman" w:eastAsia="Calibri" w:hAnsi="Times New Roman" w:cs="Times New Roman"/>
          <w:sz w:val="24"/>
        </w:rPr>
        <w:t>Elle est possible pour les entités dominantes si :</w:t>
      </w:r>
    </w:p>
    <w:p w:rsidR="002A3F16" w:rsidRPr="002A3F16" w:rsidRDefault="002A3F16" w:rsidP="002A3F16">
      <w:pPr>
        <w:numPr>
          <w:ilvl w:val="0"/>
          <w:numId w:val="48"/>
        </w:numPr>
        <w:spacing w:before="60" w:beforeAutospacing="0" w:after="60" w:afterAutospacing="0" w:line="276" w:lineRule="auto"/>
        <w:ind w:left="714" w:hanging="357"/>
        <w:jc w:val="both"/>
        <w:rPr>
          <w:rFonts w:ascii="Times New Roman" w:eastAsia="Calibri" w:hAnsi="Times New Roman" w:cs="Times New Roman"/>
          <w:sz w:val="24"/>
        </w:rPr>
      </w:pPr>
      <w:r w:rsidRPr="002A3F16">
        <w:rPr>
          <w:rFonts w:ascii="Times New Roman" w:eastAsia="Calibri" w:hAnsi="Times New Roman" w:cs="Times New Roman"/>
          <w:sz w:val="24"/>
        </w:rPr>
        <w:t>elles-mêmes sont détenues quasi-totalement (les droits de vote dans leurs organes de gestion sont détenus à plus de 90% par une autre entité) ;</w:t>
      </w:r>
    </w:p>
    <w:p w:rsidR="002A3F16" w:rsidRPr="002A3F16" w:rsidRDefault="002A3F16" w:rsidP="002A3F16">
      <w:pPr>
        <w:numPr>
          <w:ilvl w:val="0"/>
          <w:numId w:val="48"/>
        </w:numPr>
        <w:spacing w:before="60" w:beforeAutospacing="0" w:after="60" w:afterAutospacing="0" w:line="276" w:lineRule="auto"/>
        <w:jc w:val="both"/>
        <w:rPr>
          <w:rFonts w:ascii="Times New Roman" w:eastAsia="Calibri" w:hAnsi="Times New Roman" w:cs="Times New Roman"/>
          <w:sz w:val="24"/>
        </w:rPr>
      </w:pPr>
      <w:r w:rsidRPr="002A3F16">
        <w:rPr>
          <w:rFonts w:ascii="Times New Roman" w:eastAsia="Calibri" w:hAnsi="Times New Roman" w:cs="Times New Roman"/>
          <w:sz w:val="24"/>
        </w:rPr>
        <w:t>elles ont obtenu l’approbation des détenteurs des intérêts minoritaires ;</w:t>
      </w:r>
    </w:p>
    <w:p w:rsidR="002A3F16" w:rsidRPr="002A3F16" w:rsidRDefault="002A3F16" w:rsidP="002A3F16">
      <w:pPr>
        <w:numPr>
          <w:ilvl w:val="0"/>
          <w:numId w:val="49"/>
        </w:numPr>
        <w:spacing w:before="60" w:beforeAutospacing="0" w:after="60" w:afterAutospacing="0" w:line="276" w:lineRule="auto"/>
        <w:jc w:val="both"/>
        <w:rPr>
          <w:rFonts w:ascii="Times New Roman" w:eastAsia="Calibri" w:hAnsi="Times New Roman" w:cs="Times New Roman"/>
          <w:sz w:val="24"/>
        </w:rPr>
      </w:pPr>
      <w:r w:rsidRPr="002A3F16">
        <w:rPr>
          <w:rFonts w:ascii="Times New Roman" w:eastAsia="Calibri" w:hAnsi="Times New Roman" w:cs="Times New Roman"/>
          <w:b/>
          <w:bCs/>
          <w:sz w:val="24"/>
          <w:szCs w:val="24"/>
        </w:rPr>
        <w:t>Les</w:t>
      </w:r>
      <w:r w:rsidRPr="002A3F16">
        <w:rPr>
          <w:rFonts w:ascii="Times New Roman" w:eastAsia="Calibri" w:hAnsi="Times New Roman" w:cs="Times New Roman"/>
          <w:b/>
          <w:sz w:val="24"/>
        </w:rPr>
        <w:t xml:space="preserve"> critères d’exclusion d’une entité du périmètre de consolidation</w:t>
      </w:r>
      <w:r w:rsidRPr="002A3F16">
        <w:rPr>
          <w:rFonts w:ascii="Times New Roman" w:eastAsia="Calibri" w:hAnsi="Times New Roman" w:cs="Times New Roman"/>
          <w:sz w:val="24"/>
        </w:rPr>
        <w:t> :</w:t>
      </w:r>
    </w:p>
    <w:p w:rsidR="002A3F16" w:rsidRPr="002A3F16" w:rsidRDefault="002A3F16" w:rsidP="002A3F16">
      <w:pPr>
        <w:numPr>
          <w:ilvl w:val="0"/>
          <w:numId w:val="47"/>
        </w:numPr>
        <w:spacing w:before="60" w:beforeAutospacing="0" w:after="60" w:afterAutospacing="0" w:line="276" w:lineRule="auto"/>
        <w:jc w:val="both"/>
        <w:rPr>
          <w:rFonts w:ascii="Times New Roman" w:eastAsia="Calibri" w:hAnsi="Times New Roman" w:cs="Times New Roman"/>
          <w:sz w:val="24"/>
        </w:rPr>
      </w:pPr>
      <w:r w:rsidRPr="002A3F16">
        <w:rPr>
          <w:rFonts w:ascii="Times New Roman" w:eastAsia="Calibri" w:hAnsi="Times New Roman" w:cs="Times New Roman"/>
          <w:sz w:val="24"/>
        </w:rPr>
        <w:lastRenderedPageBreak/>
        <w:t>Restrictions sévères durables remettant en cause substantiellement le contrôle ou l’influence (cas de décisions de justice ou autres…) ;</w:t>
      </w:r>
    </w:p>
    <w:p w:rsidR="002A3F16" w:rsidRPr="002A3F16" w:rsidRDefault="002A3F16" w:rsidP="002A3F16">
      <w:pPr>
        <w:numPr>
          <w:ilvl w:val="0"/>
          <w:numId w:val="47"/>
        </w:numPr>
        <w:spacing w:before="60" w:beforeAutospacing="0" w:after="60" w:afterAutospacing="0" w:line="276" w:lineRule="auto"/>
        <w:jc w:val="both"/>
        <w:rPr>
          <w:rFonts w:ascii="Times New Roman" w:eastAsia="Calibri" w:hAnsi="Times New Roman" w:cs="Times New Roman"/>
          <w:sz w:val="24"/>
        </w:rPr>
      </w:pPr>
      <w:r w:rsidRPr="002A3F16">
        <w:rPr>
          <w:rFonts w:ascii="Times New Roman" w:eastAsia="Calibri" w:hAnsi="Times New Roman" w:cs="Times New Roman"/>
          <w:sz w:val="24"/>
        </w:rPr>
        <w:t xml:space="preserve">Actions détenues en vue de leur cession ultérieure dans un avenir proche ; </w:t>
      </w:r>
    </w:p>
    <w:p w:rsidR="002A3F16" w:rsidRPr="002A3F16" w:rsidRDefault="002A3F16" w:rsidP="002A3F16">
      <w:pPr>
        <w:numPr>
          <w:ilvl w:val="0"/>
          <w:numId w:val="49"/>
        </w:numPr>
        <w:spacing w:before="60" w:beforeAutospacing="0" w:after="60" w:afterAutospacing="0" w:line="276" w:lineRule="auto"/>
        <w:jc w:val="both"/>
        <w:rPr>
          <w:rFonts w:ascii="Times New Roman" w:eastAsia="Calibri" w:hAnsi="Times New Roman" w:cs="Times New Roman"/>
          <w:sz w:val="24"/>
          <w:u w:color="9BBB59"/>
        </w:rPr>
      </w:pPr>
      <w:r w:rsidRPr="002A3F16">
        <w:rPr>
          <w:rFonts w:ascii="Times New Roman" w:eastAsia="Calibri" w:hAnsi="Times New Roman" w:cs="Times New Roman"/>
          <w:b/>
          <w:sz w:val="24"/>
        </w:rPr>
        <w:t xml:space="preserve">Ecart de première consolidation </w:t>
      </w:r>
      <w:r w:rsidRPr="002A3F16">
        <w:rPr>
          <w:rFonts w:ascii="Times New Roman" w:eastAsia="Calibri" w:hAnsi="Times New Roman" w:cs="Times New Roman"/>
          <w:sz w:val="24"/>
        </w:rPr>
        <w:t xml:space="preserve">qui </w:t>
      </w:r>
      <w:r w:rsidRPr="002A3F16">
        <w:rPr>
          <w:rFonts w:ascii="Times New Roman" w:eastAsia="Calibri" w:hAnsi="Times New Roman" w:cs="Times New Roman"/>
          <w:sz w:val="24"/>
          <w:u w:color="9BBB59"/>
        </w:rPr>
        <w:t>est déterminé par différence entre :</w:t>
      </w:r>
    </w:p>
    <w:p w:rsidR="002A3F16" w:rsidRPr="002A3F16" w:rsidRDefault="002A3F16" w:rsidP="002A3F16">
      <w:pPr>
        <w:numPr>
          <w:ilvl w:val="0"/>
          <w:numId w:val="46"/>
        </w:numPr>
        <w:spacing w:before="60" w:beforeAutospacing="0" w:after="60" w:afterAutospacing="0" w:line="276" w:lineRule="auto"/>
        <w:ind w:left="714" w:hanging="357"/>
        <w:jc w:val="both"/>
        <w:rPr>
          <w:rFonts w:ascii="Times New Roman" w:eastAsia="Calibri" w:hAnsi="Times New Roman" w:cs="Times New Roman"/>
          <w:b/>
          <w:bCs/>
          <w:sz w:val="24"/>
          <w:u w:color="9BBB59"/>
        </w:rPr>
      </w:pPr>
      <w:r w:rsidRPr="002A3F16">
        <w:rPr>
          <w:rFonts w:ascii="Times New Roman" w:eastAsia="Calibri" w:hAnsi="Times New Roman" w:cs="Times New Roman"/>
          <w:sz w:val="24"/>
          <w:u w:color="9BBB59"/>
        </w:rPr>
        <w:t>le cout d’acquisition des titres tel qu’il figure dans l’entité détentrice</w:t>
      </w:r>
    </w:p>
    <w:p w:rsidR="002A3F16" w:rsidRPr="002A3F16" w:rsidRDefault="002A3F16" w:rsidP="002A3F16">
      <w:pPr>
        <w:numPr>
          <w:ilvl w:val="0"/>
          <w:numId w:val="46"/>
        </w:numPr>
        <w:spacing w:before="60" w:beforeAutospacing="0" w:after="60" w:afterAutospacing="0" w:line="276" w:lineRule="auto"/>
        <w:ind w:left="714" w:hanging="357"/>
        <w:jc w:val="both"/>
        <w:rPr>
          <w:rFonts w:ascii="Times New Roman" w:eastAsia="Calibri" w:hAnsi="Times New Roman" w:cs="Times New Roman"/>
          <w:b/>
          <w:bCs/>
          <w:sz w:val="24"/>
          <w:u w:color="9BBB59"/>
        </w:rPr>
      </w:pPr>
      <w:r w:rsidRPr="002A3F16">
        <w:rPr>
          <w:rFonts w:ascii="Times New Roman" w:eastAsia="Calibri" w:hAnsi="Times New Roman" w:cs="Times New Roman"/>
          <w:sz w:val="24"/>
          <w:u w:color="9BBB59"/>
        </w:rPr>
        <w:t xml:space="preserve">la part des capitaux propres + la part de résultats de l’entité consolidée à la date d’entrée dans le périmètre de consolidation </w:t>
      </w:r>
    </w:p>
    <w:p w:rsidR="002A3F16" w:rsidRPr="002A3F16" w:rsidRDefault="002A3F16" w:rsidP="002A3F16">
      <w:pPr>
        <w:spacing w:before="60" w:beforeAutospacing="0" w:after="60" w:afterAutospacing="0" w:line="276" w:lineRule="auto"/>
        <w:ind w:left="426" w:hanging="66"/>
        <w:jc w:val="both"/>
        <w:rPr>
          <w:rFonts w:ascii="Times New Roman" w:eastAsia="Calibri" w:hAnsi="Times New Roman" w:cs="Times New Roman"/>
          <w:sz w:val="24"/>
        </w:rPr>
      </w:pPr>
      <w:r w:rsidRPr="002A3F16">
        <w:rPr>
          <w:rFonts w:ascii="Times New Roman" w:eastAsia="Calibri" w:hAnsi="Times New Roman" w:cs="Times New Roman"/>
          <w:sz w:val="24"/>
        </w:rPr>
        <w:t xml:space="preserve">Il est constaté lors de </w:t>
      </w:r>
      <w:r w:rsidRPr="002A3F16">
        <w:rPr>
          <w:rFonts w:ascii="Times New Roman" w:eastAsia="Calibri" w:hAnsi="Times New Roman" w:cs="Times New Roman"/>
          <w:bCs/>
          <w:sz w:val="24"/>
        </w:rPr>
        <w:t>l’entrée</w:t>
      </w:r>
      <w:r w:rsidRPr="002A3F16">
        <w:rPr>
          <w:rFonts w:ascii="Times New Roman" w:eastAsia="Calibri" w:hAnsi="Times New Roman" w:cs="Times New Roman"/>
          <w:sz w:val="24"/>
        </w:rPr>
        <w:t xml:space="preserve"> de l’entité </w:t>
      </w:r>
      <w:r w:rsidRPr="002A3F16">
        <w:rPr>
          <w:rFonts w:ascii="Times New Roman" w:eastAsia="Calibri" w:hAnsi="Times New Roman" w:cs="Times New Roman"/>
          <w:bCs/>
          <w:sz w:val="24"/>
        </w:rPr>
        <w:t>dans le périmètre de consolidation</w:t>
      </w:r>
      <w:r w:rsidRPr="002A3F16">
        <w:rPr>
          <w:rFonts w:ascii="Times New Roman" w:eastAsia="Calibri" w:hAnsi="Times New Roman" w:cs="Times New Roman"/>
          <w:b/>
          <w:bCs/>
          <w:sz w:val="24"/>
        </w:rPr>
        <w:t xml:space="preserve">. </w:t>
      </w:r>
      <w:r w:rsidRPr="002A3F16">
        <w:rPr>
          <w:rFonts w:ascii="Times New Roman" w:eastAsia="Calibri" w:hAnsi="Times New Roman" w:cs="Times New Roman"/>
          <w:bCs/>
          <w:sz w:val="24"/>
        </w:rPr>
        <w:t>L’écart</w:t>
      </w:r>
      <w:r w:rsidRPr="002A3F16">
        <w:rPr>
          <w:rFonts w:ascii="Times New Roman" w:eastAsia="Calibri" w:hAnsi="Times New Roman" w:cs="Times New Roman"/>
          <w:sz w:val="24"/>
        </w:rPr>
        <w:t xml:space="preserve"> de première consolidation positif est composé de deux éléments :</w:t>
      </w:r>
    </w:p>
    <w:p w:rsidR="002A3F16" w:rsidRPr="002A3F16" w:rsidRDefault="002A3F16" w:rsidP="002A3F16">
      <w:pPr>
        <w:numPr>
          <w:ilvl w:val="0"/>
          <w:numId w:val="46"/>
        </w:numPr>
        <w:spacing w:before="60" w:beforeAutospacing="0" w:after="60" w:afterAutospacing="0" w:line="276" w:lineRule="auto"/>
        <w:ind w:left="714" w:hanging="357"/>
        <w:jc w:val="both"/>
        <w:rPr>
          <w:rFonts w:ascii="Times New Roman" w:eastAsia="Calibri" w:hAnsi="Times New Roman" w:cs="Times New Roman"/>
          <w:sz w:val="24"/>
        </w:rPr>
      </w:pPr>
      <w:r w:rsidRPr="002A3F16">
        <w:rPr>
          <w:rFonts w:ascii="Times New Roman" w:eastAsia="Calibri" w:hAnsi="Times New Roman" w:cs="Times New Roman"/>
          <w:sz w:val="24"/>
        </w:rPr>
        <w:t xml:space="preserve">l’écart d’évaluation. </w:t>
      </w:r>
    </w:p>
    <w:p w:rsidR="002A3F16" w:rsidRPr="002A3F16" w:rsidRDefault="002A3F16" w:rsidP="002A3F16">
      <w:pPr>
        <w:numPr>
          <w:ilvl w:val="0"/>
          <w:numId w:val="46"/>
        </w:numPr>
        <w:spacing w:before="60" w:beforeAutospacing="0" w:after="60" w:afterAutospacing="0" w:line="276" w:lineRule="auto"/>
        <w:ind w:left="714" w:hanging="357"/>
        <w:jc w:val="both"/>
        <w:rPr>
          <w:rFonts w:ascii="Times New Roman" w:eastAsia="Calibri" w:hAnsi="Times New Roman" w:cs="Times New Roman"/>
          <w:sz w:val="24"/>
        </w:rPr>
      </w:pPr>
      <w:r w:rsidRPr="002A3F16">
        <w:rPr>
          <w:rFonts w:ascii="Times New Roman" w:eastAsia="Calibri" w:hAnsi="Times New Roman" w:cs="Times New Roman"/>
          <w:sz w:val="24"/>
        </w:rPr>
        <w:t>l’écart d’acquisition (goodwill).</w:t>
      </w:r>
    </w:p>
    <w:p w:rsidR="002A3F16" w:rsidRPr="002A3F16" w:rsidRDefault="002A3F16" w:rsidP="002A3F16">
      <w:pPr>
        <w:spacing w:before="60" w:beforeAutospacing="0" w:after="60" w:afterAutospacing="0" w:line="276" w:lineRule="auto"/>
        <w:ind w:left="426" w:hanging="66"/>
        <w:jc w:val="both"/>
        <w:rPr>
          <w:rFonts w:ascii="Times New Roman" w:eastAsia="Calibri" w:hAnsi="Times New Roman" w:cs="Times New Roman"/>
          <w:sz w:val="24"/>
        </w:rPr>
      </w:pPr>
      <w:r w:rsidRPr="002A3F16">
        <w:rPr>
          <w:rFonts w:ascii="Times New Roman" w:eastAsia="Calibri" w:hAnsi="Times New Roman" w:cs="Times New Roman"/>
          <w:sz w:val="24"/>
        </w:rPr>
        <w:t>L’impact sur les capitaux propres et résultats consolidés est lié principalement :</w:t>
      </w:r>
    </w:p>
    <w:p w:rsidR="002A3F16" w:rsidRPr="002A3F16" w:rsidRDefault="002A3F16" w:rsidP="002A3F16">
      <w:pPr>
        <w:numPr>
          <w:ilvl w:val="0"/>
          <w:numId w:val="49"/>
        </w:numPr>
        <w:spacing w:before="60" w:beforeAutospacing="0" w:after="60" w:afterAutospacing="0" w:line="276" w:lineRule="auto"/>
        <w:contextualSpacing/>
        <w:jc w:val="left"/>
        <w:rPr>
          <w:rFonts w:ascii="Times New Roman" w:hAnsi="Times New Roman" w:cs="Times New Roman"/>
          <w:sz w:val="24"/>
        </w:rPr>
      </w:pPr>
      <w:r w:rsidRPr="002A3F16">
        <w:rPr>
          <w:rFonts w:ascii="Times New Roman" w:hAnsi="Times New Roman" w:cs="Times New Roman"/>
          <w:sz w:val="24"/>
        </w:rPr>
        <w:t>Au changement du périmètre de consolidation : la notion du contrôle va avoir un impact direct sur le périmètre de consolidation. Du fait qu’elle impose l’intégration ou l’exclusion de certaines sociétés de ce périmètre ;</w:t>
      </w:r>
    </w:p>
    <w:p w:rsidR="002A3F16" w:rsidRPr="002A3F16" w:rsidRDefault="002A3F16" w:rsidP="002A3F16">
      <w:pPr>
        <w:numPr>
          <w:ilvl w:val="0"/>
          <w:numId w:val="49"/>
        </w:numPr>
        <w:spacing w:before="60" w:beforeAutospacing="0" w:after="60" w:afterAutospacing="0" w:line="276" w:lineRule="auto"/>
        <w:contextualSpacing/>
        <w:jc w:val="left"/>
        <w:rPr>
          <w:rFonts w:ascii="Times New Roman" w:hAnsi="Times New Roman" w:cs="Times New Roman"/>
          <w:sz w:val="24"/>
        </w:rPr>
      </w:pPr>
      <w:r w:rsidRPr="002A3F16">
        <w:rPr>
          <w:rFonts w:ascii="Times New Roman" w:hAnsi="Times New Roman" w:cs="Times New Roman"/>
          <w:sz w:val="24"/>
        </w:rPr>
        <w:t>Au changement de méthodes de consolidation.</w:t>
      </w:r>
    </w:p>
    <w:p w:rsidR="002A3F16" w:rsidRPr="002A3F16" w:rsidRDefault="002A3F16" w:rsidP="002A3F16">
      <w:pPr>
        <w:spacing w:before="240" w:beforeAutospacing="0" w:after="240" w:afterAutospacing="0" w:line="276" w:lineRule="auto"/>
        <w:jc w:val="both"/>
        <w:rPr>
          <w:rFonts w:ascii="Times New Roman" w:hAnsi="Times New Roman" w:cs="Times New Roman"/>
          <w:b/>
          <w:sz w:val="26"/>
          <w:szCs w:val="26"/>
        </w:rPr>
      </w:pPr>
    </w:p>
    <w:p w:rsidR="002A3F16" w:rsidRPr="002A3F16" w:rsidRDefault="002A3F16" w:rsidP="002A3F16">
      <w:pPr>
        <w:spacing w:before="240" w:beforeAutospacing="0" w:after="240" w:afterAutospacing="0" w:line="276" w:lineRule="auto"/>
        <w:jc w:val="both"/>
        <w:rPr>
          <w:rFonts w:ascii="Times New Roman" w:hAnsi="Times New Roman" w:cs="Times New Roman"/>
          <w:b/>
          <w:sz w:val="26"/>
          <w:szCs w:val="26"/>
        </w:rPr>
      </w:pPr>
    </w:p>
    <w:p w:rsidR="002A3F16" w:rsidRPr="002A3F16" w:rsidRDefault="002A3F16" w:rsidP="002A3F16">
      <w:pPr>
        <w:spacing w:before="240" w:beforeAutospacing="0" w:after="240" w:afterAutospacing="0" w:line="276" w:lineRule="auto"/>
        <w:jc w:val="both"/>
        <w:rPr>
          <w:rFonts w:ascii="Times New Roman" w:hAnsi="Times New Roman" w:cs="Times New Roman"/>
          <w:b/>
          <w:sz w:val="26"/>
          <w:szCs w:val="26"/>
        </w:rPr>
      </w:pPr>
    </w:p>
    <w:p w:rsidR="002A3F16" w:rsidRPr="002A3F16" w:rsidRDefault="002A3F16" w:rsidP="002A3F16">
      <w:pPr>
        <w:spacing w:before="240" w:beforeAutospacing="0" w:after="240" w:afterAutospacing="0" w:line="276" w:lineRule="auto"/>
        <w:jc w:val="both"/>
        <w:rPr>
          <w:rFonts w:ascii="Times New Roman" w:hAnsi="Times New Roman" w:cs="Times New Roman"/>
          <w:b/>
          <w:sz w:val="26"/>
          <w:szCs w:val="26"/>
        </w:rPr>
      </w:pPr>
    </w:p>
    <w:p w:rsidR="002A3F16" w:rsidRPr="002A3F16" w:rsidRDefault="002A3F16" w:rsidP="002A3F16">
      <w:pPr>
        <w:spacing w:before="240" w:beforeAutospacing="0" w:after="240" w:afterAutospacing="0" w:line="276" w:lineRule="auto"/>
        <w:jc w:val="both"/>
        <w:rPr>
          <w:rFonts w:ascii="Times New Roman" w:hAnsi="Times New Roman" w:cs="Times New Roman"/>
          <w:b/>
          <w:sz w:val="26"/>
          <w:szCs w:val="26"/>
        </w:rPr>
      </w:pPr>
    </w:p>
    <w:p w:rsidR="002A3F16" w:rsidRPr="002A3F16" w:rsidRDefault="002A3F16" w:rsidP="002A3F16">
      <w:pPr>
        <w:spacing w:before="240" w:beforeAutospacing="0" w:after="240" w:afterAutospacing="0" w:line="276" w:lineRule="auto"/>
        <w:jc w:val="both"/>
        <w:rPr>
          <w:rFonts w:ascii="Times New Roman" w:hAnsi="Times New Roman" w:cs="Times New Roman"/>
          <w:b/>
          <w:sz w:val="26"/>
          <w:szCs w:val="26"/>
        </w:rPr>
      </w:pPr>
    </w:p>
    <w:p w:rsidR="002A3F16" w:rsidRPr="002A3F16" w:rsidRDefault="002A3F16" w:rsidP="002A3F16">
      <w:pPr>
        <w:spacing w:before="240" w:beforeAutospacing="0" w:after="240" w:afterAutospacing="0" w:line="276" w:lineRule="auto"/>
        <w:jc w:val="both"/>
        <w:rPr>
          <w:rFonts w:ascii="Times New Roman" w:hAnsi="Times New Roman" w:cs="Times New Roman"/>
          <w:b/>
          <w:sz w:val="26"/>
          <w:szCs w:val="26"/>
        </w:rPr>
      </w:pPr>
    </w:p>
    <w:p w:rsidR="002A3F16" w:rsidRPr="002A3F16" w:rsidRDefault="002A3F16" w:rsidP="002A3F16">
      <w:pPr>
        <w:spacing w:before="240" w:beforeAutospacing="0" w:after="240" w:afterAutospacing="0" w:line="276" w:lineRule="auto"/>
        <w:jc w:val="both"/>
        <w:rPr>
          <w:rFonts w:ascii="Times New Roman" w:hAnsi="Times New Roman" w:cs="Times New Roman"/>
          <w:b/>
          <w:sz w:val="26"/>
          <w:szCs w:val="26"/>
        </w:rPr>
      </w:pPr>
    </w:p>
    <w:p w:rsidR="002A3F16" w:rsidRPr="002A3F16" w:rsidRDefault="002A3F16" w:rsidP="002A3F16">
      <w:pPr>
        <w:spacing w:before="240" w:beforeAutospacing="0" w:after="240" w:afterAutospacing="0" w:line="276" w:lineRule="auto"/>
        <w:jc w:val="both"/>
        <w:rPr>
          <w:rFonts w:ascii="Times New Roman" w:hAnsi="Times New Roman" w:cs="Times New Roman"/>
          <w:b/>
          <w:sz w:val="26"/>
          <w:szCs w:val="26"/>
        </w:rPr>
      </w:pPr>
    </w:p>
    <w:p w:rsidR="002A3F16" w:rsidRDefault="002A3F16" w:rsidP="002A3F16">
      <w:pPr>
        <w:spacing w:before="240" w:beforeAutospacing="0" w:after="240" w:afterAutospacing="0" w:line="276" w:lineRule="auto"/>
        <w:jc w:val="both"/>
        <w:rPr>
          <w:rFonts w:ascii="Times New Roman" w:hAnsi="Times New Roman" w:cs="Times New Roman"/>
          <w:b/>
          <w:sz w:val="26"/>
          <w:szCs w:val="26"/>
        </w:rPr>
      </w:pPr>
    </w:p>
    <w:p w:rsidR="002A3F16" w:rsidRPr="002A3F16" w:rsidRDefault="002A3F16" w:rsidP="002A3F16">
      <w:pPr>
        <w:spacing w:before="240" w:beforeAutospacing="0" w:after="240" w:afterAutospacing="0" w:line="276" w:lineRule="auto"/>
        <w:jc w:val="both"/>
        <w:rPr>
          <w:rFonts w:ascii="Times New Roman" w:hAnsi="Times New Roman" w:cs="Times New Roman"/>
          <w:b/>
          <w:sz w:val="26"/>
          <w:szCs w:val="26"/>
        </w:rPr>
      </w:pPr>
    </w:p>
    <w:p w:rsidR="002A3F16" w:rsidRPr="002A3F16" w:rsidRDefault="002A3F16" w:rsidP="002A3F16">
      <w:pPr>
        <w:spacing w:before="240" w:beforeAutospacing="0" w:after="240" w:afterAutospacing="0" w:line="276" w:lineRule="auto"/>
        <w:jc w:val="both"/>
        <w:rPr>
          <w:rFonts w:ascii="Times New Roman" w:hAnsi="Times New Roman" w:cs="Times New Roman"/>
          <w:b/>
          <w:sz w:val="26"/>
          <w:szCs w:val="26"/>
        </w:rPr>
      </w:pPr>
    </w:p>
    <w:p w:rsidR="002A3F16" w:rsidRPr="002A3F16" w:rsidRDefault="002A3F16" w:rsidP="002A3F16">
      <w:pPr>
        <w:spacing w:before="240" w:beforeAutospacing="0" w:after="240" w:afterAutospacing="0" w:line="276" w:lineRule="auto"/>
        <w:jc w:val="both"/>
        <w:rPr>
          <w:rFonts w:ascii="Times New Roman" w:hAnsi="Times New Roman" w:cs="Times New Roman"/>
          <w:b/>
          <w:sz w:val="26"/>
          <w:szCs w:val="26"/>
        </w:rPr>
      </w:pPr>
      <w:r w:rsidRPr="002A3F16">
        <w:rPr>
          <w:rFonts w:ascii="Times New Roman" w:hAnsi="Times New Roman" w:cs="Times New Roman"/>
          <w:b/>
          <w:sz w:val="26"/>
          <w:szCs w:val="26"/>
        </w:rPr>
        <w:lastRenderedPageBreak/>
        <w:t>Conclusion du chapitre</w:t>
      </w:r>
    </w:p>
    <w:p w:rsidR="002A3F16" w:rsidRPr="002A3F16" w:rsidRDefault="002A3F16" w:rsidP="002A3F16">
      <w:pPr>
        <w:spacing w:before="240" w:beforeAutospacing="0" w:after="240" w:afterAutospacing="0" w:line="360" w:lineRule="auto"/>
        <w:ind w:firstLine="284"/>
        <w:jc w:val="both"/>
        <w:rPr>
          <w:rFonts w:ascii="Times New Roman" w:hAnsi="Times New Roman" w:cs="Times New Roman"/>
          <w:sz w:val="24"/>
          <w:szCs w:val="26"/>
        </w:rPr>
      </w:pPr>
      <w:r w:rsidRPr="002A3F16">
        <w:rPr>
          <w:rFonts w:ascii="Times New Roman" w:hAnsi="Times New Roman" w:cs="Times New Roman"/>
          <w:sz w:val="24"/>
          <w:szCs w:val="26"/>
        </w:rPr>
        <w:t>Le Plan Comptable National était conçu dans une perspective qui cherchait à répondre aux besoins de l’état dans le cadre d’une économie planifiée, que connaissait l’Algérie dans cette époque. Et depuis, la tenue de la comptabilité était toujours rattachée aux obligations légales, en premier lieu d’ordre fiscal. En revanche, le Système Comptable Financier, inspiré principalement du référentiel comptable international, vient concrétiser de nouveaux principes fondés principalement sur la primauté de la réalité économique sur la forme juridique dont la finalité est de produire une information financière pertinente et transparente, adressée à un large éventail d’utilisateurs et plus particulièrement aux apporteurs des ressources de financement.</w:t>
      </w:r>
    </w:p>
    <w:p w:rsidR="002A3F16" w:rsidRPr="002A3F16" w:rsidRDefault="002A3F16" w:rsidP="002A3F16">
      <w:pPr>
        <w:spacing w:before="240" w:beforeAutospacing="0" w:after="240" w:afterAutospacing="0" w:line="360" w:lineRule="auto"/>
        <w:ind w:firstLine="284"/>
        <w:jc w:val="both"/>
        <w:rPr>
          <w:rFonts w:ascii="Times New Roman" w:hAnsi="Times New Roman" w:cs="Times New Roman"/>
          <w:sz w:val="24"/>
          <w:szCs w:val="26"/>
        </w:rPr>
      </w:pPr>
      <w:r w:rsidRPr="002A3F16">
        <w:rPr>
          <w:rFonts w:ascii="Times New Roman" w:hAnsi="Times New Roman" w:cs="Times New Roman"/>
          <w:sz w:val="24"/>
          <w:szCs w:val="26"/>
        </w:rPr>
        <w:t xml:space="preserve">Nous pouvons constater que les deux systèmes sont fondés sur des principes totalement divergents. Ce qui a était reflété par la mise en place de nouvelles méthodes comptables préconisées par le SCF. Ces divergences ont fait du passage au SCF une véritable refonte du système comptable algérien. Comme toute refonte, la transition vers le SCF est supposée impacter les comptes des entreprises. Cet impact va concerner également les capitaux propres et les résultats de ces entreprises.   </w:t>
      </w:r>
    </w:p>
    <w:p w:rsidR="002A3F16" w:rsidRPr="002A3F16" w:rsidRDefault="002A3F16" w:rsidP="002A3F16">
      <w:pPr>
        <w:spacing w:before="240" w:beforeAutospacing="0" w:after="240" w:afterAutospacing="0" w:line="360" w:lineRule="auto"/>
        <w:ind w:firstLine="284"/>
        <w:jc w:val="both"/>
        <w:rPr>
          <w:rFonts w:ascii="Times New Roman" w:hAnsi="Times New Roman" w:cs="Times New Roman"/>
          <w:sz w:val="24"/>
          <w:szCs w:val="26"/>
        </w:rPr>
      </w:pPr>
      <w:r w:rsidRPr="002A3F16">
        <w:rPr>
          <w:rFonts w:ascii="Times New Roman" w:hAnsi="Times New Roman" w:cs="Times New Roman"/>
          <w:sz w:val="24"/>
          <w:szCs w:val="26"/>
        </w:rPr>
        <w:t xml:space="preserve">En général, l’impact de la transition est </w:t>
      </w:r>
      <w:r w:rsidR="0039067A" w:rsidRPr="002A3F16">
        <w:rPr>
          <w:rFonts w:ascii="Times New Roman" w:hAnsi="Times New Roman" w:cs="Times New Roman"/>
          <w:sz w:val="24"/>
          <w:szCs w:val="26"/>
        </w:rPr>
        <w:t>dû</w:t>
      </w:r>
      <w:r w:rsidRPr="002A3F16">
        <w:rPr>
          <w:rFonts w:ascii="Times New Roman" w:hAnsi="Times New Roman" w:cs="Times New Roman"/>
          <w:sz w:val="24"/>
          <w:szCs w:val="26"/>
        </w:rPr>
        <w:t xml:space="preserve"> à l’application des nouvelles dispositions du SCF en </w:t>
      </w:r>
      <w:proofErr w:type="gramStart"/>
      <w:r w:rsidRPr="002A3F16">
        <w:rPr>
          <w:rFonts w:ascii="Times New Roman" w:hAnsi="Times New Roman" w:cs="Times New Roman"/>
          <w:sz w:val="24"/>
          <w:szCs w:val="26"/>
        </w:rPr>
        <w:t>terme</w:t>
      </w:r>
      <w:proofErr w:type="gramEnd"/>
      <w:r w:rsidRPr="002A3F16">
        <w:rPr>
          <w:rFonts w:ascii="Times New Roman" w:hAnsi="Times New Roman" w:cs="Times New Roman"/>
          <w:sz w:val="24"/>
          <w:szCs w:val="26"/>
        </w:rPr>
        <w:t xml:space="preserve"> de règles de comptabilisation et d’évaluation, et est lié aux options retenues par les entreprises lors de la transition.</w:t>
      </w:r>
    </w:p>
    <w:p w:rsidR="002A3F16" w:rsidRDefault="002A3F16" w:rsidP="002A3F16">
      <w:pPr>
        <w:spacing w:before="240" w:beforeAutospacing="0" w:after="240" w:afterAutospacing="0" w:line="276" w:lineRule="auto"/>
        <w:jc w:val="both"/>
        <w:rPr>
          <w:rFonts w:ascii="Times New Roman" w:eastAsia="Calibri" w:hAnsi="Times New Roman" w:cs="Times New Roman"/>
          <w:sz w:val="24"/>
          <w:szCs w:val="24"/>
        </w:rPr>
      </w:pPr>
      <w:r w:rsidRPr="002A3F16">
        <w:rPr>
          <w:rFonts w:ascii="Times New Roman" w:hAnsi="Times New Roman" w:cs="Times New Roman"/>
          <w:sz w:val="24"/>
          <w:szCs w:val="26"/>
        </w:rPr>
        <w:t xml:space="preserve">Pour mieux apprécier cette transition nous allons consacrer le dernier chapitre à l’étude d’impact du SCF sur les comptes du Groupe </w:t>
      </w:r>
      <w:proofErr w:type="spellStart"/>
      <w:r w:rsidRPr="002A3F16">
        <w:rPr>
          <w:rFonts w:ascii="Times New Roman" w:hAnsi="Times New Roman" w:cs="Times New Roman"/>
          <w:sz w:val="24"/>
          <w:szCs w:val="26"/>
        </w:rPr>
        <w:t>Sonelgaz</w:t>
      </w:r>
      <w:proofErr w:type="spellEnd"/>
      <w:r w:rsidRPr="002A3F16">
        <w:rPr>
          <w:rFonts w:ascii="Times New Roman" w:hAnsi="Times New Roman" w:cs="Times New Roman"/>
          <w:sz w:val="24"/>
          <w:szCs w:val="26"/>
        </w:rPr>
        <w:t>. Ce qui peut nous donner un aperçu sur le passage au SCF au niveau des entreprises algériennes.</w:t>
      </w:r>
    </w:p>
    <w:p w:rsidR="002A3F16" w:rsidRDefault="002A3F16" w:rsidP="00D41BD8">
      <w:pPr>
        <w:spacing w:before="240" w:beforeAutospacing="0" w:after="240" w:afterAutospacing="0" w:line="276" w:lineRule="auto"/>
        <w:jc w:val="both"/>
        <w:rPr>
          <w:rFonts w:ascii="Times New Roman" w:eastAsia="Calibri" w:hAnsi="Times New Roman" w:cs="Times New Roman"/>
          <w:sz w:val="24"/>
          <w:szCs w:val="24"/>
        </w:rPr>
      </w:pPr>
    </w:p>
    <w:p w:rsidR="002A3F16" w:rsidRDefault="002A3F16" w:rsidP="00D41BD8">
      <w:pPr>
        <w:spacing w:before="240" w:beforeAutospacing="0" w:after="240" w:afterAutospacing="0" w:line="276" w:lineRule="auto"/>
        <w:jc w:val="both"/>
        <w:rPr>
          <w:rFonts w:ascii="Times New Roman" w:eastAsia="Calibri" w:hAnsi="Times New Roman" w:cs="Times New Roman"/>
          <w:sz w:val="24"/>
          <w:szCs w:val="24"/>
        </w:rPr>
      </w:pPr>
    </w:p>
    <w:p w:rsidR="002A3F16" w:rsidRDefault="002A3F16" w:rsidP="00D41BD8">
      <w:pPr>
        <w:spacing w:before="240" w:beforeAutospacing="0" w:after="240" w:afterAutospacing="0" w:line="276" w:lineRule="auto"/>
        <w:jc w:val="both"/>
        <w:rPr>
          <w:rFonts w:ascii="Times New Roman" w:eastAsia="Calibri" w:hAnsi="Times New Roman" w:cs="Times New Roman"/>
          <w:sz w:val="24"/>
          <w:szCs w:val="24"/>
        </w:rPr>
      </w:pPr>
    </w:p>
    <w:p w:rsidR="002A3F16" w:rsidRDefault="002A3F16" w:rsidP="00D41BD8">
      <w:pPr>
        <w:spacing w:before="240" w:beforeAutospacing="0" w:after="240" w:afterAutospacing="0" w:line="276" w:lineRule="auto"/>
        <w:jc w:val="both"/>
        <w:rPr>
          <w:rFonts w:ascii="Times New Roman" w:eastAsia="Calibri" w:hAnsi="Times New Roman" w:cs="Times New Roman"/>
          <w:sz w:val="24"/>
          <w:szCs w:val="24"/>
        </w:rPr>
      </w:pPr>
    </w:p>
    <w:p w:rsidR="002A3F16" w:rsidRDefault="002A3F16" w:rsidP="00D41BD8">
      <w:pPr>
        <w:spacing w:before="240" w:beforeAutospacing="0" w:after="240" w:afterAutospacing="0" w:line="276" w:lineRule="auto"/>
        <w:jc w:val="both"/>
        <w:rPr>
          <w:rFonts w:ascii="Times New Roman" w:eastAsia="Calibri" w:hAnsi="Times New Roman" w:cs="Times New Roman"/>
          <w:sz w:val="24"/>
          <w:szCs w:val="24"/>
        </w:rPr>
      </w:pPr>
    </w:p>
    <w:p w:rsidR="00093157" w:rsidRDefault="00093157" w:rsidP="00D41BD8">
      <w:pPr>
        <w:spacing w:before="240" w:beforeAutospacing="0" w:after="240" w:afterAutospacing="0" w:line="276" w:lineRule="auto"/>
        <w:jc w:val="both"/>
        <w:rPr>
          <w:rFonts w:ascii="Times New Roman" w:eastAsia="Calibri" w:hAnsi="Times New Roman" w:cs="Times New Roman"/>
          <w:sz w:val="24"/>
          <w:szCs w:val="24"/>
        </w:rPr>
        <w:sectPr w:rsidR="00093157" w:rsidSect="002A3F16">
          <w:headerReference w:type="default" r:id="rId22"/>
          <w:headerReference w:type="first" r:id="rId23"/>
          <w:pgSz w:w="11906" w:h="16838"/>
          <w:pgMar w:top="1418" w:right="1418" w:bottom="1418" w:left="1418" w:header="709" w:footer="709" w:gutter="567"/>
          <w:cols w:space="708"/>
          <w:titlePg/>
          <w:docGrid w:linePitch="360"/>
        </w:sectPr>
      </w:pPr>
    </w:p>
    <w:p w:rsidR="002A3F16" w:rsidRDefault="00550D4B" w:rsidP="00550D4B">
      <w:pPr>
        <w:spacing w:before="240" w:beforeAutospacing="0" w:after="240" w:afterAutospacing="0" w:line="276" w:lineRule="auto"/>
        <w:rPr>
          <w:rFonts w:ascii="Times New Roman" w:eastAsia="Calibri" w:hAnsi="Times New Roman" w:cs="Times New Roman"/>
          <w:sz w:val="24"/>
          <w:szCs w:val="24"/>
        </w:rPr>
      </w:pPr>
      <w:r w:rsidRPr="00550D4B">
        <w:rPr>
          <w:rFonts w:ascii="Times New Roman" w:eastAsia="Calibri" w:hAnsi="Times New Roman" w:cs="Times New Roman"/>
          <w:b/>
          <w:i/>
          <w:sz w:val="36"/>
          <w:szCs w:val="24"/>
        </w:rPr>
        <w:lastRenderedPageBreak/>
        <w:t xml:space="preserve">Chapitre 4 : La transition au nouveau Système Comptable Financier et son Impact sur les comptes des sociétés du Groupe </w:t>
      </w:r>
      <w:proofErr w:type="spellStart"/>
      <w:r w:rsidRPr="00550D4B">
        <w:rPr>
          <w:rFonts w:ascii="Times New Roman" w:eastAsia="Calibri" w:hAnsi="Times New Roman" w:cs="Times New Roman"/>
          <w:b/>
          <w:i/>
          <w:sz w:val="36"/>
          <w:szCs w:val="24"/>
        </w:rPr>
        <w:t>Sonelgaz</w:t>
      </w:r>
      <w:proofErr w:type="spellEnd"/>
    </w:p>
    <w:p w:rsidR="00550D4B" w:rsidRDefault="00550D4B" w:rsidP="00550D4B">
      <w:pPr>
        <w:ind w:firstLine="360"/>
        <w:jc w:val="both"/>
        <w:rPr>
          <w:rFonts w:ascii="Times New Roman" w:hAnsi="Times New Roman" w:cs="Times New Roman"/>
          <w:sz w:val="24"/>
          <w:szCs w:val="24"/>
        </w:rPr>
      </w:pPr>
    </w:p>
    <w:p w:rsidR="0039067A" w:rsidRDefault="0039067A" w:rsidP="00550D4B">
      <w:pPr>
        <w:spacing w:line="360" w:lineRule="auto"/>
        <w:ind w:firstLine="357"/>
        <w:jc w:val="both"/>
        <w:rPr>
          <w:rFonts w:ascii="Times New Roman" w:hAnsi="Times New Roman" w:cs="Times New Roman"/>
          <w:sz w:val="24"/>
          <w:szCs w:val="24"/>
        </w:rPr>
      </w:pPr>
      <w:r>
        <w:rPr>
          <w:rFonts w:ascii="Times New Roman" w:hAnsi="Times New Roman" w:cs="Times New Roman"/>
          <w:sz w:val="24"/>
          <w:szCs w:val="24"/>
        </w:rPr>
        <w:t>En commun accord,</w:t>
      </w:r>
      <w:r w:rsidRPr="00E37BA3">
        <w:rPr>
          <w:rFonts w:ascii="Times New Roman" w:hAnsi="Times New Roman" w:cs="Times New Roman"/>
          <w:sz w:val="24"/>
          <w:szCs w:val="24"/>
        </w:rPr>
        <w:t xml:space="preserve"> le passage au SCF représente une véritable refonte du système comptable algérien.</w:t>
      </w:r>
      <w:r w:rsidRPr="0026480D">
        <w:rPr>
          <w:rFonts w:ascii="Times New Roman" w:hAnsi="Times New Roman" w:cs="Times New Roman"/>
          <w:sz w:val="24"/>
          <w:szCs w:val="24"/>
        </w:rPr>
        <w:t xml:space="preserve"> </w:t>
      </w:r>
      <w:r>
        <w:rPr>
          <w:rFonts w:ascii="Times New Roman" w:hAnsi="Times New Roman" w:cs="Times New Roman"/>
          <w:sz w:val="24"/>
          <w:szCs w:val="24"/>
        </w:rPr>
        <w:t>Par contre</w:t>
      </w:r>
      <w:r w:rsidRPr="0026480D">
        <w:rPr>
          <w:rFonts w:ascii="Times New Roman" w:hAnsi="Times New Roman" w:cs="Times New Roman"/>
          <w:sz w:val="24"/>
          <w:szCs w:val="24"/>
        </w:rPr>
        <w:t>, cette refonte ne peut être appréciée sans que son impact sur les comptes des sociétés ne soit évalué</w:t>
      </w:r>
      <w:r>
        <w:rPr>
          <w:rFonts w:ascii="Times New Roman" w:hAnsi="Times New Roman" w:cs="Times New Roman"/>
          <w:sz w:val="24"/>
          <w:szCs w:val="24"/>
        </w:rPr>
        <w:t xml:space="preserve">, c’est bien </w:t>
      </w:r>
      <w:r w:rsidRPr="0026480D">
        <w:rPr>
          <w:rFonts w:ascii="Times New Roman" w:hAnsi="Times New Roman" w:cs="Times New Roman"/>
          <w:sz w:val="24"/>
          <w:szCs w:val="24"/>
        </w:rPr>
        <w:t xml:space="preserve"> les conséquences de cette </w:t>
      </w:r>
      <w:r>
        <w:rPr>
          <w:rFonts w:ascii="Times New Roman" w:hAnsi="Times New Roman" w:cs="Times New Roman"/>
          <w:sz w:val="24"/>
          <w:szCs w:val="24"/>
        </w:rPr>
        <w:t>transition</w:t>
      </w:r>
      <w:r w:rsidRPr="0026480D">
        <w:rPr>
          <w:rFonts w:ascii="Times New Roman" w:hAnsi="Times New Roman" w:cs="Times New Roman"/>
          <w:sz w:val="24"/>
          <w:szCs w:val="24"/>
        </w:rPr>
        <w:t xml:space="preserve"> sur les sociétés </w:t>
      </w:r>
      <w:r>
        <w:rPr>
          <w:rFonts w:ascii="Times New Roman" w:hAnsi="Times New Roman" w:cs="Times New Roman"/>
          <w:sz w:val="24"/>
          <w:szCs w:val="24"/>
        </w:rPr>
        <w:t xml:space="preserve">qui </w:t>
      </w:r>
      <w:r w:rsidRPr="0026480D">
        <w:rPr>
          <w:rFonts w:ascii="Times New Roman" w:hAnsi="Times New Roman" w:cs="Times New Roman"/>
          <w:sz w:val="24"/>
          <w:szCs w:val="24"/>
        </w:rPr>
        <w:t>peuvent interpréter l’ampleur et l’importance de cette dernière.</w:t>
      </w:r>
      <w:r>
        <w:rPr>
          <w:rFonts w:ascii="Times New Roman" w:hAnsi="Times New Roman" w:cs="Times New Roman"/>
          <w:sz w:val="24"/>
          <w:szCs w:val="24"/>
        </w:rPr>
        <w:t xml:space="preserve"> </w:t>
      </w:r>
    </w:p>
    <w:p w:rsidR="0039067A" w:rsidRPr="00C55616" w:rsidRDefault="0039067A" w:rsidP="0039067A">
      <w:pPr>
        <w:spacing w:line="360" w:lineRule="auto"/>
        <w:ind w:firstLine="360"/>
        <w:jc w:val="both"/>
        <w:rPr>
          <w:rFonts w:ascii="Times New Roman" w:hAnsi="Times New Roman" w:cs="Times New Roman"/>
          <w:sz w:val="24"/>
        </w:rPr>
      </w:pPr>
      <w:r>
        <w:rPr>
          <w:rFonts w:ascii="Times New Roman" w:hAnsi="Times New Roman" w:cs="Times New Roman"/>
          <w:sz w:val="24"/>
        </w:rPr>
        <w:t>A cet effet, n</w:t>
      </w:r>
      <w:r w:rsidRPr="00C55616">
        <w:rPr>
          <w:rFonts w:ascii="Times New Roman" w:hAnsi="Times New Roman" w:cs="Times New Roman"/>
          <w:sz w:val="24"/>
        </w:rPr>
        <w:t xml:space="preserve">otre investigation porte sur </w:t>
      </w:r>
      <w:r>
        <w:rPr>
          <w:rFonts w:ascii="Times New Roman" w:hAnsi="Times New Roman" w:cs="Times New Roman"/>
          <w:sz w:val="24"/>
        </w:rPr>
        <w:t>l’étude d’impact dû à la transition au nouveau système comptable en Algérie. L</w:t>
      </w:r>
      <w:r w:rsidRPr="0016762F">
        <w:rPr>
          <w:rFonts w:ascii="Times New Roman" w:hAnsi="Times New Roman" w:cs="Times New Roman"/>
          <w:sz w:val="24"/>
        </w:rPr>
        <w:t xml:space="preserve">a méthode d’investigation poursuivie consiste à </w:t>
      </w:r>
      <w:r w:rsidRPr="0016762F">
        <w:rPr>
          <w:rFonts w:ascii="Times New Roman" w:hAnsi="Times New Roman" w:cs="Times New Roman"/>
          <w:sz w:val="24"/>
          <w:szCs w:val="24"/>
        </w:rPr>
        <w:t>rapprocher les principaux agrégats des états financiers établis selon les deux syst</w:t>
      </w:r>
      <w:r>
        <w:rPr>
          <w:rFonts w:ascii="Times New Roman" w:hAnsi="Times New Roman" w:cs="Times New Roman"/>
          <w:sz w:val="24"/>
          <w:szCs w:val="24"/>
        </w:rPr>
        <w:t>èmes, à savoir le PCN et le SCF</w:t>
      </w:r>
      <w:r w:rsidRPr="0016762F">
        <w:rPr>
          <w:rFonts w:ascii="Times New Roman" w:hAnsi="Times New Roman" w:cs="Times New Roman"/>
          <w:sz w:val="24"/>
          <w:szCs w:val="24"/>
        </w:rPr>
        <w:t xml:space="preserve"> en</w:t>
      </w:r>
      <w:r>
        <w:rPr>
          <w:rFonts w:ascii="Times New Roman" w:hAnsi="Times New Roman" w:cs="Times New Roman"/>
          <w:color w:val="FF0000"/>
          <w:sz w:val="24"/>
          <w:szCs w:val="24"/>
        </w:rPr>
        <w:t xml:space="preserve"> </w:t>
      </w:r>
      <w:r>
        <w:rPr>
          <w:rFonts w:ascii="Times New Roman" w:hAnsi="Times New Roman" w:cs="Times New Roman"/>
          <w:sz w:val="24"/>
        </w:rPr>
        <w:t>comparant</w:t>
      </w:r>
      <w:r w:rsidRPr="00C55616">
        <w:rPr>
          <w:rFonts w:ascii="Times New Roman" w:hAnsi="Times New Roman" w:cs="Times New Roman"/>
          <w:sz w:val="24"/>
        </w:rPr>
        <w:t xml:space="preserve"> entre l</w:t>
      </w:r>
      <w:r>
        <w:rPr>
          <w:rFonts w:ascii="Times New Roman" w:hAnsi="Times New Roman" w:cs="Times New Roman"/>
          <w:sz w:val="24"/>
        </w:rPr>
        <w:t xml:space="preserve">eurs </w:t>
      </w:r>
      <w:r w:rsidRPr="00C55616">
        <w:rPr>
          <w:rFonts w:ascii="Times New Roman" w:hAnsi="Times New Roman" w:cs="Times New Roman"/>
          <w:sz w:val="24"/>
        </w:rPr>
        <w:t>valeur</w:t>
      </w:r>
      <w:r>
        <w:rPr>
          <w:rFonts w:ascii="Times New Roman" w:hAnsi="Times New Roman" w:cs="Times New Roman"/>
          <w:sz w:val="24"/>
        </w:rPr>
        <w:t>s</w:t>
      </w:r>
      <w:r w:rsidRPr="00C55616">
        <w:rPr>
          <w:rFonts w:ascii="Times New Roman" w:hAnsi="Times New Roman" w:cs="Times New Roman"/>
          <w:sz w:val="24"/>
        </w:rPr>
        <w:t xml:space="preserve"> obtenu</w:t>
      </w:r>
      <w:r>
        <w:rPr>
          <w:rFonts w:ascii="Times New Roman" w:hAnsi="Times New Roman" w:cs="Times New Roman"/>
          <w:sz w:val="24"/>
        </w:rPr>
        <w:t>e</w:t>
      </w:r>
      <w:r w:rsidRPr="00C55616">
        <w:rPr>
          <w:rFonts w:ascii="Times New Roman" w:hAnsi="Times New Roman" w:cs="Times New Roman"/>
          <w:sz w:val="24"/>
        </w:rPr>
        <w:t>s avant et après la transition au SCF</w:t>
      </w:r>
      <w:r>
        <w:rPr>
          <w:rFonts w:ascii="Times New Roman" w:hAnsi="Times New Roman" w:cs="Times New Roman"/>
          <w:sz w:val="24"/>
        </w:rPr>
        <w:t xml:space="preserve"> et ce pour l’</w:t>
      </w:r>
      <w:r w:rsidRPr="00C55616">
        <w:rPr>
          <w:rFonts w:ascii="Times New Roman" w:hAnsi="Times New Roman" w:cs="Times New Roman"/>
          <w:sz w:val="24"/>
        </w:rPr>
        <w:t xml:space="preserve">exercice de référence (l’exercice 2009). Cette comparaison est effectuée sur un échantillon d’entreprises algériennes représentant les filiales et prises de participation du Groupe </w:t>
      </w:r>
      <w:proofErr w:type="spellStart"/>
      <w:r w:rsidRPr="00C55616">
        <w:rPr>
          <w:rFonts w:ascii="Times New Roman" w:hAnsi="Times New Roman" w:cs="Times New Roman"/>
          <w:sz w:val="24"/>
        </w:rPr>
        <w:t>Sonelgaz</w:t>
      </w:r>
      <w:proofErr w:type="spellEnd"/>
      <w:r w:rsidRPr="00C55616">
        <w:rPr>
          <w:rFonts w:ascii="Times New Roman" w:hAnsi="Times New Roman" w:cs="Times New Roman"/>
          <w:sz w:val="24"/>
        </w:rPr>
        <w:t xml:space="preserve">. </w:t>
      </w:r>
    </w:p>
    <w:p w:rsidR="0039067A" w:rsidRDefault="0039067A" w:rsidP="00550D4B">
      <w:pPr>
        <w:spacing w:line="360" w:lineRule="auto"/>
        <w:ind w:firstLine="360"/>
        <w:jc w:val="both"/>
        <w:rPr>
          <w:rFonts w:ascii="Times New Roman" w:hAnsi="Times New Roman" w:cs="Times New Roman"/>
          <w:color w:val="FF0000"/>
          <w:sz w:val="24"/>
          <w:szCs w:val="24"/>
        </w:rPr>
      </w:pPr>
      <w:r w:rsidRPr="001530F3">
        <w:rPr>
          <w:rFonts w:ascii="Times New Roman" w:hAnsi="Times New Roman" w:cs="Times New Roman"/>
          <w:sz w:val="24"/>
          <w:szCs w:val="24"/>
        </w:rPr>
        <w:t>Avant de présenter les résultats de cette investigation,</w:t>
      </w:r>
      <w:r>
        <w:rPr>
          <w:rFonts w:ascii="Times New Roman" w:hAnsi="Times New Roman" w:cs="Times New Roman"/>
          <w:sz w:val="24"/>
          <w:szCs w:val="24"/>
        </w:rPr>
        <w:t xml:space="preserve"> ce chapitre va illustrer, </w:t>
      </w:r>
      <w:r w:rsidRPr="001530F3">
        <w:rPr>
          <w:rFonts w:ascii="Times New Roman" w:hAnsi="Times New Roman" w:cs="Times New Roman"/>
          <w:sz w:val="24"/>
          <w:szCs w:val="24"/>
        </w:rPr>
        <w:t xml:space="preserve">en premier lieu, </w:t>
      </w:r>
      <w:r>
        <w:rPr>
          <w:rFonts w:ascii="Times New Roman" w:hAnsi="Times New Roman" w:cs="Times New Roman"/>
          <w:sz w:val="24"/>
          <w:szCs w:val="24"/>
        </w:rPr>
        <w:t>une brève présentation du</w:t>
      </w:r>
      <w:r w:rsidRPr="001530F3">
        <w:rPr>
          <w:rFonts w:ascii="Times New Roman" w:hAnsi="Times New Roman" w:cs="Times New Roman"/>
          <w:sz w:val="24"/>
          <w:szCs w:val="24"/>
        </w:rPr>
        <w:t xml:space="preserve"> Groupe </w:t>
      </w:r>
      <w:proofErr w:type="spellStart"/>
      <w:r w:rsidRPr="001530F3">
        <w:rPr>
          <w:rFonts w:ascii="Times New Roman" w:hAnsi="Times New Roman" w:cs="Times New Roman"/>
          <w:sz w:val="24"/>
          <w:szCs w:val="24"/>
        </w:rPr>
        <w:t>Sonelgaz</w:t>
      </w:r>
      <w:proofErr w:type="spellEnd"/>
      <w:r w:rsidRPr="001530F3">
        <w:rPr>
          <w:rFonts w:ascii="Times New Roman" w:hAnsi="Times New Roman" w:cs="Times New Roman"/>
          <w:sz w:val="24"/>
          <w:szCs w:val="24"/>
        </w:rPr>
        <w:t xml:space="preserve"> et </w:t>
      </w:r>
      <w:r>
        <w:rPr>
          <w:rFonts w:ascii="Times New Roman" w:hAnsi="Times New Roman" w:cs="Times New Roman"/>
          <w:sz w:val="24"/>
          <w:szCs w:val="24"/>
        </w:rPr>
        <w:t>d</w:t>
      </w:r>
      <w:r w:rsidRPr="001530F3">
        <w:rPr>
          <w:rFonts w:ascii="Times New Roman" w:hAnsi="Times New Roman" w:cs="Times New Roman"/>
          <w:sz w:val="24"/>
          <w:szCs w:val="24"/>
        </w:rPr>
        <w:t xml:space="preserve">es principales activités couvertes par ces différentes filiales et prises de participation. Ensuite, </w:t>
      </w:r>
      <w:r>
        <w:rPr>
          <w:rFonts w:ascii="Times New Roman" w:hAnsi="Times New Roman" w:cs="Times New Roman"/>
          <w:sz w:val="24"/>
          <w:szCs w:val="24"/>
        </w:rPr>
        <w:t xml:space="preserve">une description, du </w:t>
      </w:r>
      <w:r w:rsidRPr="001530F3">
        <w:rPr>
          <w:rFonts w:ascii="Times New Roman" w:hAnsi="Times New Roman" w:cs="Times New Roman"/>
          <w:sz w:val="24"/>
          <w:szCs w:val="24"/>
        </w:rPr>
        <w:t>processus d</w:t>
      </w:r>
      <w:r>
        <w:rPr>
          <w:rFonts w:ascii="Times New Roman" w:hAnsi="Times New Roman" w:cs="Times New Roman"/>
          <w:sz w:val="24"/>
          <w:szCs w:val="24"/>
        </w:rPr>
        <w:t>e</w:t>
      </w:r>
      <w:r w:rsidRPr="001530F3">
        <w:rPr>
          <w:rFonts w:ascii="Times New Roman" w:hAnsi="Times New Roman" w:cs="Times New Roman"/>
          <w:sz w:val="24"/>
          <w:szCs w:val="24"/>
        </w:rPr>
        <w:t xml:space="preserve"> passage au SCF au niveau des sociétés du Groupe</w:t>
      </w:r>
      <w:r>
        <w:rPr>
          <w:rFonts w:ascii="Times New Roman" w:hAnsi="Times New Roman" w:cs="Times New Roman"/>
          <w:sz w:val="24"/>
          <w:szCs w:val="24"/>
        </w:rPr>
        <w:t>, va être mise en valeur ; cela</w:t>
      </w:r>
      <w:r w:rsidRPr="001530F3">
        <w:rPr>
          <w:rFonts w:ascii="Times New Roman" w:hAnsi="Times New Roman" w:cs="Times New Roman"/>
          <w:sz w:val="24"/>
          <w:szCs w:val="24"/>
        </w:rPr>
        <w:t xml:space="preserve"> en mettant l’accent sur les principales options retenues dans le cadre de ce passage. Et enfin, </w:t>
      </w:r>
      <w:r w:rsidRPr="00BC3E85">
        <w:rPr>
          <w:rFonts w:ascii="Times New Roman" w:hAnsi="Times New Roman" w:cs="Times New Roman"/>
          <w:sz w:val="24"/>
          <w:szCs w:val="24"/>
        </w:rPr>
        <w:t>les résultats de la présente étude vont être commentés</w:t>
      </w:r>
      <w:r>
        <w:rPr>
          <w:rFonts w:ascii="Times New Roman" w:hAnsi="Times New Roman" w:cs="Times New Roman"/>
          <w:sz w:val="24"/>
          <w:szCs w:val="24"/>
        </w:rPr>
        <w:t>. C</w:t>
      </w:r>
      <w:r w:rsidRPr="00BC3E85">
        <w:rPr>
          <w:rFonts w:ascii="Times New Roman" w:hAnsi="Times New Roman" w:cs="Times New Roman"/>
          <w:sz w:val="24"/>
          <w:szCs w:val="24"/>
        </w:rPr>
        <w:t>e qui permettra de déterminer l’impact de la transition sur les capitaux propres et résultats de manière globale et d’identifier les principaux retraitements qui sont à l’origine de cet impact.</w:t>
      </w:r>
      <w:r w:rsidRPr="006F0C98">
        <w:rPr>
          <w:rFonts w:ascii="Times New Roman" w:hAnsi="Times New Roman" w:cs="Times New Roman"/>
          <w:color w:val="FF0000"/>
          <w:sz w:val="24"/>
          <w:szCs w:val="24"/>
        </w:rPr>
        <w:t xml:space="preserve"> </w:t>
      </w:r>
    </w:p>
    <w:p w:rsidR="0039067A" w:rsidRDefault="0039067A" w:rsidP="0039067A">
      <w:pPr>
        <w:spacing w:line="360" w:lineRule="auto"/>
        <w:ind w:firstLine="360"/>
        <w:jc w:val="both"/>
        <w:rPr>
          <w:rFonts w:ascii="Times New Roman" w:hAnsi="Times New Roman" w:cs="Times New Roman"/>
          <w:color w:val="FF0000"/>
          <w:sz w:val="24"/>
          <w:szCs w:val="24"/>
        </w:rPr>
      </w:pPr>
    </w:p>
    <w:p w:rsidR="0039067A" w:rsidRDefault="0039067A" w:rsidP="0039067A">
      <w:pPr>
        <w:spacing w:line="360" w:lineRule="auto"/>
        <w:ind w:firstLine="360"/>
        <w:jc w:val="both"/>
        <w:rPr>
          <w:rFonts w:ascii="Times New Roman" w:hAnsi="Times New Roman" w:cs="Times New Roman"/>
          <w:color w:val="FF0000"/>
          <w:sz w:val="24"/>
          <w:szCs w:val="24"/>
        </w:rPr>
        <w:sectPr w:rsidR="0039067A" w:rsidSect="0039067A">
          <w:headerReference w:type="first" r:id="rId24"/>
          <w:pgSz w:w="11906" w:h="16838"/>
          <w:pgMar w:top="1418" w:right="1418" w:bottom="1418" w:left="1418" w:header="709" w:footer="709" w:gutter="567"/>
          <w:cols w:space="708"/>
          <w:titlePg/>
          <w:docGrid w:linePitch="360"/>
        </w:sectPr>
      </w:pPr>
    </w:p>
    <w:p w:rsidR="0039067A" w:rsidRPr="0039067A" w:rsidRDefault="0039067A" w:rsidP="0039067A">
      <w:pPr>
        <w:spacing w:before="0" w:beforeAutospacing="0" w:after="200" w:afterAutospacing="0" w:line="276" w:lineRule="auto"/>
        <w:rPr>
          <w:rFonts w:ascii="Times New Roman" w:eastAsia="Calibri" w:hAnsi="Times New Roman" w:cs="Times New Roman"/>
          <w:b/>
          <w:i/>
          <w:sz w:val="26"/>
          <w:szCs w:val="26"/>
        </w:rPr>
      </w:pPr>
      <w:r w:rsidRPr="0039067A">
        <w:rPr>
          <w:rFonts w:ascii="Times New Roman" w:eastAsia="Calibri" w:hAnsi="Times New Roman" w:cs="Times New Roman"/>
          <w:b/>
          <w:i/>
          <w:sz w:val="26"/>
          <w:szCs w:val="26"/>
        </w:rPr>
        <w:lastRenderedPageBreak/>
        <w:t>Section 1 : Présentation du Groupe SONELGAZ</w:t>
      </w:r>
    </w:p>
    <w:p w:rsidR="0039067A" w:rsidRPr="0039067A" w:rsidRDefault="0039067A" w:rsidP="0039067A">
      <w:pPr>
        <w:spacing w:before="0" w:beforeAutospacing="0" w:after="200" w:afterAutospacing="0" w:line="276" w:lineRule="auto"/>
        <w:jc w:val="left"/>
        <w:rPr>
          <w:rFonts w:ascii="Times New Roman" w:eastAsia="Calibri" w:hAnsi="Times New Roman" w:cs="Times New Roman"/>
          <w:b/>
          <w:bCs/>
          <w:sz w:val="26"/>
          <w:szCs w:val="26"/>
        </w:rPr>
      </w:pPr>
      <w:r w:rsidRPr="0039067A">
        <w:rPr>
          <w:rFonts w:ascii="Times New Roman" w:eastAsia="Calibri" w:hAnsi="Times New Roman" w:cs="Times New Roman"/>
          <w:b/>
          <w:bCs/>
          <w:sz w:val="26"/>
          <w:szCs w:val="26"/>
        </w:rPr>
        <w:t>1.1.  Historique et évolution de la SONELGAZ</w:t>
      </w:r>
    </w:p>
    <w:p w:rsidR="0039067A" w:rsidRPr="0039067A" w:rsidRDefault="0039067A" w:rsidP="0039067A">
      <w:pPr>
        <w:spacing w:before="120" w:beforeAutospacing="0" w:after="120" w:afterAutospacing="0" w:line="276" w:lineRule="auto"/>
        <w:ind w:firstLine="360"/>
        <w:jc w:val="both"/>
        <w:rPr>
          <w:rFonts w:ascii="Times New Roman" w:eastAsia="Calibri" w:hAnsi="Times New Roman" w:cs="Times New Roman"/>
          <w:sz w:val="24"/>
          <w:szCs w:val="24"/>
        </w:rPr>
      </w:pPr>
      <w:r w:rsidRPr="0039067A">
        <w:rPr>
          <w:rFonts w:ascii="Times New Roman" w:eastAsia="Calibri" w:hAnsi="Times New Roman" w:cs="Times New Roman"/>
          <w:sz w:val="24"/>
          <w:szCs w:val="24"/>
        </w:rPr>
        <w:t xml:space="preserve">SONELGAZ est l’opérateur historique dans le domaine de la fourniture des énergies électriques et gazières en Algérie. Ses missions principales sont la production, le transport et la distribution de l’électricité ainsi que le transport et la distribution du gaz par canalisations. Elle a été créée en 1969 suite à la dissolution de l’EGA « Electricité et Gaz Algérie ». Depuis ce temps, SONELGAZ a connu plusieurs changements dans ses statuts juridiques. </w:t>
      </w:r>
    </w:p>
    <w:p w:rsidR="0039067A" w:rsidRPr="0039067A" w:rsidRDefault="0039067A" w:rsidP="0039067A">
      <w:pPr>
        <w:spacing w:before="120" w:beforeAutospacing="0" w:after="120" w:afterAutospacing="0" w:line="276" w:lineRule="auto"/>
        <w:ind w:firstLine="360"/>
        <w:jc w:val="both"/>
        <w:rPr>
          <w:rFonts w:ascii="Times New Roman" w:eastAsia="Calibri" w:hAnsi="Times New Roman" w:cs="Times New Roman"/>
          <w:sz w:val="24"/>
          <w:szCs w:val="24"/>
        </w:rPr>
      </w:pPr>
      <w:r w:rsidRPr="0039067A">
        <w:rPr>
          <w:rFonts w:ascii="Times New Roman" w:eastAsia="Calibri" w:hAnsi="Times New Roman" w:cs="Times New Roman"/>
          <w:sz w:val="24"/>
          <w:szCs w:val="24"/>
        </w:rPr>
        <w:t xml:space="preserve">En 1983, et comme toutes les sociétés nationales, elle a fait l’objet d’une restructuration qu’a donné lieu à la création de cinq nouvelles filiales qui sont : KAHRIF (pour l’électrification), KAHRAKIB (Infrastructures et installations électriques), KANAGAZ (Réalisation des réseaux gaz), INERGA (Génie Civil), ETTERKIB (Montage industriel) Et l’entreprise AMC (Fabrication des compteurs et appareils de mesure et de contrôle). En suite en 1991, elle était transformée en EPIC (Etablissement Public à Caractère Industriel et Commercial). </w:t>
      </w:r>
    </w:p>
    <w:p w:rsidR="0039067A" w:rsidRPr="0039067A" w:rsidRDefault="0039067A" w:rsidP="0039067A">
      <w:pPr>
        <w:spacing w:before="120" w:beforeAutospacing="0" w:after="120" w:afterAutospacing="0" w:line="276" w:lineRule="auto"/>
        <w:ind w:firstLine="360"/>
        <w:jc w:val="both"/>
        <w:rPr>
          <w:rFonts w:ascii="Times New Roman" w:eastAsia="Calibri" w:hAnsi="Times New Roman" w:cs="Times New Roman"/>
          <w:sz w:val="24"/>
          <w:szCs w:val="24"/>
        </w:rPr>
      </w:pPr>
      <w:r w:rsidRPr="0039067A">
        <w:rPr>
          <w:rFonts w:ascii="Times New Roman" w:eastAsia="Calibri" w:hAnsi="Times New Roman" w:cs="Times New Roman"/>
          <w:sz w:val="24"/>
          <w:szCs w:val="24"/>
        </w:rPr>
        <w:t xml:space="preserve">Puis en 2002, et suite aux dispositions de la loi n°02-01 du 05/02/02 relative à l’électricité et la distribution du gaz par canalisations, SONELGAZ a connu un autre changement dans sa nature juridique, elle est devenue une SPA (Société Par Actions). Ce qui a donné lieu à une nouvelle restructuration de la SONELGAZ SPA en un Groupe de sociétés de caractère juridiques indépendant avec la création de nouvelles filiales métiers, travaux et périphériques.  </w:t>
      </w:r>
    </w:p>
    <w:p w:rsidR="0039067A" w:rsidRPr="0039067A" w:rsidRDefault="0039067A" w:rsidP="0039067A">
      <w:pPr>
        <w:spacing w:before="120" w:beforeAutospacing="0" w:after="120" w:afterAutospacing="0" w:line="276" w:lineRule="auto"/>
        <w:ind w:firstLine="360"/>
        <w:jc w:val="both"/>
        <w:rPr>
          <w:rFonts w:ascii="Times New Roman" w:eastAsia="Calibri" w:hAnsi="Times New Roman" w:cs="Times New Roman"/>
          <w:sz w:val="24"/>
          <w:szCs w:val="24"/>
        </w:rPr>
      </w:pPr>
      <w:r w:rsidRPr="0039067A">
        <w:rPr>
          <w:rFonts w:ascii="Times New Roman" w:eastAsia="Calibri" w:hAnsi="Times New Roman" w:cs="Times New Roman"/>
          <w:sz w:val="24"/>
          <w:szCs w:val="24"/>
        </w:rPr>
        <w:t>En parallèle, cette loi a introduit d’autres changements dans le cadre du développement du Secteur lié à la politique économique et énergétique du pays. Les principes généraux de cette loi peuvent être résumés comme suit :</w:t>
      </w:r>
    </w:p>
    <w:p w:rsidR="0039067A" w:rsidRPr="0039067A" w:rsidRDefault="0039067A" w:rsidP="0039067A">
      <w:pPr>
        <w:numPr>
          <w:ilvl w:val="0"/>
          <w:numId w:val="64"/>
        </w:numPr>
        <w:spacing w:before="120" w:beforeAutospacing="0" w:after="120" w:afterAutospacing="0" w:line="276" w:lineRule="auto"/>
        <w:contextualSpacing/>
        <w:jc w:val="both"/>
        <w:rPr>
          <w:rFonts w:ascii="Times New Roman" w:eastAsia="Calibri" w:hAnsi="Times New Roman" w:cs="Times New Roman"/>
          <w:sz w:val="24"/>
          <w:szCs w:val="24"/>
        </w:rPr>
      </w:pPr>
      <w:r w:rsidRPr="0039067A">
        <w:rPr>
          <w:rFonts w:ascii="Times New Roman" w:eastAsia="Calibri" w:hAnsi="Times New Roman" w:cs="Times New Roman"/>
          <w:sz w:val="24"/>
          <w:szCs w:val="24"/>
        </w:rPr>
        <w:t>Introduction de la concurrence au niveau de la production et la distribution d’électricité ainsi que la distribution du gaz ;</w:t>
      </w:r>
    </w:p>
    <w:p w:rsidR="0039067A" w:rsidRPr="0039067A" w:rsidRDefault="0039067A" w:rsidP="0039067A">
      <w:pPr>
        <w:numPr>
          <w:ilvl w:val="0"/>
          <w:numId w:val="64"/>
        </w:numPr>
        <w:spacing w:before="120" w:beforeAutospacing="0" w:after="120" w:afterAutospacing="0" w:line="276" w:lineRule="auto"/>
        <w:contextualSpacing/>
        <w:jc w:val="both"/>
        <w:rPr>
          <w:rFonts w:ascii="Times New Roman" w:eastAsia="Calibri" w:hAnsi="Times New Roman" w:cs="Times New Roman"/>
          <w:sz w:val="24"/>
          <w:szCs w:val="24"/>
        </w:rPr>
      </w:pPr>
      <w:r w:rsidRPr="0039067A">
        <w:rPr>
          <w:rFonts w:ascii="Times New Roman" w:eastAsia="Calibri" w:hAnsi="Times New Roman" w:cs="Times New Roman"/>
          <w:sz w:val="24"/>
          <w:szCs w:val="24"/>
        </w:rPr>
        <w:t xml:space="preserve">Maintien du monopole naturel des Réseaux de transport et de distribution de l’électricité  et du gaz ; </w:t>
      </w:r>
    </w:p>
    <w:p w:rsidR="0039067A" w:rsidRPr="0039067A" w:rsidRDefault="0039067A" w:rsidP="0039067A">
      <w:pPr>
        <w:numPr>
          <w:ilvl w:val="0"/>
          <w:numId w:val="64"/>
        </w:numPr>
        <w:spacing w:before="120" w:beforeAutospacing="0" w:after="120" w:afterAutospacing="0" w:line="276" w:lineRule="auto"/>
        <w:contextualSpacing/>
        <w:jc w:val="both"/>
        <w:rPr>
          <w:rFonts w:ascii="Times New Roman" w:eastAsia="Calibri" w:hAnsi="Times New Roman" w:cs="Times New Roman"/>
          <w:sz w:val="24"/>
          <w:szCs w:val="24"/>
        </w:rPr>
      </w:pPr>
      <w:r w:rsidRPr="0039067A">
        <w:rPr>
          <w:rFonts w:ascii="Times New Roman" w:eastAsia="Calibri" w:hAnsi="Times New Roman" w:cs="Times New Roman"/>
          <w:sz w:val="24"/>
          <w:szCs w:val="24"/>
        </w:rPr>
        <w:t>Introduction de l’accès des tiers aux réseaux ;</w:t>
      </w:r>
    </w:p>
    <w:p w:rsidR="0039067A" w:rsidRPr="0039067A" w:rsidRDefault="0039067A" w:rsidP="0039067A">
      <w:pPr>
        <w:numPr>
          <w:ilvl w:val="0"/>
          <w:numId w:val="64"/>
        </w:numPr>
        <w:spacing w:before="120" w:beforeAutospacing="0" w:after="120" w:afterAutospacing="0" w:line="276" w:lineRule="auto"/>
        <w:contextualSpacing/>
        <w:jc w:val="both"/>
        <w:rPr>
          <w:rFonts w:ascii="Times New Roman" w:eastAsia="Calibri" w:hAnsi="Times New Roman" w:cs="Times New Roman"/>
          <w:sz w:val="24"/>
          <w:szCs w:val="24"/>
        </w:rPr>
      </w:pPr>
      <w:r w:rsidRPr="0039067A">
        <w:rPr>
          <w:rFonts w:ascii="Times New Roman" w:eastAsia="Calibri" w:hAnsi="Times New Roman" w:cs="Times New Roman"/>
          <w:sz w:val="24"/>
          <w:szCs w:val="24"/>
        </w:rPr>
        <w:t>Liberté des transactions producteurs – clients éligibles ;</w:t>
      </w:r>
    </w:p>
    <w:p w:rsidR="0039067A" w:rsidRPr="0039067A" w:rsidRDefault="0039067A" w:rsidP="0039067A">
      <w:pPr>
        <w:numPr>
          <w:ilvl w:val="0"/>
          <w:numId w:val="64"/>
        </w:numPr>
        <w:spacing w:before="120" w:beforeAutospacing="0" w:after="120" w:afterAutospacing="0" w:line="276" w:lineRule="auto"/>
        <w:contextualSpacing/>
        <w:jc w:val="both"/>
        <w:rPr>
          <w:rFonts w:ascii="Times New Roman" w:eastAsia="Calibri" w:hAnsi="Times New Roman" w:cs="Times New Roman"/>
          <w:sz w:val="24"/>
          <w:szCs w:val="24"/>
        </w:rPr>
      </w:pPr>
      <w:r w:rsidRPr="0039067A">
        <w:rPr>
          <w:rFonts w:ascii="Times New Roman" w:eastAsia="Calibri" w:hAnsi="Times New Roman" w:cs="Times New Roman"/>
          <w:sz w:val="24"/>
          <w:szCs w:val="24"/>
        </w:rPr>
        <w:t>Création d’une commission de régulation (CREG) ;</w:t>
      </w:r>
    </w:p>
    <w:p w:rsidR="0039067A" w:rsidRPr="0039067A" w:rsidRDefault="0039067A" w:rsidP="0039067A">
      <w:pPr>
        <w:numPr>
          <w:ilvl w:val="0"/>
          <w:numId w:val="64"/>
        </w:numPr>
        <w:spacing w:before="120" w:beforeAutospacing="0" w:after="120" w:afterAutospacing="0" w:line="276" w:lineRule="auto"/>
        <w:contextualSpacing/>
        <w:jc w:val="both"/>
        <w:rPr>
          <w:rFonts w:ascii="Times New Roman" w:eastAsia="Calibri" w:hAnsi="Times New Roman" w:cs="Times New Roman"/>
          <w:sz w:val="24"/>
          <w:szCs w:val="24"/>
        </w:rPr>
      </w:pPr>
      <w:r w:rsidRPr="0039067A">
        <w:rPr>
          <w:rFonts w:ascii="Times New Roman" w:eastAsia="Calibri" w:hAnsi="Times New Roman" w:cs="Times New Roman"/>
          <w:sz w:val="24"/>
          <w:szCs w:val="24"/>
        </w:rPr>
        <w:t>Nécessité de restructurer le secteur et d’adapter SONELGAZ au nouveau cadre légal sur un schéma cible d’organisation.</w:t>
      </w:r>
    </w:p>
    <w:p w:rsidR="00550D4B" w:rsidRDefault="0039067A" w:rsidP="0039067A">
      <w:pPr>
        <w:spacing w:before="120" w:beforeAutospacing="0" w:after="120" w:afterAutospacing="0" w:line="276" w:lineRule="auto"/>
        <w:ind w:firstLine="357"/>
        <w:jc w:val="both"/>
        <w:rPr>
          <w:rFonts w:ascii="Times New Roman" w:eastAsia="Calibri" w:hAnsi="Times New Roman" w:cs="Times New Roman"/>
          <w:sz w:val="24"/>
          <w:szCs w:val="24"/>
        </w:rPr>
        <w:sectPr w:rsidR="00550D4B" w:rsidSect="0039067A">
          <w:pgSz w:w="11906" w:h="16838"/>
          <w:pgMar w:top="1418" w:right="1418" w:bottom="1418" w:left="1418" w:header="709" w:footer="709" w:gutter="567"/>
          <w:cols w:space="708"/>
          <w:titlePg/>
          <w:docGrid w:linePitch="360"/>
        </w:sectPr>
      </w:pPr>
      <w:r w:rsidRPr="0039067A">
        <w:rPr>
          <w:rFonts w:ascii="Times New Roman" w:eastAsia="Calibri" w:hAnsi="Times New Roman" w:cs="Times New Roman"/>
          <w:sz w:val="24"/>
          <w:szCs w:val="24"/>
        </w:rPr>
        <w:t xml:space="preserve">De nouvelles opportunités se sont montrées, dans ce nouveau contexte, et qui donnent à la SONELGAZ la possibilité d’élargir ses activités à d’autres domaines relevant du secteur de l’énergie (activités d’exploitation, de production et de distribution d’hydrocarbures) et aussi d’accéder au marché extérieur. Comme elle peut procéder à la </w:t>
      </w:r>
    </w:p>
    <w:p w:rsidR="0039067A" w:rsidRPr="0039067A" w:rsidRDefault="0039067A" w:rsidP="0039067A">
      <w:pPr>
        <w:spacing w:before="120" w:beforeAutospacing="0" w:after="120" w:afterAutospacing="0" w:line="276" w:lineRule="auto"/>
        <w:ind w:firstLine="357"/>
        <w:jc w:val="both"/>
        <w:rPr>
          <w:rFonts w:ascii="Times New Roman" w:eastAsia="Calibri" w:hAnsi="Times New Roman" w:cs="Times New Roman"/>
          <w:sz w:val="24"/>
          <w:szCs w:val="24"/>
        </w:rPr>
      </w:pPr>
      <w:proofErr w:type="gramStart"/>
      <w:r w:rsidRPr="0039067A">
        <w:rPr>
          <w:rFonts w:ascii="Times New Roman" w:eastAsia="Calibri" w:hAnsi="Times New Roman" w:cs="Times New Roman"/>
          <w:sz w:val="24"/>
          <w:szCs w:val="24"/>
        </w:rPr>
        <w:lastRenderedPageBreak/>
        <w:t>création</w:t>
      </w:r>
      <w:proofErr w:type="gramEnd"/>
      <w:r w:rsidRPr="0039067A">
        <w:rPr>
          <w:rFonts w:ascii="Times New Roman" w:eastAsia="Calibri" w:hAnsi="Times New Roman" w:cs="Times New Roman"/>
          <w:sz w:val="24"/>
          <w:szCs w:val="24"/>
        </w:rPr>
        <w:t xml:space="preserve"> de filiales, prendre des participations et détenir un portefeuille d’actions ou autres valeurs mobilières. </w:t>
      </w:r>
    </w:p>
    <w:p w:rsidR="0039067A" w:rsidRPr="0039067A" w:rsidRDefault="0039067A" w:rsidP="0039067A">
      <w:pPr>
        <w:spacing w:before="120" w:beforeAutospacing="0" w:after="120" w:afterAutospacing="0" w:line="276" w:lineRule="auto"/>
        <w:ind w:firstLine="357"/>
        <w:jc w:val="both"/>
        <w:rPr>
          <w:rFonts w:ascii="Times New Roman" w:eastAsia="Calibri" w:hAnsi="Times New Roman" w:cs="Times New Roman"/>
          <w:sz w:val="24"/>
          <w:szCs w:val="24"/>
        </w:rPr>
      </w:pPr>
      <w:r w:rsidRPr="0039067A">
        <w:rPr>
          <w:rFonts w:ascii="Times New Roman" w:eastAsia="Calibri" w:hAnsi="Times New Roman" w:cs="Times New Roman"/>
          <w:sz w:val="24"/>
          <w:szCs w:val="24"/>
        </w:rPr>
        <w:t>Au-delà de cette évolution assurer le service public reste la mission essentielle de SONELGAZ ; l’élargissement de ses activités et l’amélioration de sa gestion économique bénéficient en premier lieu à cette mission qui constitue le fondement de sa culture d’entreprise.</w:t>
      </w:r>
    </w:p>
    <w:p w:rsidR="0039067A" w:rsidRPr="0039067A" w:rsidRDefault="0039067A" w:rsidP="0039067A">
      <w:pPr>
        <w:spacing w:before="0" w:beforeAutospacing="0" w:after="200" w:afterAutospacing="0" w:line="276" w:lineRule="auto"/>
        <w:jc w:val="left"/>
        <w:rPr>
          <w:rFonts w:ascii="Times New Roman" w:eastAsia="Calibri" w:hAnsi="Times New Roman" w:cs="Times New Roman"/>
          <w:b/>
          <w:bCs/>
          <w:sz w:val="26"/>
          <w:szCs w:val="26"/>
        </w:rPr>
      </w:pPr>
      <w:r w:rsidRPr="0039067A">
        <w:rPr>
          <w:rFonts w:ascii="Times New Roman" w:eastAsia="Calibri" w:hAnsi="Times New Roman" w:cs="Times New Roman"/>
          <w:b/>
          <w:bCs/>
          <w:sz w:val="26"/>
          <w:szCs w:val="26"/>
        </w:rPr>
        <w:t xml:space="preserve">1.2. L’organisation et les Activités du Groupe SONELGAZ </w:t>
      </w:r>
    </w:p>
    <w:p w:rsidR="0039067A" w:rsidRPr="0039067A" w:rsidRDefault="0039067A" w:rsidP="0039067A">
      <w:pPr>
        <w:keepNext/>
        <w:keepLines/>
        <w:spacing w:before="200" w:beforeAutospacing="0" w:after="0" w:afterAutospacing="0" w:line="276" w:lineRule="auto"/>
        <w:jc w:val="left"/>
        <w:outlineLvl w:val="1"/>
        <w:rPr>
          <w:rFonts w:ascii="Times New Roman" w:eastAsia="Times New Roman" w:hAnsi="Times New Roman" w:cs="Times New Roman"/>
          <w:b/>
          <w:bCs/>
          <w:i/>
          <w:szCs w:val="26"/>
        </w:rPr>
      </w:pPr>
      <w:r w:rsidRPr="0039067A">
        <w:rPr>
          <w:rFonts w:ascii="Times New Roman" w:eastAsia="Times New Roman" w:hAnsi="Times New Roman" w:cs="Times New Roman"/>
          <w:b/>
          <w:bCs/>
          <w:sz w:val="24"/>
          <w:szCs w:val="26"/>
        </w:rPr>
        <w:t>1.2.1. Activités du Groupe SONELGAZ</w:t>
      </w:r>
    </w:p>
    <w:p w:rsidR="0039067A" w:rsidRPr="0039067A" w:rsidRDefault="0039067A" w:rsidP="0039067A">
      <w:pPr>
        <w:spacing w:before="120" w:beforeAutospacing="0" w:after="120" w:afterAutospacing="0" w:line="276" w:lineRule="auto"/>
        <w:ind w:firstLine="357"/>
        <w:jc w:val="both"/>
        <w:rPr>
          <w:rFonts w:ascii="Times New Roman" w:eastAsia="Calibri" w:hAnsi="Times New Roman" w:cs="Times New Roman"/>
          <w:sz w:val="24"/>
          <w:szCs w:val="24"/>
        </w:rPr>
      </w:pPr>
      <w:r w:rsidRPr="0039067A">
        <w:rPr>
          <w:rFonts w:ascii="Times New Roman" w:eastAsia="Calibri" w:hAnsi="Times New Roman" w:cs="Times New Roman"/>
          <w:sz w:val="24"/>
          <w:szCs w:val="24"/>
        </w:rPr>
        <w:t>La nature non stockable de l’électricité impose à l’entreprise une intégration complète de toutes les phases de son activité, depuis la production jusqu’à sa mise à disposition au consommateur final. Les activités de la SONELGAZ couvrent les trois branches suivantes :</w:t>
      </w:r>
    </w:p>
    <w:p w:rsidR="0039067A" w:rsidRPr="0039067A" w:rsidRDefault="0039067A" w:rsidP="0039067A">
      <w:pPr>
        <w:numPr>
          <w:ilvl w:val="0"/>
          <w:numId w:val="72"/>
        </w:numPr>
        <w:spacing w:before="0" w:beforeAutospacing="0" w:after="0" w:afterAutospacing="0" w:line="276" w:lineRule="auto"/>
        <w:contextualSpacing/>
        <w:jc w:val="both"/>
        <w:rPr>
          <w:rFonts w:ascii="Times New Roman" w:eastAsia="Calibri" w:hAnsi="Times New Roman" w:cs="Times New Roman"/>
          <w:b/>
          <w:i/>
          <w:sz w:val="24"/>
          <w:szCs w:val="24"/>
        </w:rPr>
      </w:pPr>
      <w:r w:rsidRPr="0039067A">
        <w:rPr>
          <w:rFonts w:ascii="Times New Roman" w:eastAsia="Calibri" w:hAnsi="Times New Roman" w:cs="Times New Roman"/>
          <w:b/>
          <w:i/>
          <w:sz w:val="24"/>
          <w:szCs w:val="24"/>
        </w:rPr>
        <w:t>Activité de production </w:t>
      </w:r>
    </w:p>
    <w:p w:rsidR="0039067A" w:rsidRPr="0039067A" w:rsidRDefault="0039067A" w:rsidP="0039067A">
      <w:pPr>
        <w:spacing w:before="120" w:beforeAutospacing="0" w:after="120" w:afterAutospacing="0" w:line="276" w:lineRule="auto"/>
        <w:ind w:firstLine="357"/>
        <w:jc w:val="both"/>
        <w:rPr>
          <w:rFonts w:ascii="Times New Roman" w:eastAsia="Calibri" w:hAnsi="Times New Roman" w:cs="Times New Roman"/>
          <w:sz w:val="24"/>
          <w:szCs w:val="24"/>
        </w:rPr>
      </w:pPr>
      <w:r w:rsidRPr="0039067A">
        <w:rPr>
          <w:rFonts w:ascii="Times New Roman" w:eastAsia="Calibri" w:hAnsi="Times New Roman" w:cs="Times New Roman"/>
          <w:sz w:val="24"/>
          <w:szCs w:val="24"/>
        </w:rPr>
        <w:t>Le processus de production consiste à transformer l’énergie thermique ou hydraulique en énergie mécanique puis électrique. Le parc de la production comprend 4 filières : Filière turbine vapeur, Filière turbine à gaz, Filière hydraulique, Filière diesel.</w:t>
      </w:r>
    </w:p>
    <w:p w:rsidR="0039067A" w:rsidRPr="0039067A" w:rsidRDefault="0039067A" w:rsidP="0039067A">
      <w:pPr>
        <w:numPr>
          <w:ilvl w:val="0"/>
          <w:numId w:val="72"/>
        </w:numPr>
        <w:spacing w:before="0" w:beforeAutospacing="0" w:after="0" w:afterAutospacing="0" w:line="276" w:lineRule="auto"/>
        <w:contextualSpacing/>
        <w:jc w:val="both"/>
        <w:rPr>
          <w:rFonts w:ascii="Times New Roman" w:eastAsia="Calibri" w:hAnsi="Times New Roman" w:cs="Times New Roman"/>
          <w:sz w:val="24"/>
          <w:szCs w:val="24"/>
        </w:rPr>
      </w:pPr>
      <w:r w:rsidRPr="0039067A">
        <w:rPr>
          <w:rFonts w:ascii="Times New Roman" w:eastAsia="Calibri" w:hAnsi="Times New Roman" w:cs="Times New Roman"/>
          <w:b/>
          <w:i/>
          <w:sz w:val="24"/>
          <w:szCs w:val="24"/>
        </w:rPr>
        <w:t>Activité transport</w:t>
      </w:r>
      <w:r w:rsidRPr="0039067A">
        <w:rPr>
          <w:rFonts w:ascii="Times New Roman" w:eastAsia="Calibri" w:hAnsi="Times New Roman" w:cs="Times New Roman"/>
          <w:sz w:val="24"/>
          <w:szCs w:val="24"/>
        </w:rPr>
        <w:t xml:space="preserve">  </w:t>
      </w:r>
    </w:p>
    <w:p w:rsidR="0039067A" w:rsidRPr="0039067A" w:rsidRDefault="0039067A" w:rsidP="0039067A">
      <w:pPr>
        <w:spacing w:before="120" w:beforeAutospacing="0" w:after="120" w:afterAutospacing="0" w:line="276" w:lineRule="auto"/>
        <w:ind w:firstLine="357"/>
        <w:jc w:val="both"/>
        <w:rPr>
          <w:rFonts w:ascii="Times New Roman" w:eastAsia="Calibri" w:hAnsi="Times New Roman" w:cs="Times New Roman"/>
          <w:sz w:val="24"/>
          <w:szCs w:val="24"/>
        </w:rPr>
      </w:pPr>
      <w:r w:rsidRPr="0039067A">
        <w:rPr>
          <w:rFonts w:ascii="Times New Roman" w:eastAsia="Calibri" w:hAnsi="Times New Roman" w:cs="Times New Roman"/>
          <w:sz w:val="24"/>
          <w:szCs w:val="24"/>
        </w:rPr>
        <w:t>Elle couvre le transport d’électricité et le transport du gaz.</w:t>
      </w:r>
    </w:p>
    <w:p w:rsidR="0039067A" w:rsidRPr="0039067A" w:rsidRDefault="0039067A" w:rsidP="0039067A">
      <w:pPr>
        <w:numPr>
          <w:ilvl w:val="0"/>
          <w:numId w:val="65"/>
        </w:numPr>
        <w:spacing w:before="0" w:beforeAutospacing="0" w:after="0" w:afterAutospacing="0" w:line="276" w:lineRule="auto"/>
        <w:contextualSpacing/>
        <w:jc w:val="both"/>
        <w:rPr>
          <w:rFonts w:ascii="Times New Roman" w:eastAsia="Calibri" w:hAnsi="Times New Roman" w:cs="Times New Roman"/>
          <w:vanish/>
          <w:color w:val="0070C0"/>
          <w:sz w:val="24"/>
          <w:szCs w:val="24"/>
        </w:rPr>
      </w:pPr>
    </w:p>
    <w:p w:rsidR="0039067A" w:rsidRPr="0039067A" w:rsidRDefault="0039067A" w:rsidP="0039067A">
      <w:pPr>
        <w:numPr>
          <w:ilvl w:val="1"/>
          <w:numId w:val="65"/>
        </w:numPr>
        <w:spacing w:before="0" w:beforeAutospacing="0" w:after="0" w:afterAutospacing="0" w:line="276" w:lineRule="auto"/>
        <w:contextualSpacing/>
        <w:jc w:val="both"/>
        <w:rPr>
          <w:rFonts w:ascii="Times New Roman" w:eastAsia="Calibri" w:hAnsi="Times New Roman" w:cs="Times New Roman"/>
          <w:vanish/>
          <w:color w:val="0070C0"/>
          <w:sz w:val="24"/>
          <w:szCs w:val="24"/>
        </w:rPr>
      </w:pPr>
    </w:p>
    <w:p w:rsidR="0039067A" w:rsidRPr="0039067A" w:rsidRDefault="0039067A" w:rsidP="0039067A">
      <w:pPr>
        <w:numPr>
          <w:ilvl w:val="0"/>
          <w:numId w:val="71"/>
        </w:numPr>
        <w:spacing w:before="0" w:beforeAutospacing="0" w:after="0" w:afterAutospacing="0" w:line="276" w:lineRule="auto"/>
        <w:contextualSpacing/>
        <w:jc w:val="both"/>
        <w:rPr>
          <w:rFonts w:ascii="Times New Roman" w:eastAsia="Calibri" w:hAnsi="Times New Roman" w:cs="Times New Roman"/>
          <w:color w:val="0070C0"/>
          <w:sz w:val="24"/>
          <w:szCs w:val="24"/>
        </w:rPr>
      </w:pPr>
      <w:r w:rsidRPr="0039067A">
        <w:rPr>
          <w:rFonts w:ascii="Times New Roman" w:eastAsia="Calibri" w:hAnsi="Times New Roman" w:cs="Times New Roman"/>
          <w:i/>
          <w:sz w:val="24"/>
          <w:szCs w:val="24"/>
        </w:rPr>
        <w:t>Transport de l’électricité :</w:t>
      </w:r>
      <w:r w:rsidRPr="0039067A">
        <w:rPr>
          <w:rFonts w:ascii="Times New Roman" w:eastAsia="Calibri" w:hAnsi="Times New Roman" w:cs="Times New Roman"/>
          <w:color w:val="0070C0"/>
          <w:sz w:val="24"/>
          <w:szCs w:val="24"/>
        </w:rPr>
        <w:t xml:space="preserve"> </w:t>
      </w:r>
      <w:r w:rsidRPr="0039067A">
        <w:rPr>
          <w:rFonts w:ascii="Times New Roman" w:eastAsia="Calibri" w:hAnsi="Times New Roman" w:cs="Times New Roman"/>
          <w:sz w:val="24"/>
          <w:szCs w:val="24"/>
        </w:rPr>
        <w:t>le transport est réalisé à partir des lignes hautes tensions (60 KV, 220 KV et 400 KV) qui permettent de se rapprocher des consommateurs.</w:t>
      </w:r>
    </w:p>
    <w:p w:rsidR="0039067A" w:rsidRPr="0039067A" w:rsidRDefault="0039067A" w:rsidP="0039067A">
      <w:pPr>
        <w:numPr>
          <w:ilvl w:val="0"/>
          <w:numId w:val="71"/>
        </w:numPr>
        <w:spacing w:before="0" w:beforeAutospacing="0" w:after="0" w:afterAutospacing="0" w:line="276" w:lineRule="auto"/>
        <w:contextualSpacing/>
        <w:jc w:val="both"/>
        <w:rPr>
          <w:rFonts w:ascii="Times New Roman" w:eastAsia="Calibri" w:hAnsi="Times New Roman" w:cs="Times New Roman"/>
          <w:color w:val="0070C0"/>
          <w:sz w:val="24"/>
          <w:szCs w:val="24"/>
        </w:rPr>
      </w:pPr>
      <w:r w:rsidRPr="0039067A">
        <w:rPr>
          <w:rFonts w:ascii="Times New Roman" w:eastAsia="Calibri" w:hAnsi="Times New Roman" w:cs="Times New Roman"/>
          <w:sz w:val="24"/>
          <w:szCs w:val="24"/>
        </w:rPr>
        <w:t>Transport du gaz :</w:t>
      </w:r>
      <w:r w:rsidRPr="0039067A">
        <w:rPr>
          <w:rFonts w:ascii="Times New Roman" w:eastAsia="Calibri" w:hAnsi="Times New Roman" w:cs="Times New Roman"/>
          <w:color w:val="0070C0"/>
          <w:sz w:val="24"/>
          <w:szCs w:val="24"/>
        </w:rPr>
        <w:t xml:space="preserve"> </w:t>
      </w:r>
      <w:r w:rsidRPr="0039067A">
        <w:rPr>
          <w:rFonts w:ascii="Times New Roman" w:eastAsia="Calibri" w:hAnsi="Times New Roman" w:cs="Times New Roman"/>
          <w:sz w:val="24"/>
          <w:szCs w:val="24"/>
        </w:rPr>
        <w:t>le transport du gaz se fait en haute pression par canalisation.</w:t>
      </w:r>
    </w:p>
    <w:p w:rsidR="0039067A" w:rsidRPr="0039067A" w:rsidRDefault="0039067A" w:rsidP="0039067A">
      <w:pPr>
        <w:numPr>
          <w:ilvl w:val="0"/>
          <w:numId w:val="72"/>
        </w:numPr>
        <w:spacing w:before="120" w:beforeAutospacing="0" w:after="120" w:afterAutospacing="0" w:line="276" w:lineRule="auto"/>
        <w:ind w:left="357" w:hanging="357"/>
        <w:jc w:val="both"/>
        <w:rPr>
          <w:rFonts w:ascii="Times New Roman" w:eastAsia="Calibri" w:hAnsi="Times New Roman" w:cs="Times New Roman"/>
          <w:b/>
          <w:i/>
          <w:sz w:val="24"/>
          <w:szCs w:val="24"/>
        </w:rPr>
      </w:pPr>
      <w:r w:rsidRPr="0039067A">
        <w:rPr>
          <w:rFonts w:ascii="Times New Roman" w:eastAsia="Calibri" w:hAnsi="Times New Roman" w:cs="Times New Roman"/>
          <w:b/>
          <w:i/>
          <w:sz w:val="24"/>
          <w:szCs w:val="24"/>
        </w:rPr>
        <w:t>Activité de distribution </w:t>
      </w:r>
    </w:p>
    <w:p w:rsidR="0039067A" w:rsidRPr="0039067A" w:rsidRDefault="0039067A" w:rsidP="0039067A">
      <w:pPr>
        <w:numPr>
          <w:ilvl w:val="0"/>
          <w:numId w:val="71"/>
        </w:numPr>
        <w:spacing w:before="0" w:beforeAutospacing="0" w:after="0" w:afterAutospacing="0" w:line="276" w:lineRule="auto"/>
        <w:contextualSpacing/>
        <w:jc w:val="both"/>
        <w:rPr>
          <w:rFonts w:ascii="Times New Roman" w:eastAsia="Calibri" w:hAnsi="Times New Roman" w:cs="Times New Roman"/>
          <w:i/>
          <w:sz w:val="24"/>
          <w:szCs w:val="24"/>
        </w:rPr>
      </w:pPr>
      <w:r w:rsidRPr="0039067A">
        <w:rPr>
          <w:rFonts w:ascii="Times New Roman" w:eastAsia="Calibri" w:hAnsi="Times New Roman" w:cs="Times New Roman"/>
          <w:i/>
          <w:sz w:val="24"/>
          <w:szCs w:val="24"/>
        </w:rPr>
        <w:t>Distribution de l’électricité:</w:t>
      </w:r>
    </w:p>
    <w:p w:rsidR="0039067A" w:rsidRPr="0039067A" w:rsidRDefault="0039067A" w:rsidP="0039067A">
      <w:pPr>
        <w:spacing w:before="120" w:beforeAutospacing="0" w:after="120" w:afterAutospacing="0" w:line="276" w:lineRule="auto"/>
        <w:ind w:firstLine="357"/>
        <w:jc w:val="both"/>
        <w:rPr>
          <w:rFonts w:ascii="Times New Roman" w:eastAsia="Calibri" w:hAnsi="Times New Roman" w:cs="Times New Roman"/>
          <w:i/>
          <w:sz w:val="24"/>
          <w:szCs w:val="24"/>
        </w:rPr>
      </w:pPr>
      <w:r w:rsidRPr="0039067A">
        <w:rPr>
          <w:rFonts w:ascii="Times New Roman" w:eastAsia="Calibri" w:hAnsi="Times New Roman" w:cs="Times New Roman"/>
          <w:i/>
          <w:sz w:val="24"/>
          <w:szCs w:val="24"/>
        </w:rPr>
        <w:t xml:space="preserve"> </w:t>
      </w:r>
      <w:r w:rsidRPr="0039067A">
        <w:rPr>
          <w:rFonts w:ascii="Times New Roman" w:eastAsia="Calibri" w:hAnsi="Times New Roman" w:cs="Times New Roman"/>
          <w:sz w:val="24"/>
          <w:szCs w:val="24"/>
        </w:rPr>
        <w:t>La distribution assure la satisfaction en énergie électrique des trois grandes catégories de clients suivantes :</w:t>
      </w:r>
    </w:p>
    <w:p w:rsidR="0039067A" w:rsidRPr="0039067A" w:rsidRDefault="0039067A" w:rsidP="0039067A">
      <w:pPr>
        <w:numPr>
          <w:ilvl w:val="0"/>
          <w:numId w:val="66"/>
        </w:numPr>
        <w:spacing w:before="120" w:beforeAutospacing="0" w:after="120" w:afterAutospacing="0" w:line="276" w:lineRule="auto"/>
        <w:contextualSpacing/>
        <w:jc w:val="both"/>
        <w:rPr>
          <w:rFonts w:ascii="Times New Roman" w:eastAsia="Calibri" w:hAnsi="Times New Roman" w:cs="Times New Roman"/>
          <w:sz w:val="24"/>
          <w:szCs w:val="24"/>
        </w:rPr>
      </w:pPr>
      <w:r w:rsidRPr="0039067A">
        <w:rPr>
          <w:rFonts w:ascii="Times New Roman" w:eastAsia="Calibri" w:hAnsi="Times New Roman" w:cs="Times New Roman"/>
          <w:sz w:val="24"/>
          <w:szCs w:val="24"/>
        </w:rPr>
        <w:t>Les clients industriels (alimentés par les réseaux hauts tension) ;</w:t>
      </w:r>
    </w:p>
    <w:p w:rsidR="0039067A" w:rsidRPr="0039067A" w:rsidRDefault="0039067A" w:rsidP="0039067A">
      <w:pPr>
        <w:numPr>
          <w:ilvl w:val="0"/>
          <w:numId w:val="66"/>
        </w:numPr>
        <w:spacing w:before="120" w:beforeAutospacing="0" w:after="120" w:afterAutospacing="0" w:line="276" w:lineRule="auto"/>
        <w:contextualSpacing/>
        <w:jc w:val="both"/>
        <w:rPr>
          <w:rFonts w:ascii="Times New Roman" w:eastAsia="Calibri" w:hAnsi="Times New Roman" w:cs="Times New Roman"/>
          <w:sz w:val="24"/>
          <w:szCs w:val="24"/>
        </w:rPr>
      </w:pPr>
      <w:r w:rsidRPr="0039067A">
        <w:rPr>
          <w:rFonts w:ascii="Times New Roman" w:eastAsia="Calibri" w:hAnsi="Times New Roman" w:cs="Times New Roman"/>
          <w:sz w:val="24"/>
          <w:szCs w:val="24"/>
        </w:rPr>
        <w:t>Les clients industriels de moyenne importance (alimentés par les réseaux moyenne tension) ;</w:t>
      </w:r>
    </w:p>
    <w:p w:rsidR="0039067A" w:rsidRPr="0039067A" w:rsidRDefault="0039067A" w:rsidP="0039067A">
      <w:pPr>
        <w:numPr>
          <w:ilvl w:val="0"/>
          <w:numId w:val="66"/>
        </w:numPr>
        <w:spacing w:before="120" w:beforeAutospacing="0" w:after="120" w:afterAutospacing="0" w:line="276" w:lineRule="auto"/>
        <w:contextualSpacing/>
        <w:jc w:val="both"/>
        <w:rPr>
          <w:rFonts w:ascii="Times New Roman" w:eastAsia="Calibri" w:hAnsi="Times New Roman" w:cs="Times New Roman"/>
          <w:sz w:val="24"/>
          <w:szCs w:val="24"/>
        </w:rPr>
      </w:pPr>
      <w:r w:rsidRPr="0039067A">
        <w:rPr>
          <w:rFonts w:ascii="Times New Roman" w:eastAsia="Calibri" w:hAnsi="Times New Roman" w:cs="Times New Roman"/>
          <w:sz w:val="24"/>
          <w:szCs w:val="24"/>
        </w:rPr>
        <w:t>Les ménages et artisans (alimentés par les réseaux basse tension).</w:t>
      </w:r>
    </w:p>
    <w:p w:rsidR="0039067A" w:rsidRPr="0039067A" w:rsidRDefault="0039067A" w:rsidP="0039067A">
      <w:pPr>
        <w:spacing w:before="120" w:beforeAutospacing="0" w:after="120" w:afterAutospacing="0" w:line="276" w:lineRule="auto"/>
        <w:ind w:firstLine="357"/>
        <w:jc w:val="both"/>
        <w:rPr>
          <w:rFonts w:ascii="Times New Roman" w:eastAsia="Calibri" w:hAnsi="Times New Roman" w:cs="Times New Roman"/>
          <w:sz w:val="24"/>
          <w:szCs w:val="24"/>
        </w:rPr>
      </w:pPr>
      <w:r w:rsidRPr="0039067A">
        <w:rPr>
          <w:rFonts w:ascii="Times New Roman" w:eastAsia="Calibri" w:hAnsi="Times New Roman" w:cs="Times New Roman"/>
          <w:sz w:val="24"/>
          <w:szCs w:val="24"/>
        </w:rPr>
        <w:t xml:space="preserve">Dans le sud, les réseaux autonomes hétérogènes sont alimentés par des centrales implantées localement ; le plus souvent, ce sont les turbines diesel, fonctionnant au gasoil, ce qui permettra à la SONELGAZ de satisfaire la demande en énergie électrique dans cette région. </w:t>
      </w:r>
    </w:p>
    <w:p w:rsidR="0039067A" w:rsidRPr="0039067A" w:rsidRDefault="0039067A" w:rsidP="0039067A">
      <w:pPr>
        <w:numPr>
          <w:ilvl w:val="0"/>
          <w:numId w:val="71"/>
        </w:numPr>
        <w:spacing w:before="0" w:beforeAutospacing="0" w:after="0" w:afterAutospacing="0" w:line="276" w:lineRule="auto"/>
        <w:contextualSpacing/>
        <w:jc w:val="both"/>
        <w:rPr>
          <w:rFonts w:ascii="Times New Roman" w:eastAsia="Calibri" w:hAnsi="Times New Roman" w:cs="Times New Roman"/>
          <w:i/>
          <w:sz w:val="24"/>
          <w:szCs w:val="24"/>
        </w:rPr>
      </w:pPr>
      <w:r w:rsidRPr="0039067A">
        <w:rPr>
          <w:rFonts w:ascii="Times New Roman" w:eastAsia="Calibri" w:hAnsi="Times New Roman" w:cs="Times New Roman"/>
          <w:i/>
          <w:sz w:val="24"/>
          <w:szCs w:val="24"/>
        </w:rPr>
        <w:t>Distribution du Gaz </w:t>
      </w:r>
    </w:p>
    <w:p w:rsidR="00550D4B" w:rsidRDefault="00550D4B" w:rsidP="0039067A">
      <w:pPr>
        <w:spacing w:before="120" w:beforeAutospacing="0" w:after="120" w:afterAutospacing="0" w:line="276" w:lineRule="auto"/>
        <w:ind w:firstLine="357"/>
        <w:jc w:val="both"/>
        <w:rPr>
          <w:rFonts w:ascii="Times New Roman" w:eastAsia="Calibri" w:hAnsi="Times New Roman" w:cs="Times New Roman"/>
          <w:sz w:val="24"/>
          <w:szCs w:val="24"/>
        </w:rPr>
        <w:sectPr w:rsidR="00550D4B" w:rsidSect="00550D4B">
          <w:pgSz w:w="11906" w:h="16838"/>
          <w:pgMar w:top="1418" w:right="1418" w:bottom="1418" w:left="1418" w:header="709" w:footer="709" w:gutter="567"/>
          <w:cols w:space="708"/>
          <w:titlePg/>
          <w:docGrid w:linePitch="360"/>
        </w:sectPr>
      </w:pPr>
    </w:p>
    <w:p w:rsidR="0039067A" w:rsidRPr="0039067A" w:rsidRDefault="0039067A" w:rsidP="0039067A">
      <w:pPr>
        <w:spacing w:before="120" w:beforeAutospacing="0" w:after="120" w:afterAutospacing="0" w:line="276" w:lineRule="auto"/>
        <w:ind w:firstLine="357"/>
        <w:jc w:val="both"/>
        <w:rPr>
          <w:rFonts w:ascii="Times New Roman" w:eastAsia="Calibri" w:hAnsi="Times New Roman" w:cs="Times New Roman"/>
          <w:sz w:val="24"/>
          <w:szCs w:val="24"/>
        </w:rPr>
      </w:pPr>
      <w:r w:rsidRPr="0039067A">
        <w:rPr>
          <w:rFonts w:ascii="Times New Roman" w:eastAsia="Calibri" w:hAnsi="Times New Roman" w:cs="Times New Roman"/>
          <w:sz w:val="24"/>
          <w:szCs w:val="24"/>
        </w:rPr>
        <w:lastRenderedPageBreak/>
        <w:t xml:space="preserve"> La distribution du gaz assure la satisfaction des trois grandes catégories de clients suivantes :</w:t>
      </w:r>
    </w:p>
    <w:p w:rsidR="0039067A" w:rsidRPr="0039067A" w:rsidRDefault="0039067A" w:rsidP="0039067A">
      <w:pPr>
        <w:numPr>
          <w:ilvl w:val="0"/>
          <w:numId w:val="66"/>
        </w:numPr>
        <w:spacing w:before="120" w:beforeAutospacing="0" w:after="120" w:afterAutospacing="0" w:line="276" w:lineRule="auto"/>
        <w:contextualSpacing/>
        <w:jc w:val="both"/>
        <w:rPr>
          <w:rFonts w:ascii="Times New Roman" w:eastAsia="Calibri" w:hAnsi="Times New Roman" w:cs="Times New Roman"/>
          <w:sz w:val="24"/>
          <w:szCs w:val="24"/>
        </w:rPr>
      </w:pPr>
      <w:r w:rsidRPr="0039067A">
        <w:rPr>
          <w:rFonts w:ascii="Times New Roman" w:eastAsia="Calibri" w:hAnsi="Times New Roman" w:cs="Times New Roman"/>
          <w:sz w:val="24"/>
          <w:szCs w:val="24"/>
        </w:rPr>
        <w:t>Les clients industriels sont alimentés par les réseaux hauts pression ;</w:t>
      </w:r>
    </w:p>
    <w:p w:rsidR="0039067A" w:rsidRPr="0039067A" w:rsidRDefault="0039067A" w:rsidP="0039067A">
      <w:pPr>
        <w:numPr>
          <w:ilvl w:val="0"/>
          <w:numId w:val="66"/>
        </w:numPr>
        <w:spacing w:before="120" w:beforeAutospacing="0" w:after="120" w:afterAutospacing="0" w:line="276" w:lineRule="auto"/>
        <w:contextualSpacing/>
        <w:jc w:val="both"/>
        <w:rPr>
          <w:rFonts w:ascii="Times New Roman" w:eastAsia="Calibri" w:hAnsi="Times New Roman" w:cs="Times New Roman"/>
          <w:sz w:val="24"/>
          <w:szCs w:val="24"/>
        </w:rPr>
      </w:pPr>
      <w:r w:rsidRPr="0039067A">
        <w:rPr>
          <w:rFonts w:ascii="Times New Roman" w:eastAsia="Calibri" w:hAnsi="Times New Roman" w:cs="Times New Roman"/>
          <w:sz w:val="24"/>
          <w:szCs w:val="24"/>
        </w:rPr>
        <w:t>Les clients industriels de moyenne importance sont alimentés par les réseaux moyenne pression ;</w:t>
      </w:r>
    </w:p>
    <w:p w:rsidR="0039067A" w:rsidRPr="0039067A" w:rsidRDefault="0039067A" w:rsidP="0039067A">
      <w:pPr>
        <w:numPr>
          <w:ilvl w:val="0"/>
          <w:numId w:val="66"/>
        </w:numPr>
        <w:spacing w:before="120" w:beforeAutospacing="0" w:after="120" w:afterAutospacing="0" w:line="276" w:lineRule="auto"/>
        <w:contextualSpacing/>
        <w:jc w:val="both"/>
        <w:rPr>
          <w:rFonts w:ascii="Times New Roman" w:eastAsia="Calibri" w:hAnsi="Times New Roman" w:cs="Times New Roman"/>
          <w:sz w:val="24"/>
          <w:szCs w:val="24"/>
        </w:rPr>
      </w:pPr>
      <w:r w:rsidRPr="0039067A">
        <w:rPr>
          <w:rFonts w:ascii="Times New Roman" w:eastAsia="Calibri" w:hAnsi="Times New Roman" w:cs="Times New Roman"/>
          <w:sz w:val="24"/>
          <w:szCs w:val="24"/>
        </w:rPr>
        <w:t>Les ménages et artisans sont alimentés par les réseaux basse pression.</w:t>
      </w:r>
    </w:p>
    <w:p w:rsidR="0039067A" w:rsidRPr="0039067A" w:rsidRDefault="0039067A" w:rsidP="0039067A">
      <w:pPr>
        <w:keepNext/>
        <w:keepLines/>
        <w:spacing w:before="200" w:beforeAutospacing="0" w:after="0" w:afterAutospacing="0" w:line="276" w:lineRule="auto"/>
        <w:jc w:val="left"/>
        <w:outlineLvl w:val="1"/>
        <w:rPr>
          <w:rFonts w:ascii="Times New Roman" w:eastAsia="Times New Roman" w:hAnsi="Times New Roman" w:cs="Times New Roman"/>
          <w:b/>
          <w:bCs/>
          <w:sz w:val="24"/>
          <w:szCs w:val="26"/>
        </w:rPr>
      </w:pPr>
      <w:r w:rsidRPr="0039067A">
        <w:rPr>
          <w:rFonts w:ascii="Times New Roman" w:eastAsia="Times New Roman" w:hAnsi="Times New Roman" w:cs="Times New Roman"/>
          <w:b/>
          <w:bCs/>
          <w:sz w:val="24"/>
          <w:szCs w:val="26"/>
        </w:rPr>
        <w:t>1.2.2. La constitution du Groupe SONELGAZ</w:t>
      </w:r>
    </w:p>
    <w:p w:rsidR="0039067A" w:rsidRPr="0039067A" w:rsidRDefault="0039067A" w:rsidP="0039067A">
      <w:pPr>
        <w:spacing w:before="0" w:beforeAutospacing="0" w:after="0" w:afterAutospacing="0" w:line="276" w:lineRule="auto"/>
        <w:ind w:firstLine="266"/>
        <w:jc w:val="both"/>
        <w:rPr>
          <w:rFonts w:ascii="Times New Roman" w:eastAsia="Calibri" w:hAnsi="Times New Roman" w:cs="Times New Roman"/>
          <w:sz w:val="8"/>
          <w:szCs w:val="24"/>
        </w:rPr>
      </w:pPr>
    </w:p>
    <w:p w:rsidR="0039067A" w:rsidRPr="0039067A" w:rsidRDefault="0039067A" w:rsidP="0039067A">
      <w:pPr>
        <w:spacing w:before="120" w:beforeAutospacing="0" w:after="120" w:afterAutospacing="0" w:line="276" w:lineRule="auto"/>
        <w:ind w:firstLine="357"/>
        <w:jc w:val="both"/>
        <w:rPr>
          <w:rFonts w:ascii="Times New Roman" w:eastAsia="Calibri" w:hAnsi="Times New Roman" w:cs="Times New Roman"/>
          <w:sz w:val="24"/>
          <w:szCs w:val="24"/>
        </w:rPr>
      </w:pPr>
      <w:r w:rsidRPr="0039067A">
        <w:rPr>
          <w:rFonts w:ascii="Times New Roman" w:eastAsia="Calibri" w:hAnsi="Times New Roman" w:cs="Times New Roman"/>
          <w:sz w:val="24"/>
          <w:szCs w:val="24"/>
        </w:rPr>
        <w:t>SONELGAZ a adapté son organisation aux principes et dispositions de la loi n° 02-01 du 05/02/2002. Elle s’est dotée de nouveaux statuts de Société Par Actions et s’est transformée en un Holding Industriel constitué de sociétés opérationnelles (filiales) et d’une Société Mère. Cette démarche obéit aux principes d’organisation suivants : </w:t>
      </w:r>
    </w:p>
    <w:p w:rsidR="0039067A" w:rsidRPr="0039067A" w:rsidRDefault="0039067A" w:rsidP="0039067A">
      <w:pPr>
        <w:numPr>
          <w:ilvl w:val="1"/>
          <w:numId w:val="70"/>
        </w:numPr>
        <w:tabs>
          <w:tab w:val="num" w:pos="268"/>
        </w:tabs>
        <w:spacing w:before="120" w:beforeAutospacing="0" w:after="120" w:afterAutospacing="0" w:line="276" w:lineRule="auto"/>
        <w:ind w:left="268" w:hanging="240"/>
        <w:jc w:val="both"/>
        <w:rPr>
          <w:rFonts w:ascii="Times New Roman" w:eastAsia="Times New Roman" w:hAnsi="Times New Roman" w:cs="Times New Roman"/>
          <w:sz w:val="24"/>
          <w:szCs w:val="24"/>
          <w:lang w:eastAsia="fr-FR"/>
        </w:rPr>
      </w:pPr>
      <w:r w:rsidRPr="0039067A">
        <w:rPr>
          <w:rFonts w:ascii="Times New Roman" w:eastAsia="Times New Roman" w:hAnsi="Times New Roman" w:cs="Times New Roman"/>
          <w:i/>
          <w:iCs/>
          <w:spacing w:val="15"/>
          <w:sz w:val="24"/>
          <w:szCs w:val="24"/>
          <w:lang w:eastAsia="fr-FR"/>
        </w:rPr>
        <w:t>Maison Mère</w:t>
      </w:r>
      <w:r w:rsidRPr="0039067A">
        <w:rPr>
          <w:rFonts w:ascii="Times New Roman" w:eastAsia="Times New Roman" w:hAnsi="Times New Roman" w:cs="Times New Roman"/>
          <w:sz w:val="24"/>
          <w:szCs w:val="24"/>
          <w:lang w:eastAsia="fr-FR"/>
        </w:rPr>
        <w:t xml:space="preserve"> </w:t>
      </w:r>
    </w:p>
    <w:p w:rsidR="0039067A" w:rsidRPr="0039067A" w:rsidRDefault="0039067A" w:rsidP="0039067A">
      <w:pPr>
        <w:spacing w:before="120" w:beforeAutospacing="0" w:after="120" w:afterAutospacing="0" w:line="276" w:lineRule="auto"/>
        <w:ind w:firstLine="357"/>
        <w:jc w:val="both"/>
        <w:rPr>
          <w:rFonts w:ascii="Times New Roman" w:eastAsia="Calibri" w:hAnsi="Times New Roman" w:cs="Times New Roman"/>
          <w:sz w:val="24"/>
          <w:szCs w:val="24"/>
        </w:rPr>
      </w:pPr>
      <w:r w:rsidRPr="0039067A">
        <w:rPr>
          <w:rFonts w:ascii="Times New Roman" w:eastAsia="Calibri" w:hAnsi="Times New Roman" w:cs="Times New Roman"/>
          <w:sz w:val="24"/>
          <w:szCs w:val="24"/>
        </w:rPr>
        <w:t xml:space="preserve">Les missions principales de cette dernière sont orientées essentiellement vers : </w:t>
      </w:r>
    </w:p>
    <w:p w:rsidR="0039067A" w:rsidRPr="0039067A" w:rsidRDefault="0039067A" w:rsidP="0039067A">
      <w:pPr>
        <w:numPr>
          <w:ilvl w:val="0"/>
          <w:numId w:val="67"/>
        </w:numPr>
        <w:spacing w:before="120" w:beforeAutospacing="0" w:after="120" w:afterAutospacing="0" w:line="276" w:lineRule="auto"/>
        <w:jc w:val="both"/>
        <w:rPr>
          <w:rFonts w:ascii="Times New Roman" w:eastAsia="Times New Roman" w:hAnsi="Times New Roman" w:cs="Times New Roman"/>
          <w:sz w:val="24"/>
          <w:szCs w:val="24"/>
          <w:lang w:eastAsia="fr-FR"/>
        </w:rPr>
      </w:pPr>
      <w:r w:rsidRPr="0039067A">
        <w:rPr>
          <w:rFonts w:ascii="Times New Roman" w:eastAsia="Times New Roman" w:hAnsi="Times New Roman" w:cs="Times New Roman"/>
          <w:sz w:val="24"/>
          <w:szCs w:val="24"/>
          <w:lang w:eastAsia="fr-FR"/>
        </w:rPr>
        <w:t xml:space="preserve">l’élaboration de la stratégie et le pilotage du Groupe </w:t>
      </w:r>
    </w:p>
    <w:p w:rsidR="0039067A" w:rsidRPr="0039067A" w:rsidRDefault="0039067A" w:rsidP="0039067A">
      <w:pPr>
        <w:numPr>
          <w:ilvl w:val="0"/>
          <w:numId w:val="67"/>
        </w:numPr>
        <w:spacing w:before="120" w:beforeAutospacing="0" w:after="120" w:afterAutospacing="0" w:line="276" w:lineRule="auto"/>
        <w:jc w:val="both"/>
        <w:rPr>
          <w:rFonts w:ascii="Times New Roman" w:eastAsia="Times New Roman" w:hAnsi="Times New Roman" w:cs="Times New Roman"/>
          <w:sz w:val="24"/>
          <w:szCs w:val="24"/>
          <w:lang w:eastAsia="fr-FR"/>
        </w:rPr>
      </w:pPr>
      <w:r w:rsidRPr="0039067A">
        <w:rPr>
          <w:rFonts w:ascii="Times New Roman" w:eastAsia="Times New Roman" w:hAnsi="Times New Roman" w:cs="Times New Roman"/>
          <w:sz w:val="24"/>
          <w:szCs w:val="24"/>
          <w:lang w:eastAsia="fr-FR"/>
        </w:rPr>
        <w:t xml:space="preserve">l’exercice du contrôle des filiales </w:t>
      </w:r>
    </w:p>
    <w:p w:rsidR="0039067A" w:rsidRPr="0039067A" w:rsidRDefault="0039067A" w:rsidP="0039067A">
      <w:pPr>
        <w:numPr>
          <w:ilvl w:val="0"/>
          <w:numId w:val="67"/>
        </w:numPr>
        <w:spacing w:before="120" w:beforeAutospacing="0" w:after="120" w:afterAutospacing="0" w:line="276" w:lineRule="auto"/>
        <w:jc w:val="both"/>
        <w:rPr>
          <w:rFonts w:ascii="Times New Roman" w:eastAsia="Times New Roman" w:hAnsi="Times New Roman" w:cs="Times New Roman"/>
          <w:sz w:val="24"/>
          <w:szCs w:val="24"/>
          <w:lang w:eastAsia="fr-FR"/>
        </w:rPr>
      </w:pPr>
      <w:r w:rsidRPr="0039067A">
        <w:rPr>
          <w:rFonts w:ascii="Times New Roman" w:eastAsia="Times New Roman" w:hAnsi="Times New Roman" w:cs="Times New Roman"/>
          <w:sz w:val="24"/>
          <w:szCs w:val="24"/>
          <w:lang w:eastAsia="fr-FR"/>
        </w:rPr>
        <w:t xml:space="preserve">l’élaboration et la mise en œuvre de la politique financière </w:t>
      </w:r>
    </w:p>
    <w:p w:rsidR="0039067A" w:rsidRPr="0039067A" w:rsidRDefault="0039067A" w:rsidP="0039067A">
      <w:pPr>
        <w:numPr>
          <w:ilvl w:val="0"/>
          <w:numId w:val="67"/>
        </w:numPr>
        <w:spacing w:before="120" w:beforeAutospacing="0" w:after="120" w:afterAutospacing="0" w:line="276" w:lineRule="auto"/>
        <w:jc w:val="both"/>
        <w:rPr>
          <w:rFonts w:ascii="Times New Roman" w:eastAsia="Times New Roman" w:hAnsi="Times New Roman" w:cs="Times New Roman"/>
          <w:sz w:val="24"/>
          <w:szCs w:val="24"/>
          <w:lang w:eastAsia="fr-FR"/>
        </w:rPr>
      </w:pPr>
      <w:r w:rsidRPr="0039067A">
        <w:rPr>
          <w:rFonts w:ascii="Times New Roman" w:eastAsia="Times New Roman" w:hAnsi="Times New Roman" w:cs="Times New Roman"/>
          <w:sz w:val="24"/>
          <w:szCs w:val="24"/>
          <w:lang w:eastAsia="fr-FR"/>
        </w:rPr>
        <w:t>la définition de la politique de rémunération et du développement de la ressource humaine du Groupe.</w:t>
      </w:r>
    </w:p>
    <w:p w:rsidR="0039067A" w:rsidRPr="0039067A" w:rsidRDefault="0039067A" w:rsidP="0039067A">
      <w:pPr>
        <w:numPr>
          <w:ilvl w:val="1"/>
          <w:numId w:val="70"/>
        </w:numPr>
        <w:tabs>
          <w:tab w:val="num" w:pos="268"/>
        </w:tabs>
        <w:spacing w:before="120" w:beforeAutospacing="0" w:after="120" w:afterAutospacing="0" w:line="276" w:lineRule="auto"/>
        <w:ind w:left="268" w:hanging="240"/>
        <w:jc w:val="both"/>
        <w:rPr>
          <w:rFonts w:ascii="Times New Roman" w:eastAsia="Times New Roman" w:hAnsi="Times New Roman" w:cs="Times New Roman"/>
          <w:sz w:val="24"/>
          <w:szCs w:val="24"/>
          <w:lang w:eastAsia="fr-FR"/>
        </w:rPr>
      </w:pPr>
      <w:r w:rsidRPr="0039067A">
        <w:rPr>
          <w:rFonts w:ascii="Times New Roman" w:eastAsia="Times New Roman" w:hAnsi="Times New Roman" w:cs="Times New Roman"/>
          <w:i/>
          <w:iCs/>
          <w:spacing w:val="15"/>
          <w:sz w:val="24"/>
          <w:szCs w:val="24"/>
          <w:lang w:eastAsia="fr-FR"/>
        </w:rPr>
        <w:t>Filiales Métiers de base</w:t>
      </w:r>
    </w:p>
    <w:p w:rsidR="0039067A" w:rsidRPr="0039067A" w:rsidRDefault="0039067A" w:rsidP="0039067A">
      <w:pPr>
        <w:spacing w:before="120" w:beforeAutospacing="0" w:after="120" w:afterAutospacing="0" w:line="276" w:lineRule="auto"/>
        <w:ind w:firstLine="357"/>
        <w:jc w:val="both"/>
        <w:rPr>
          <w:rFonts w:ascii="Times New Roman" w:eastAsia="Calibri" w:hAnsi="Times New Roman" w:cs="Times New Roman"/>
          <w:sz w:val="24"/>
          <w:szCs w:val="24"/>
        </w:rPr>
      </w:pPr>
      <w:r w:rsidRPr="0039067A">
        <w:rPr>
          <w:rFonts w:ascii="Times New Roman" w:eastAsia="Calibri" w:hAnsi="Times New Roman" w:cs="Times New Roman"/>
          <w:b/>
          <w:bCs/>
          <w:sz w:val="24"/>
          <w:szCs w:val="24"/>
        </w:rPr>
        <w:t xml:space="preserve"> </w:t>
      </w:r>
      <w:r w:rsidRPr="0039067A">
        <w:rPr>
          <w:rFonts w:ascii="Times New Roman" w:eastAsia="Calibri" w:hAnsi="Times New Roman" w:cs="Times New Roman"/>
          <w:sz w:val="24"/>
          <w:szCs w:val="24"/>
        </w:rPr>
        <w:t xml:space="preserve">Durant ces cinq dernières années, les métiers de base de SONELGAZ ont été érigés en filiales. Au nombre de huit, ces dernières activent dans les domaines suivants : </w:t>
      </w:r>
    </w:p>
    <w:p w:rsidR="0039067A" w:rsidRPr="0039067A" w:rsidRDefault="0039067A" w:rsidP="0039067A">
      <w:pPr>
        <w:numPr>
          <w:ilvl w:val="0"/>
          <w:numId w:val="68"/>
        </w:numPr>
        <w:spacing w:before="120" w:beforeAutospacing="0" w:after="120" w:afterAutospacing="0" w:line="276" w:lineRule="auto"/>
        <w:jc w:val="both"/>
        <w:rPr>
          <w:rFonts w:ascii="Times New Roman" w:eastAsia="Times New Roman" w:hAnsi="Times New Roman" w:cs="Times New Roman"/>
          <w:sz w:val="24"/>
          <w:szCs w:val="24"/>
          <w:lang w:eastAsia="fr-FR"/>
        </w:rPr>
      </w:pPr>
      <w:r w:rsidRPr="0039067A">
        <w:rPr>
          <w:rFonts w:ascii="Times New Roman" w:eastAsia="Times New Roman" w:hAnsi="Times New Roman" w:cs="Times New Roman"/>
          <w:sz w:val="24"/>
          <w:szCs w:val="24"/>
          <w:lang w:eastAsia="fr-FR"/>
        </w:rPr>
        <w:t xml:space="preserve">La production de l’électricité </w:t>
      </w:r>
    </w:p>
    <w:p w:rsidR="0039067A" w:rsidRPr="0039067A" w:rsidRDefault="0039067A" w:rsidP="0039067A">
      <w:pPr>
        <w:numPr>
          <w:ilvl w:val="0"/>
          <w:numId w:val="68"/>
        </w:numPr>
        <w:spacing w:before="120" w:beforeAutospacing="0" w:after="120" w:afterAutospacing="0" w:line="276" w:lineRule="auto"/>
        <w:jc w:val="both"/>
        <w:rPr>
          <w:rFonts w:ascii="Times New Roman" w:eastAsia="Times New Roman" w:hAnsi="Times New Roman" w:cs="Times New Roman"/>
          <w:sz w:val="24"/>
          <w:szCs w:val="24"/>
          <w:lang w:eastAsia="fr-FR"/>
        </w:rPr>
      </w:pPr>
      <w:r w:rsidRPr="0039067A">
        <w:rPr>
          <w:rFonts w:ascii="Times New Roman" w:eastAsia="Times New Roman" w:hAnsi="Times New Roman" w:cs="Times New Roman"/>
          <w:sz w:val="24"/>
          <w:szCs w:val="24"/>
          <w:lang w:eastAsia="fr-FR"/>
        </w:rPr>
        <w:t>La gestion du réseau de transport de l’électricité</w:t>
      </w:r>
    </w:p>
    <w:p w:rsidR="0039067A" w:rsidRPr="0039067A" w:rsidRDefault="0039067A" w:rsidP="0039067A">
      <w:pPr>
        <w:numPr>
          <w:ilvl w:val="0"/>
          <w:numId w:val="68"/>
        </w:numPr>
        <w:spacing w:before="120" w:beforeAutospacing="0" w:after="120" w:afterAutospacing="0" w:line="276" w:lineRule="auto"/>
        <w:jc w:val="both"/>
        <w:rPr>
          <w:rFonts w:ascii="Times New Roman" w:eastAsia="Times New Roman" w:hAnsi="Times New Roman" w:cs="Times New Roman"/>
          <w:sz w:val="24"/>
          <w:szCs w:val="24"/>
          <w:lang w:eastAsia="fr-FR"/>
        </w:rPr>
      </w:pPr>
      <w:r w:rsidRPr="0039067A">
        <w:rPr>
          <w:rFonts w:ascii="Times New Roman" w:eastAsia="Times New Roman" w:hAnsi="Times New Roman" w:cs="Times New Roman"/>
          <w:sz w:val="24"/>
          <w:szCs w:val="24"/>
          <w:lang w:eastAsia="fr-FR"/>
        </w:rPr>
        <w:t>La gestion du système production / transport de l’électricité</w:t>
      </w:r>
    </w:p>
    <w:p w:rsidR="0039067A" w:rsidRPr="0039067A" w:rsidRDefault="0039067A" w:rsidP="0039067A">
      <w:pPr>
        <w:numPr>
          <w:ilvl w:val="0"/>
          <w:numId w:val="68"/>
        </w:numPr>
        <w:spacing w:before="120" w:beforeAutospacing="0" w:after="120" w:afterAutospacing="0" w:line="276" w:lineRule="auto"/>
        <w:jc w:val="both"/>
        <w:rPr>
          <w:rFonts w:ascii="Times New Roman" w:eastAsia="Times New Roman" w:hAnsi="Times New Roman" w:cs="Times New Roman"/>
          <w:sz w:val="24"/>
          <w:szCs w:val="24"/>
          <w:lang w:eastAsia="fr-FR"/>
        </w:rPr>
      </w:pPr>
      <w:r w:rsidRPr="0039067A">
        <w:rPr>
          <w:rFonts w:ascii="Times New Roman" w:eastAsia="Times New Roman" w:hAnsi="Times New Roman" w:cs="Times New Roman"/>
          <w:sz w:val="24"/>
          <w:szCs w:val="24"/>
          <w:lang w:eastAsia="fr-FR"/>
        </w:rPr>
        <w:t>La gestion du réseau de transport du gaz</w:t>
      </w:r>
    </w:p>
    <w:p w:rsidR="0039067A" w:rsidRPr="0039067A" w:rsidRDefault="0039067A" w:rsidP="0039067A">
      <w:pPr>
        <w:numPr>
          <w:ilvl w:val="0"/>
          <w:numId w:val="68"/>
        </w:numPr>
        <w:spacing w:before="120" w:beforeAutospacing="0" w:after="120" w:afterAutospacing="0" w:line="276" w:lineRule="auto"/>
        <w:jc w:val="both"/>
        <w:rPr>
          <w:rFonts w:ascii="Times New Roman" w:eastAsia="Times New Roman" w:hAnsi="Times New Roman" w:cs="Times New Roman"/>
          <w:sz w:val="24"/>
          <w:szCs w:val="24"/>
          <w:lang w:eastAsia="fr-FR"/>
        </w:rPr>
      </w:pPr>
      <w:r w:rsidRPr="0039067A">
        <w:rPr>
          <w:rFonts w:ascii="Times New Roman" w:eastAsia="Times New Roman" w:hAnsi="Times New Roman" w:cs="Times New Roman"/>
          <w:sz w:val="24"/>
          <w:szCs w:val="24"/>
          <w:lang w:eastAsia="fr-FR"/>
        </w:rPr>
        <w:t>La distribution de l’électricité et du gaz (quatre sociétés)</w:t>
      </w:r>
    </w:p>
    <w:p w:rsidR="0039067A" w:rsidRPr="0039067A" w:rsidRDefault="0039067A" w:rsidP="0039067A">
      <w:pPr>
        <w:numPr>
          <w:ilvl w:val="1"/>
          <w:numId w:val="70"/>
        </w:numPr>
        <w:tabs>
          <w:tab w:val="num" w:pos="268"/>
        </w:tabs>
        <w:spacing w:before="120" w:beforeAutospacing="0" w:after="120" w:afterAutospacing="0" w:line="276" w:lineRule="auto"/>
        <w:ind w:left="0" w:firstLine="28"/>
        <w:jc w:val="both"/>
        <w:rPr>
          <w:rFonts w:ascii="Times New Roman" w:eastAsia="Times New Roman" w:hAnsi="Times New Roman" w:cs="Times New Roman"/>
          <w:bCs/>
          <w:i/>
          <w:iCs/>
          <w:color w:val="4F81BD"/>
          <w:spacing w:val="15"/>
          <w:sz w:val="24"/>
          <w:szCs w:val="24"/>
          <w:lang w:eastAsia="fr-FR"/>
        </w:rPr>
      </w:pPr>
      <w:r w:rsidRPr="0039067A">
        <w:rPr>
          <w:rFonts w:ascii="Times New Roman" w:eastAsia="Times New Roman" w:hAnsi="Times New Roman" w:cs="Times New Roman"/>
          <w:i/>
          <w:iCs/>
          <w:spacing w:val="15"/>
          <w:sz w:val="24"/>
          <w:szCs w:val="24"/>
          <w:lang w:eastAsia="fr-FR"/>
        </w:rPr>
        <w:t>Filiales Travaux</w:t>
      </w:r>
      <w:r w:rsidRPr="0039067A">
        <w:rPr>
          <w:rFonts w:ascii="Times New Roman" w:eastAsia="Times New Roman" w:hAnsi="Times New Roman" w:cs="Times New Roman"/>
          <w:b/>
          <w:bCs/>
          <w:sz w:val="24"/>
          <w:szCs w:val="24"/>
          <w:lang w:eastAsia="fr-FR"/>
        </w:rPr>
        <w:t xml:space="preserve">  </w:t>
      </w:r>
    </w:p>
    <w:p w:rsidR="0039067A" w:rsidRPr="0039067A" w:rsidRDefault="0039067A" w:rsidP="0039067A">
      <w:pPr>
        <w:spacing w:before="120" w:beforeAutospacing="0" w:after="120" w:afterAutospacing="0" w:line="276" w:lineRule="auto"/>
        <w:ind w:firstLine="357"/>
        <w:jc w:val="both"/>
        <w:rPr>
          <w:rFonts w:ascii="Calibri" w:eastAsia="Times New Roman" w:hAnsi="Calibri" w:cs="Arial"/>
          <w:bCs/>
          <w:i/>
          <w:iCs/>
          <w:color w:val="4F81BD"/>
          <w:spacing w:val="15"/>
        </w:rPr>
      </w:pPr>
      <w:r w:rsidRPr="0039067A">
        <w:rPr>
          <w:rFonts w:ascii="Times New Roman" w:eastAsia="Calibri" w:hAnsi="Times New Roman" w:cs="Times New Roman"/>
          <w:sz w:val="24"/>
          <w:szCs w:val="24"/>
        </w:rPr>
        <w:t xml:space="preserve">Pour mettre en œuvre la politique énergétique du pays, SONELGAZ a </w:t>
      </w:r>
      <w:proofErr w:type="spellStart"/>
      <w:r w:rsidRPr="0039067A">
        <w:rPr>
          <w:rFonts w:ascii="Times New Roman" w:eastAsia="Calibri" w:hAnsi="Times New Roman" w:cs="Times New Roman"/>
          <w:sz w:val="24"/>
          <w:szCs w:val="24"/>
        </w:rPr>
        <w:t>du</w:t>
      </w:r>
      <w:proofErr w:type="spellEnd"/>
      <w:r w:rsidRPr="0039067A">
        <w:rPr>
          <w:rFonts w:ascii="Times New Roman" w:eastAsia="Calibri" w:hAnsi="Times New Roman" w:cs="Times New Roman"/>
          <w:sz w:val="24"/>
          <w:szCs w:val="24"/>
        </w:rPr>
        <w:t xml:space="preserve"> développer dans les années 70 des moyens de réalisation en adéquation avec les objectifs de développement des infrastructures et des réseaux visés. Aussi, elle s’est dotée de structures de réalisation appropriées, intégrées dans l’entreprise. </w:t>
      </w:r>
    </w:p>
    <w:p w:rsidR="00550D4B" w:rsidRDefault="00550D4B" w:rsidP="0039067A">
      <w:pPr>
        <w:spacing w:before="120" w:beforeAutospacing="0" w:after="120" w:afterAutospacing="0" w:line="276" w:lineRule="auto"/>
        <w:ind w:firstLine="357"/>
        <w:jc w:val="both"/>
        <w:rPr>
          <w:rFonts w:ascii="Times New Roman" w:eastAsia="Calibri" w:hAnsi="Times New Roman" w:cs="Times New Roman"/>
          <w:sz w:val="24"/>
          <w:szCs w:val="24"/>
        </w:rPr>
        <w:sectPr w:rsidR="00550D4B" w:rsidSect="00550D4B">
          <w:pgSz w:w="11906" w:h="16838"/>
          <w:pgMar w:top="1418" w:right="1418" w:bottom="1418" w:left="1418" w:header="709" w:footer="709" w:gutter="567"/>
          <w:cols w:space="708"/>
          <w:titlePg/>
          <w:docGrid w:linePitch="360"/>
        </w:sectPr>
      </w:pPr>
    </w:p>
    <w:p w:rsidR="0039067A" w:rsidRPr="0039067A" w:rsidRDefault="0039067A" w:rsidP="0039067A">
      <w:pPr>
        <w:spacing w:before="120" w:beforeAutospacing="0" w:after="120" w:afterAutospacing="0" w:line="276" w:lineRule="auto"/>
        <w:ind w:firstLine="357"/>
        <w:jc w:val="both"/>
        <w:rPr>
          <w:rFonts w:ascii="Times New Roman" w:eastAsia="Times New Roman" w:hAnsi="Times New Roman" w:cs="Times New Roman"/>
          <w:bCs/>
          <w:i/>
          <w:iCs/>
          <w:color w:val="4F81BD"/>
          <w:spacing w:val="15"/>
          <w:sz w:val="24"/>
          <w:szCs w:val="24"/>
        </w:rPr>
      </w:pPr>
      <w:r w:rsidRPr="0039067A">
        <w:rPr>
          <w:rFonts w:ascii="Times New Roman" w:eastAsia="Calibri" w:hAnsi="Times New Roman" w:cs="Times New Roman"/>
          <w:sz w:val="24"/>
          <w:szCs w:val="24"/>
        </w:rPr>
        <w:lastRenderedPageBreak/>
        <w:t xml:space="preserve">Celles-ci se sont rapidement développées pour devenir des entités de travaux très importantes avec des activités très différentiées des autres structures de SONELGAZ. Elles ont fini par se transformer en entreprises autonomes à la faveur de la restructuration de SONELGAZ en 1983. Ces entreprises de réalisation ont été réintégrées, depuis janvier 2006, au sein de SONELGAZ dans le cadre de la restructuration de la SONELGAZ en un groupe de sociétés.  </w:t>
      </w:r>
    </w:p>
    <w:p w:rsidR="0039067A" w:rsidRPr="0039067A" w:rsidRDefault="0039067A" w:rsidP="0039067A">
      <w:pPr>
        <w:numPr>
          <w:ilvl w:val="1"/>
          <w:numId w:val="70"/>
        </w:numPr>
        <w:tabs>
          <w:tab w:val="num" w:pos="268"/>
        </w:tabs>
        <w:spacing w:before="120" w:beforeAutospacing="0" w:after="120" w:afterAutospacing="0" w:line="276" w:lineRule="auto"/>
        <w:ind w:left="0" w:firstLine="28"/>
        <w:jc w:val="both"/>
        <w:rPr>
          <w:rFonts w:ascii="Times New Roman" w:eastAsia="Times New Roman" w:hAnsi="Times New Roman" w:cs="Times New Roman"/>
          <w:bCs/>
          <w:i/>
          <w:iCs/>
          <w:color w:val="4F81BD"/>
          <w:spacing w:val="15"/>
          <w:sz w:val="24"/>
          <w:szCs w:val="24"/>
          <w:lang w:eastAsia="fr-FR"/>
        </w:rPr>
      </w:pPr>
      <w:r w:rsidRPr="0039067A">
        <w:rPr>
          <w:rFonts w:ascii="Times New Roman" w:eastAsia="Times New Roman" w:hAnsi="Times New Roman" w:cs="Times New Roman"/>
          <w:bCs/>
          <w:i/>
          <w:iCs/>
          <w:spacing w:val="15"/>
          <w:sz w:val="24"/>
          <w:szCs w:val="24"/>
          <w:lang w:eastAsia="fr-FR"/>
        </w:rPr>
        <w:t>Filiales périphériques</w:t>
      </w:r>
    </w:p>
    <w:p w:rsidR="0039067A" w:rsidRPr="0039067A" w:rsidRDefault="0039067A" w:rsidP="0039067A">
      <w:pPr>
        <w:spacing w:before="120" w:beforeAutospacing="0" w:after="120" w:afterAutospacing="0" w:line="276" w:lineRule="auto"/>
        <w:ind w:firstLine="357"/>
        <w:jc w:val="both"/>
        <w:rPr>
          <w:rFonts w:ascii="Times New Roman" w:eastAsia="Times New Roman" w:hAnsi="Times New Roman" w:cs="Times New Roman"/>
          <w:bCs/>
          <w:i/>
          <w:iCs/>
          <w:color w:val="4F81BD"/>
          <w:spacing w:val="15"/>
          <w:sz w:val="24"/>
          <w:szCs w:val="24"/>
        </w:rPr>
      </w:pPr>
      <w:r w:rsidRPr="0039067A">
        <w:rPr>
          <w:rFonts w:ascii="Times New Roman" w:eastAsia="Calibri" w:hAnsi="Times New Roman" w:cs="Times New Roman"/>
          <w:sz w:val="24"/>
          <w:szCs w:val="24"/>
        </w:rPr>
        <w:t>Afin d’avoir une meilleurs maîtrise de ses métiers de base, SONELGAZ a externalisé ses activités périphériques et les a confié à des filiales dont elle détient entièrement le capital. Elles activent, notamment, dans le transport et la manutention exceptionnels, la distribution de matériels électriques et gaziers, la recherche et développement, la formation ainsi que la réalisation de tous travaux liés à l’édition, la prestation et maintenance véhicules, et d’autres activités diverses.</w:t>
      </w:r>
    </w:p>
    <w:p w:rsidR="0039067A" w:rsidRPr="0039067A" w:rsidRDefault="0039067A" w:rsidP="0039067A">
      <w:pPr>
        <w:numPr>
          <w:ilvl w:val="0"/>
          <w:numId w:val="69"/>
        </w:numPr>
        <w:tabs>
          <w:tab w:val="num" w:pos="268"/>
        </w:tabs>
        <w:spacing w:before="120" w:beforeAutospacing="0" w:after="120" w:afterAutospacing="0" w:line="276" w:lineRule="auto"/>
        <w:jc w:val="both"/>
        <w:rPr>
          <w:rFonts w:ascii="Times New Roman" w:eastAsia="Times New Roman" w:hAnsi="Times New Roman" w:cs="Times New Roman"/>
          <w:sz w:val="24"/>
          <w:szCs w:val="24"/>
          <w:lang w:eastAsia="fr-FR"/>
        </w:rPr>
      </w:pPr>
      <w:r w:rsidRPr="0039067A">
        <w:rPr>
          <w:rFonts w:ascii="Times New Roman" w:eastAsia="Times New Roman" w:hAnsi="Times New Roman" w:cs="Times New Roman"/>
          <w:bCs/>
          <w:i/>
          <w:iCs/>
          <w:spacing w:val="15"/>
          <w:sz w:val="24"/>
          <w:szCs w:val="24"/>
          <w:lang w:eastAsia="fr-FR"/>
        </w:rPr>
        <w:t>Les prises de Participation </w:t>
      </w:r>
    </w:p>
    <w:p w:rsidR="0039067A" w:rsidRPr="0039067A" w:rsidRDefault="0039067A" w:rsidP="0039067A">
      <w:pPr>
        <w:spacing w:before="120" w:beforeAutospacing="0" w:after="120" w:afterAutospacing="0" w:line="276" w:lineRule="auto"/>
        <w:ind w:firstLine="357"/>
        <w:jc w:val="both"/>
        <w:rPr>
          <w:rFonts w:ascii="Times New Roman" w:eastAsia="Calibri" w:hAnsi="Times New Roman" w:cs="Times New Roman"/>
          <w:sz w:val="24"/>
          <w:szCs w:val="24"/>
        </w:rPr>
      </w:pPr>
      <w:r w:rsidRPr="0039067A">
        <w:rPr>
          <w:rFonts w:ascii="Times New Roman" w:eastAsia="Calibri" w:hAnsi="Times New Roman" w:cs="Times New Roman"/>
          <w:sz w:val="24"/>
          <w:szCs w:val="24"/>
        </w:rPr>
        <w:t xml:space="preserve">La participation de SONELGAZ dans diverses sociétés mixtes constitue un élément majeur dans sa stratégie de diversification et de partenariat. Ainsi elle s’est investie dans des domaines clés à haute valeur technologique tels que les télécommunications ou la maintenance de turbines à gaz. Elle a également investie dans d’autres projets tels que les IPP, qui sont des sociétés créées en partenariat entre SONELGAZ et d’autres sociétés (nationales ou étrangères) pour la réalisation et l’exploitation d’une centrale électrique. Parmi ces IPP on peut citer les projets </w:t>
      </w:r>
      <w:proofErr w:type="spellStart"/>
      <w:r w:rsidRPr="0039067A">
        <w:rPr>
          <w:rFonts w:ascii="Times New Roman" w:eastAsia="Calibri" w:hAnsi="Times New Roman" w:cs="Times New Roman"/>
          <w:sz w:val="24"/>
          <w:szCs w:val="24"/>
        </w:rPr>
        <w:t>Hadjret</w:t>
      </w:r>
      <w:proofErr w:type="spellEnd"/>
      <w:r w:rsidRPr="0039067A">
        <w:rPr>
          <w:rFonts w:ascii="Times New Roman" w:eastAsia="Calibri" w:hAnsi="Times New Roman" w:cs="Times New Roman"/>
          <w:sz w:val="24"/>
          <w:szCs w:val="24"/>
        </w:rPr>
        <w:t xml:space="preserve"> </w:t>
      </w:r>
      <w:proofErr w:type="spellStart"/>
      <w:r w:rsidRPr="0039067A">
        <w:rPr>
          <w:rFonts w:ascii="Times New Roman" w:eastAsia="Calibri" w:hAnsi="Times New Roman" w:cs="Times New Roman"/>
          <w:sz w:val="24"/>
          <w:szCs w:val="24"/>
        </w:rPr>
        <w:t>Ennous</w:t>
      </w:r>
      <w:proofErr w:type="spellEnd"/>
      <w:r w:rsidRPr="0039067A">
        <w:rPr>
          <w:rFonts w:ascii="Times New Roman" w:eastAsia="Calibri" w:hAnsi="Times New Roman" w:cs="Times New Roman"/>
          <w:sz w:val="24"/>
          <w:szCs w:val="24"/>
        </w:rPr>
        <w:t xml:space="preserve"> SKH, </w:t>
      </w:r>
      <w:proofErr w:type="spellStart"/>
      <w:r w:rsidRPr="0039067A">
        <w:rPr>
          <w:rFonts w:ascii="Times New Roman" w:eastAsia="Calibri" w:hAnsi="Times New Roman" w:cs="Times New Roman"/>
          <w:sz w:val="24"/>
          <w:szCs w:val="24"/>
        </w:rPr>
        <w:t>Koudiet</w:t>
      </w:r>
      <w:proofErr w:type="spellEnd"/>
      <w:r w:rsidRPr="0039067A">
        <w:rPr>
          <w:rFonts w:ascii="Times New Roman" w:eastAsia="Calibri" w:hAnsi="Times New Roman" w:cs="Times New Roman"/>
          <w:sz w:val="24"/>
          <w:szCs w:val="24"/>
        </w:rPr>
        <w:t xml:space="preserve"> </w:t>
      </w:r>
      <w:proofErr w:type="spellStart"/>
      <w:r w:rsidRPr="0039067A">
        <w:rPr>
          <w:rFonts w:ascii="Times New Roman" w:eastAsia="Calibri" w:hAnsi="Times New Roman" w:cs="Times New Roman"/>
          <w:sz w:val="24"/>
          <w:szCs w:val="24"/>
        </w:rPr>
        <w:t>Eddraouch</w:t>
      </w:r>
      <w:proofErr w:type="spellEnd"/>
      <w:r w:rsidRPr="0039067A">
        <w:rPr>
          <w:rFonts w:ascii="Times New Roman" w:eastAsia="Calibri" w:hAnsi="Times New Roman" w:cs="Times New Roman"/>
          <w:sz w:val="24"/>
          <w:szCs w:val="24"/>
        </w:rPr>
        <w:t xml:space="preserve"> SKD </w:t>
      </w:r>
      <w:proofErr w:type="spellStart"/>
      <w:r w:rsidRPr="0039067A">
        <w:rPr>
          <w:rFonts w:ascii="Times New Roman" w:eastAsia="Calibri" w:hAnsi="Times New Roman" w:cs="Times New Roman"/>
          <w:sz w:val="24"/>
          <w:szCs w:val="24"/>
        </w:rPr>
        <w:t>Terga</w:t>
      </w:r>
      <w:proofErr w:type="spellEnd"/>
      <w:r w:rsidRPr="0039067A">
        <w:rPr>
          <w:rFonts w:ascii="Times New Roman" w:eastAsia="Calibri" w:hAnsi="Times New Roman" w:cs="Times New Roman"/>
          <w:sz w:val="24"/>
          <w:szCs w:val="24"/>
        </w:rPr>
        <w:t xml:space="preserve"> SKT. </w:t>
      </w:r>
    </w:p>
    <w:p w:rsidR="0039067A" w:rsidRPr="0039067A" w:rsidRDefault="0039067A" w:rsidP="0039067A">
      <w:pPr>
        <w:spacing w:before="120" w:beforeAutospacing="0" w:after="120" w:afterAutospacing="0" w:line="276" w:lineRule="auto"/>
        <w:ind w:firstLine="357"/>
        <w:jc w:val="both"/>
        <w:rPr>
          <w:rFonts w:ascii="Times New Roman" w:eastAsia="Calibri" w:hAnsi="Times New Roman" w:cs="Times New Roman"/>
          <w:b/>
          <w:sz w:val="24"/>
          <w:szCs w:val="24"/>
        </w:rPr>
      </w:pPr>
      <w:r w:rsidRPr="0039067A">
        <w:rPr>
          <w:rFonts w:ascii="Times New Roman" w:eastAsia="Calibri" w:hAnsi="Times New Roman" w:cs="Times New Roman"/>
          <w:sz w:val="24"/>
          <w:szCs w:val="24"/>
        </w:rPr>
        <w:t>Et pour assurer une bonne gouvernance, le Groupe est doté des organes sociaux prévus par ses statuts (Assemblée Générale et Conseil d’Administration) et d’organes de management et de pilotage constitués</w:t>
      </w:r>
      <w:r w:rsidRPr="0039067A">
        <w:rPr>
          <w:rFonts w:ascii="Times New Roman" w:eastAsia="Calibri" w:hAnsi="Times New Roman" w:cs="Times New Roman"/>
          <w:b/>
          <w:sz w:val="24"/>
          <w:szCs w:val="24"/>
        </w:rPr>
        <w:t> :</w:t>
      </w:r>
    </w:p>
    <w:p w:rsidR="0039067A" w:rsidRPr="0039067A" w:rsidRDefault="0039067A" w:rsidP="0039067A">
      <w:pPr>
        <w:numPr>
          <w:ilvl w:val="0"/>
          <w:numId w:val="66"/>
        </w:numPr>
        <w:spacing w:before="120" w:beforeAutospacing="0" w:after="120" w:afterAutospacing="0" w:line="276" w:lineRule="auto"/>
        <w:contextualSpacing/>
        <w:jc w:val="both"/>
        <w:rPr>
          <w:rFonts w:ascii="Times New Roman" w:eastAsia="Calibri" w:hAnsi="Times New Roman" w:cs="Times New Roman"/>
          <w:sz w:val="24"/>
          <w:szCs w:val="24"/>
        </w:rPr>
      </w:pPr>
      <w:r w:rsidRPr="0039067A">
        <w:rPr>
          <w:rFonts w:ascii="Times New Roman" w:eastAsia="Calibri" w:hAnsi="Times New Roman" w:cs="Times New Roman"/>
          <w:sz w:val="24"/>
          <w:szCs w:val="24"/>
        </w:rPr>
        <w:t xml:space="preserve">Du Comité Exécutif, </w:t>
      </w:r>
    </w:p>
    <w:p w:rsidR="0039067A" w:rsidRPr="0039067A" w:rsidRDefault="0039067A" w:rsidP="0039067A">
      <w:pPr>
        <w:numPr>
          <w:ilvl w:val="0"/>
          <w:numId w:val="66"/>
        </w:numPr>
        <w:spacing w:before="120" w:beforeAutospacing="0" w:after="120" w:afterAutospacing="0" w:line="276" w:lineRule="auto"/>
        <w:contextualSpacing/>
        <w:jc w:val="both"/>
        <w:rPr>
          <w:rFonts w:ascii="Times New Roman" w:eastAsia="Calibri" w:hAnsi="Times New Roman" w:cs="Times New Roman"/>
          <w:sz w:val="24"/>
          <w:szCs w:val="24"/>
        </w:rPr>
      </w:pPr>
      <w:r w:rsidRPr="0039067A">
        <w:rPr>
          <w:rFonts w:ascii="Times New Roman" w:eastAsia="Calibri" w:hAnsi="Times New Roman" w:cs="Times New Roman"/>
          <w:sz w:val="24"/>
          <w:szCs w:val="24"/>
        </w:rPr>
        <w:t xml:space="preserve">Du Comité de Coordination Groupe, </w:t>
      </w:r>
    </w:p>
    <w:p w:rsidR="0039067A" w:rsidRPr="0039067A" w:rsidRDefault="0039067A" w:rsidP="0039067A">
      <w:pPr>
        <w:numPr>
          <w:ilvl w:val="0"/>
          <w:numId w:val="66"/>
        </w:numPr>
        <w:spacing w:before="120" w:beforeAutospacing="0" w:after="120" w:afterAutospacing="0" w:line="276" w:lineRule="auto"/>
        <w:contextualSpacing/>
        <w:jc w:val="both"/>
        <w:rPr>
          <w:rFonts w:ascii="Times New Roman" w:eastAsia="Calibri" w:hAnsi="Times New Roman" w:cs="Times New Roman"/>
          <w:sz w:val="24"/>
          <w:szCs w:val="24"/>
        </w:rPr>
      </w:pPr>
      <w:r w:rsidRPr="0039067A">
        <w:rPr>
          <w:rFonts w:ascii="Times New Roman" w:eastAsia="Calibri" w:hAnsi="Times New Roman" w:cs="Times New Roman"/>
          <w:sz w:val="24"/>
          <w:szCs w:val="24"/>
        </w:rPr>
        <w:t xml:space="preserve">Des Comités de Groupe (de décision et ou de concertation) spécialisés (au nombre de huit). </w:t>
      </w:r>
    </w:p>
    <w:p w:rsidR="0039067A" w:rsidRPr="0039067A" w:rsidRDefault="0039067A" w:rsidP="0039067A">
      <w:pPr>
        <w:keepNext/>
        <w:keepLines/>
        <w:spacing w:before="200" w:beforeAutospacing="0" w:after="0" w:afterAutospacing="0" w:line="276" w:lineRule="auto"/>
        <w:jc w:val="left"/>
        <w:outlineLvl w:val="1"/>
        <w:rPr>
          <w:rFonts w:ascii="Times New Roman" w:eastAsia="Times New Roman" w:hAnsi="Times New Roman" w:cs="Times New Roman"/>
          <w:b/>
          <w:bCs/>
          <w:sz w:val="24"/>
          <w:szCs w:val="26"/>
        </w:rPr>
      </w:pPr>
      <w:r w:rsidRPr="0039067A">
        <w:rPr>
          <w:rFonts w:ascii="Times New Roman" w:eastAsia="Times New Roman" w:hAnsi="Times New Roman" w:cs="Times New Roman"/>
          <w:b/>
          <w:bCs/>
          <w:sz w:val="24"/>
          <w:szCs w:val="26"/>
        </w:rPr>
        <w:t xml:space="preserve">1.2.3. La macro Structure du Groupe </w:t>
      </w:r>
      <w:proofErr w:type="spellStart"/>
      <w:r w:rsidRPr="0039067A">
        <w:rPr>
          <w:rFonts w:ascii="Times New Roman" w:eastAsia="Times New Roman" w:hAnsi="Times New Roman" w:cs="Times New Roman"/>
          <w:b/>
          <w:bCs/>
          <w:sz w:val="24"/>
          <w:szCs w:val="26"/>
        </w:rPr>
        <w:t>Sonelgaz</w:t>
      </w:r>
      <w:proofErr w:type="spellEnd"/>
    </w:p>
    <w:p w:rsidR="0039067A" w:rsidRPr="0039067A" w:rsidRDefault="0039067A" w:rsidP="0039067A">
      <w:pPr>
        <w:spacing w:before="120" w:beforeAutospacing="0" w:after="120" w:afterAutospacing="0" w:line="276" w:lineRule="auto"/>
        <w:ind w:firstLine="357"/>
        <w:jc w:val="both"/>
        <w:rPr>
          <w:rFonts w:ascii="Times New Roman" w:eastAsia="Calibri" w:hAnsi="Times New Roman" w:cs="Times New Roman"/>
          <w:sz w:val="24"/>
          <w:szCs w:val="24"/>
        </w:rPr>
      </w:pPr>
      <w:r w:rsidRPr="0039067A">
        <w:rPr>
          <w:rFonts w:ascii="Times New Roman" w:eastAsia="Calibri" w:hAnsi="Times New Roman" w:cs="Times New Roman"/>
          <w:sz w:val="24"/>
          <w:szCs w:val="24"/>
        </w:rPr>
        <w:t>L’organisation</w:t>
      </w:r>
      <w:r w:rsidRPr="0039067A">
        <w:rPr>
          <w:rFonts w:ascii="Calibri" w:eastAsia="Calibri" w:hAnsi="Calibri" w:cs="Arial"/>
        </w:rPr>
        <w:t xml:space="preserve"> </w:t>
      </w:r>
      <w:r w:rsidRPr="0039067A">
        <w:rPr>
          <w:rFonts w:ascii="Times New Roman" w:eastAsia="Calibri" w:hAnsi="Times New Roman" w:cs="Times New Roman"/>
          <w:sz w:val="24"/>
          <w:szCs w:val="24"/>
        </w:rPr>
        <w:t xml:space="preserve">du Groupe </w:t>
      </w:r>
      <w:proofErr w:type="spellStart"/>
      <w:r w:rsidRPr="0039067A">
        <w:rPr>
          <w:rFonts w:ascii="Times New Roman" w:eastAsia="Calibri" w:hAnsi="Times New Roman" w:cs="Times New Roman"/>
          <w:sz w:val="24"/>
          <w:szCs w:val="24"/>
        </w:rPr>
        <w:t>Sonelgaz</w:t>
      </w:r>
      <w:proofErr w:type="spellEnd"/>
      <w:r w:rsidRPr="0039067A">
        <w:rPr>
          <w:rFonts w:ascii="Times New Roman" w:eastAsia="Calibri" w:hAnsi="Times New Roman" w:cs="Times New Roman"/>
          <w:sz w:val="24"/>
          <w:szCs w:val="24"/>
        </w:rPr>
        <w:t xml:space="preserve"> est arrêtée selon le schéma de macrostructure qui sera présenté en annexe.  </w:t>
      </w:r>
    </w:p>
    <w:p w:rsidR="0039067A" w:rsidRDefault="0039067A" w:rsidP="0039067A">
      <w:pPr>
        <w:spacing w:before="120" w:beforeAutospacing="0" w:after="120" w:afterAutospacing="0" w:line="276" w:lineRule="auto"/>
        <w:ind w:firstLine="357"/>
        <w:jc w:val="both"/>
        <w:rPr>
          <w:rFonts w:ascii="Times New Roman" w:eastAsia="Calibri" w:hAnsi="Times New Roman" w:cs="Times New Roman"/>
          <w:sz w:val="24"/>
          <w:szCs w:val="24"/>
        </w:rPr>
      </w:pPr>
    </w:p>
    <w:p w:rsidR="00550D4B" w:rsidRDefault="00550D4B" w:rsidP="0039067A">
      <w:pPr>
        <w:spacing w:before="120" w:beforeAutospacing="0" w:after="120" w:afterAutospacing="0" w:line="276" w:lineRule="auto"/>
        <w:ind w:firstLine="357"/>
        <w:jc w:val="both"/>
        <w:rPr>
          <w:rFonts w:ascii="Times New Roman" w:eastAsia="Calibri" w:hAnsi="Times New Roman" w:cs="Times New Roman"/>
          <w:sz w:val="24"/>
          <w:szCs w:val="24"/>
        </w:rPr>
      </w:pPr>
    </w:p>
    <w:p w:rsidR="00550D4B" w:rsidRDefault="00550D4B" w:rsidP="0039067A">
      <w:pPr>
        <w:spacing w:before="120" w:beforeAutospacing="0" w:after="120" w:afterAutospacing="0" w:line="276" w:lineRule="auto"/>
        <w:ind w:firstLine="357"/>
        <w:jc w:val="both"/>
        <w:rPr>
          <w:rFonts w:ascii="Times New Roman" w:eastAsia="Calibri" w:hAnsi="Times New Roman" w:cs="Times New Roman"/>
          <w:sz w:val="24"/>
          <w:szCs w:val="24"/>
        </w:rPr>
      </w:pPr>
    </w:p>
    <w:p w:rsidR="00550D4B" w:rsidRPr="0039067A" w:rsidRDefault="00550D4B" w:rsidP="0039067A">
      <w:pPr>
        <w:spacing w:before="120" w:beforeAutospacing="0" w:after="120" w:afterAutospacing="0" w:line="276" w:lineRule="auto"/>
        <w:ind w:firstLine="357"/>
        <w:jc w:val="both"/>
        <w:rPr>
          <w:rFonts w:ascii="Times New Roman" w:eastAsia="Calibri" w:hAnsi="Times New Roman" w:cs="Times New Roman"/>
          <w:sz w:val="24"/>
          <w:szCs w:val="24"/>
        </w:rPr>
      </w:pPr>
    </w:p>
    <w:p w:rsidR="00550D4B" w:rsidRDefault="00550D4B" w:rsidP="0039067A">
      <w:pPr>
        <w:spacing w:before="0" w:beforeAutospacing="0" w:after="200" w:afterAutospacing="0" w:line="276" w:lineRule="auto"/>
        <w:rPr>
          <w:rFonts w:ascii="Times New Roman" w:eastAsia="Calibri" w:hAnsi="Times New Roman" w:cs="Times New Roman"/>
          <w:b/>
          <w:i/>
          <w:sz w:val="26"/>
          <w:szCs w:val="26"/>
        </w:rPr>
        <w:sectPr w:rsidR="00550D4B" w:rsidSect="00550D4B">
          <w:pgSz w:w="11906" w:h="16838"/>
          <w:pgMar w:top="1418" w:right="1418" w:bottom="1418" w:left="1418" w:header="709" w:footer="709" w:gutter="567"/>
          <w:cols w:space="708"/>
          <w:titlePg/>
          <w:docGrid w:linePitch="360"/>
        </w:sectPr>
      </w:pPr>
    </w:p>
    <w:p w:rsidR="0039067A" w:rsidRPr="0039067A" w:rsidRDefault="0039067A" w:rsidP="0039067A">
      <w:pPr>
        <w:spacing w:before="0" w:beforeAutospacing="0" w:after="200" w:afterAutospacing="0" w:line="276" w:lineRule="auto"/>
        <w:rPr>
          <w:rFonts w:ascii="Times New Roman" w:eastAsia="Calibri" w:hAnsi="Times New Roman" w:cs="Times New Roman"/>
          <w:b/>
          <w:i/>
          <w:sz w:val="26"/>
          <w:szCs w:val="26"/>
        </w:rPr>
      </w:pPr>
      <w:r w:rsidRPr="0039067A">
        <w:rPr>
          <w:rFonts w:ascii="Times New Roman" w:eastAsia="Calibri" w:hAnsi="Times New Roman" w:cs="Times New Roman"/>
          <w:b/>
          <w:i/>
          <w:sz w:val="26"/>
          <w:szCs w:val="26"/>
        </w:rPr>
        <w:lastRenderedPageBreak/>
        <w:t xml:space="preserve">Section 2 : Organisation du Passage au SCF, diagnostic et options retenues au sein du Groupe </w:t>
      </w:r>
      <w:proofErr w:type="spellStart"/>
      <w:r w:rsidRPr="0039067A">
        <w:rPr>
          <w:rFonts w:ascii="Times New Roman" w:eastAsia="Calibri" w:hAnsi="Times New Roman" w:cs="Times New Roman"/>
          <w:b/>
          <w:i/>
          <w:sz w:val="26"/>
          <w:szCs w:val="26"/>
        </w:rPr>
        <w:t>Sonelgaz</w:t>
      </w:r>
      <w:proofErr w:type="spellEnd"/>
    </w:p>
    <w:p w:rsidR="0039067A" w:rsidRPr="0039067A" w:rsidRDefault="0039067A" w:rsidP="0039067A">
      <w:pPr>
        <w:spacing w:before="120" w:beforeAutospacing="0" w:after="120" w:afterAutospacing="0" w:line="276" w:lineRule="auto"/>
        <w:ind w:firstLine="357"/>
        <w:jc w:val="both"/>
        <w:rPr>
          <w:rFonts w:ascii="Times New Roman" w:eastAsia="Calibri" w:hAnsi="Times New Roman" w:cs="Times New Roman"/>
          <w:sz w:val="24"/>
          <w:szCs w:val="26"/>
        </w:rPr>
      </w:pPr>
      <w:r w:rsidRPr="0039067A">
        <w:rPr>
          <w:rFonts w:ascii="Times New Roman" w:eastAsia="Calibri" w:hAnsi="Times New Roman" w:cs="Times New Roman"/>
          <w:sz w:val="24"/>
          <w:szCs w:val="26"/>
        </w:rPr>
        <w:t xml:space="preserve">Dans le </w:t>
      </w:r>
      <w:r w:rsidRPr="0039067A">
        <w:rPr>
          <w:rFonts w:ascii="Times New Roman" w:eastAsia="Calibri" w:hAnsi="Times New Roman" w:cs="Times New Roman"/>
          <w:sz w:val="24"/>
          <w:szCs w:val="24"/>
        </w:rPr>
        <w:t>souci</w:t>
      </w:r>
      <w:r w:rsidRPr="0039067A">
        <w:rPr>
          <w:rFonts w:ascii="Times New Roman" w:eastAsia="Calibri" w:hAnsi="Times New Roman" w:cs="Times New Roman"/>
          <w:sz w:val="24"/>
          <w:szCs w:val="26"/>
        </w:rPr>
        <w:t xml:space="preserve"> de répondre aux exigences légales concernant la préparation et la présentation des états financiers du Groupe, </w:t>
      </w:r>
      <w:proofErr w:type="spellStart"/>
      <w:r w:rsidRPr="0039067A">
        <w:rPr>
          <w:rFonts w:ascii="Times New Roman" w:eastAsia="Calibri" w:hAnsi="Times New Roman" w:cs="Times New Roman"/>
          <w:sz w:val="24"/>
          <w:szCs w:val="26"/>
        </w:rPr>
        <w:t>Sonelgaz</w:t>
      </w:r>
      <w:proofErr w:type="spellEnd"/>
      <w:r w:rsidRPr="0039067A">
        <w:rPr>
          <w:rFonts w:ascii="Times New Roman" w:eastAsia="Calibri" w:hAnsi="Times New Roman" w:cs="Times New Roman"/>
          <w:sz w:val="24"/>
          <w:szCs w:val="26"/>
        </w:rPr>
        <w:t xml:space="preserve"> a mis en place les dispositifs nécessaires afin de permettre le passage au Système Comptable Financier pour l’ensemble de ces filiales. Dès lors, nous présenterons dans cette section les principales dispositions mis en place dans le cadre du projet de passage au sein du Groupe. Ainsi que, l’aboutissement des travaux de passage consentis suite à ces dispositions, en particulier ceux relatifs au diagnostic et options retenues. </w:t>
      </w:r>
    </w:p>
    <w:p w:rsidR="0039067A" w:rsidRPr="0039067A" w:rsidRDefault="0039067A" w:rsidP="0039067A">
      <w:pPr>
        <w:spacing w:before="120" w:beforeAutospacing="0" w:after="120" w:afterAutospacing="0" w:line="276" w:lineRule="auto"/>
        <w:jc w:val="both"/>
        <w:rPr>
          <w:rFonts w:ascii="Times New Roman" w:eastAsia="Calibri" w:hAnsi="Times New Roman" w:cs="Times New Roman"/>
          <w:b/>
          <w:sz w:val="26"/>
          <w:szCs w:val="26"/>
        </w:rPr>
      </w:pPr>
      <w:r w:rsidRPr="0039067A">
        <w:rPr>
          <w:rFonts w:ascii="Times New Roman" w:eastAsia="Calibri" w:hAnsi="Times New Roman" w:cs="Times New Roman"/>
          <w:b/>
          <w:sz w:val="26"/>
          <w:szCs w:val="26"/>
        </w:rPr>
        <w:t xml:space="preserve">2.1. Organisation du passage au SCF au sein du Groupe </w:t>
      </w:r>
      <w:proofErr w:type="spellStart"/>
      <w:r w:rsidRPr="0039067A">
        <w:rPr>
          <w:rFonts w:ascii="Times New Roman" w:eastAsia="Calibri" w:hAnsi="Times New Roman" w:cs="Times New Roman"/>
          <w:b/>
          <w:sz w:val="26"/>
          <w:szCs w:val="26"/>
        </w:rPr>
        <w:t>Sonelgaz</w:t>
      </w:r>
      <w:proofErr w:type="spellEnd"/>
    </w:p>
    <w:p w:rsidR="0039067A" w:rsidRPr="0039067A" w:rsidRDefault="0039067A" w:rsidP="0039067A">
      <w:pPr>
        <w:spacing w:before="120" w:beforeAutospacing="0" w:after="120" w:afterAutospacing="0" w:line="276" w:lineRule="auto"/>
        <w:ind w:firstLine="357"/>
        <w:jc w:val="both"/>
        <w:rPr>
          <w:rFonts w:ascii="Times New Roman" w:eastAsia="Calibri" w:hAnsi="Times New Roman" w:cs="Times New Roman"/>
          <w:sz w:val="24"/>
          <w:szCs w:val="26"/>
        </w:rPr>
      </w:pPr>
      <w:r w:rsidRPr="0039067A">
        <w:rPr>
          <w:rFonts w:ascii="Times New Roman" w:eastAsia="Calibri" w:hAnsi="Times New Roman" w:cs="Times New Roman"/>
          <w:sz w:val="24"/>
          <w:szCs w:val="26"/>
        </w:rPr>
        <w:t xml:space="preserve">Le Groupe </w:t>
      </w:r>
      <w:proofErr w:type="spellStart"/>
      <w:r w:rsidRPr="0039067A">
        <w:rPr>
          <w:rFonts w:ascii="Times New Roman" w:eastAsia="Calibri" w:hAnsi="Times New Roman" w:cs="Times New Roman"/>
          <w:sz w:val="24"/>
          <w:szCs w:val="26"/>
        </w:rPr>
        <w:t>Sonelgaz</w:t>
      </w:r>
      <w:proofErr w:type="spellEnd"/>
      <w:r w:rsidRPr="0039067A">
        <w:rPr>
          <w:rFonts w:ascii="Times New Roman" w:eastAsia="Calibri" w:hAnsi="Times New Roman" w:cs="Times New Roman"/>
          <w:sz w:val="24"/>
          <w:szCs w:val="26"/>
        </w:rPr>
        <w:t xml:space="preserve"> est constitué de plusieurs sociétés, et afin de garantir la réussite du passage au Système Comptable Financier, une démarche Groupe a été arrêtée. Cette démarche se décline sur trois principales phases.  </w:t>
      </w:r>
    </w:p>
    <w:p w:rsidR="0039067A" w:rsidRPr="0039067A" w:rsidRDefault="0039067A" w:rsidP="0039067A">
      <w:pPr>
        <w:spacing w:before="0" w:beforeAutospacing="0" w:after="200" w:afterAutospacing="0" w:line="276" w:lineRule="auto"/>
        <w:jc w:val="left"/>
        <w:rPr>
          <w:rFonts w:ascii="Times New Roman" w:eastAsia="Calibri" w:hAnsi="Times New Roman" w:cs="Times New Roman"/>
          <w:sz w:val="26"/>
          <w:szCs w:val="26"/>
        </w:rPr>
      </w:pPr>
      <w:r w:rsidRPr="0039067A">
        <w:rPr>
          <w:rFonts w:ascii="Times New Roman" w:eastAsia="Calibri" w:hAnsi="Times New Roman" w:cs="Times New Roman"/>
          <w:b/>
          <w:bCs/>
          <w:sz w:val="26"/>
          <w:szCs w:val="26"/>
        </w:rPr>
        <w:t>2.1.1. Première Phase : Diagnostic et évaluation des impacts</w:t>
      </w:r>
    </w:p>
    <w:p w:rsidR="0039067A" w:rsidRPr="0039067A" w:rsidRDefault="0039067A" w:rsidP="0039067A">
      <w:pPr>
        <w:spacing w:before="120" w:beforeAutospacing="0" w:after="120" w:afterAutospacing="0" w:line="276" w:lineRule="auto"/>
        <w:ind w:firstLine="357"/>
        <w:jc w:val="both"/>
        <w:rPr>
          <w:rFonts w:ascii="Times New Roman" w:eastAsia="Calibri" w:hAnsi="Times New Roman" w:cs="Times New Roman"/>
          <w:sz w:val="24"/>
          <w:szCs w:val="26"/>
        </w:rPr>
      </w:pPr>
      <w:r w:rsidRPr="0039067A">
        <w:rPr>
          <w:rFonts w:ascii="Times New Roman" w:eastAsia="Calibri" w:hAnsi="Times New Roman" w:cs="Times New Roman"/>
          <w:sz w:val="24"/>
          <w:szCs w:val="26"/>
        </w:rPr>
        <w:t xml:space="preserve">Cette phase de diagnostic était nécessaire pour évaluer les changements qui vont impacter la comptabilité de </w:t>
      </w:r>
      <w:proofErr w:type="spellStart"/>
      <w:r w:rsidRPr="0039067A">
        <w:rPr>
          <w:rFonts w:ascii="Times New Roman" w:eastAsia="Calibri" w:hAnsi="Times New Roman" w:cs="Times New Roman"/>
          <w:sz w:val="24"/>
          <w:szCs w:val="26"/>
        </w:rPr>
        <w:t>Sonelgaz</w:t>
      </w:r>
      <w:proofErr w:type="spellEnd"/>
      <w:r w:rsidRPr="0039067A">
        <w:rPr>
          <w:rFonts w:ascii="Times New Roman" w:eastAsia="Calibri" w:hAnsi="Times New Roman" w:cs="Times New Roman"/>
          <w:sz w:val="24"/>
          <w:szCs w:val="26"/>
        </w:rPr>
        <w:t xml:space="preserve"> et aussi elle a permis d’évaluer les impacts et d’identifier les options de choix qui pourrait se présenter par rapport à certaines dispositions. Elle consistait à :</w:t>
      </w:r>
    </w:p>
    <w:p w:rsidR="0039067A" w:rsidRPr="0039067A" w:rsidRDefault="0039067A" w:rsidP="0039067A">
      <w:pPr>
        <w:numPr>
          <w:ilvl w:val="0"/>
          <w:numId w:val="73"/>
        </w:numPr>
        <w:spacing w:before="0" w:beforeAutospacing="0" w:after="200" w:afterAutospacing="0" w:line="276" w:lineRule="auto"/>
        <w:jc w:val="both"/>
        <w:rPr>
          <w:rFonts w:ascii="Times New Roman" w:eastAsia="Calibri" w:hAnsi="Times New Roman" w:cs="Times New Roman"/>
          <w:sz w:val="26"/>
          <w:szCs w:val="26"/>
        </w:rPr>
      </w:pPr>
      <w:r w:rsidRPr="0039067A">
        <w:rPr>
          <w:rFonts w:ascii="Times New Roman" w:eastAsia="Calibri" w:hAnsi="Times New Roman" w:cs="Times New Roman"/>
          <w:sz w:val="24"/>
          <w:szCs w:val="26"/>
        </w:rPr>
        <w:t>Etudier les div</w:t>
      </w:r>
      <w:r w:rsidRPr="0039067A">
        <w:rPr>
          <w:rFonts w:ascii="Times New Roman" w:eastAsia="Calibri" w:hAnsi="Times New Roman" w:cs="Times New Roman"/>
          <w:sz w:val="26"/>
          <w:szCs w:val="26"/>
        </w:rPr>
        <w:t xml:space="preserve">ergences </w:t>
      </w:r>
      <w:r w:rsidRPr="0039067A">
        <w:rPr>
          <w:rFonts w:ascii="Times New Roman" w:eastAsia="Calibri" w:hAnsi="Times New Roman" w:cs="Times New Roman"/>
          <w:sz w:val="24"/>
          <w:szCs w:val="26"/>
        </w:rPr>
        <w:t>entre le Plan Comptable National et le Système Comptable Financier ;</w:t>
      </w:r>
    </w:p>
    <w:p w:rsidR="0039067A" w:rsidRPr="0039067A" w:rsidRDefault="0039067A" w:rsidP="0039067A">
      <w:pPr>
        <w:numPr>
          <w:ilvl w:val="0"/>
          <w:numId w:val="73"/>
        </w:numPr>
        <w:spacing w:before="0" w:beforeAutospacing="0" w:after="200" w:afterAutospacing="0" w:line="276" w:lineRule="auto"/>
        <w:jc w:val="both"/>
        <w:rPr>
          <w:rFonts w:ascii="Times New Roman" w:eastAsia="Calibri" w:hAnsi="Times New Roman" w:cs="Times New Roman"/>
          <w:sz w:val="26"/>
          <w:szCs w:val="26"/>
        </w:rPr>
      </w:pPr>
      <w:r w:rsidRPr="0039067A">
        <w:rPr>
          <w:rFonts w:ascii="Times New Roman" w:eastAsia="Calibri" w:hAnsi="Times New Roman" w:cs="Times New Roman"/>
          <w:sz w:val="24"/>
          <w:szCs w:val="26"/>
        </w:rPr>
        <w:t xml:space="preserve">Identifier les principes et les nouvelles dispositions comptables et réglementaires à prendre en considération au sein du Groupe </w:t>
      </w:r>
      <w:proofErr w:type="spellStart"/>
      <w:r w:rsidRPr="0039067A">
        <w:rPr>
          <w:rFonts w:ascii="Times New Roman" w:eastAsia="Calibri" w:hAnsi="Times New Roman" w:cs="Times New Roman"/>
          <w:sz w:val="24"/>
          <w:szCs w:val="26"/>
        </w:rPr>
        <w:t>Sonelgaz</w:t>
      </w:r>
      <w:proofErr w:type="spellEnd"/>
      <w:r w:rsidRPr="0039067A">
        <w:rPr>
          <w:rFonts w:ascii="Times New Roman" w:eastAsia="Calibri" w:hAnsi="Times New Roman" w:cs="Times New Roman"/>
          <w:sz w:val="26"/>
          <w:szCs w:val="26"/>
        </w:rPr>
        <w:t> ;</w:t>
      </w:r>
    </w:p>
    <w:p w:rsidR="0039067A" w:rsidRPr="0039067A" w:rsidRDefault="0039067A" w:rsidP="0039067A">
      <w:pPr>
        <w:numPr>
          <w:ilvl w:val="0"/>
          <w:numId w:val="73"/>
        </w:numPr>
        <w:spacing w:before="0" w:beforeAutospacing="0" w:after="200" w:afterAutospacing="0" w:line="276" w:lineRule="auto"/>
        <w:jc w:val="both"/>
        <w:rPr>
          <w:rFonts w:ascii="Times New Roman" w:eastAsia="Calibri" w:hAnsi="Times New Roman" w:cs="Times New Roman"/>
          <w:sz w:val="26"/>
          <w:szCs w:val="26"/>
        </w:rPr>
      </w:pPr>
      <w:r w:rsidRPr="0039067A">
        <w:rPr>
          <w:rFonts w:ascii="Times New Roman" w:eastAsia="Calibri" w:hAnsi="Times New Roman" w:cs="Times New Roman"/>
          <w:sz w:val="24"/>
          <w:szCs w:val="26"/>
        </w:rPr>
        <w:t xml:space="preserve">Evaluer l’impact des nouveaux principes et dispositions à intégrer au sein du Groupe </w:t>
      </w:r>
      <w:proofErr w:type="spellStart"/>
      <w:r w:rsidRPr="0039067A">
        <w:rPr>
          <w:rFonts w:ascii="Times New Roman" w:eastAsia="Calibri" w:hAnsi="Times New Roman" w:cs="Times New Roman"/>
          <w:sz w:val="24"/>
          <w:szCs w:val="26"/>
        </w:rPr>
        <w:t>Sonelgaz</w:t>
      </w:r>
      <w:proofErr w:type="spellEnd"/>
      <w:r w:rsidRPr="0039067A">
        <w:rPr>
          <w:rFonts w:ascii="Times New Roman" w:eastAsia="Calibri" w:hAnsi="Times New Roman" w:cs="Times New Roman"/>
          <w:sz w:val="26"/>
          <w:szCs w:val="26"/>
        </w:rPr>
        <w:t> ;</w:t>
      </w:r>
    </w:p>
    <w:p w:rsidR="0039067A" w:rsidRPr="0039067A" w:rsidRDefault="0039067A" w:rsidP="0039067A">
      <w:pPr>
        <w:numPr>
          <w:ilvl w:val="0"/>
          <w:numId w:val="73"/>
        </w:numPr>
        <w:spacing w:before="0" w:beforeAutospacing="0" w:after="200" w:afterAutospacing="0" w:line="276" w:lineRule="auto"/>
        <w:jc w:val="both"/>
        <w:rPr>
          <w:rFonts w:ascii="Times New Roman" w:eastAsia="Calibri" w:hAnsi="Times New Roman" w:cs="Times New Roman"/>
          <w:sz w:val="26"/>
          <w:szCs w:val="26"/>
        </w:rPr>
      </w:pPr>
      <w:r w:rsidRPr="0039067A">
        <w:rPr>
          <w:rFonts w:ascii="Times New Roman" w:eastAsia="Calibri" w:hAnsi="Times New Roman" w:cs="Times New Roman"/>
          <w:sz w:val="24"/>
          <w:szCs w:val="26"/>
        </w:rPr>
        <w:t>Arrêter le plan de formation Groupe pour le personnel de la comptabilité</w:t>
      </w:r>
      <w:r w:rsidRPr="0039067A">
        <w:rPr>
          <w:rFonts w:ascii="Times New Roman" w:eastAsia="Calibri" w:hAnsi="Times New Roman" w:cs="Times New Roman"/>
          <w:sz w:val="26"/>
          <w:szCs w:val="26"/>
        </w:rPr>
        <w:t>.</w:t>
      </w:r>
    </w:p>
    <w:p w:rsidR="0039067A" w:rsidRPr="0039067A" w:rsidRDefault="0039067A" w:rsidP="0039067A">
      <w:pPr>
        <w:spacing w:before="0" w:beforeAutospacing="0" w:after="200" w:afterAutospacing="0" w:line="276" w:lineRule="auto"/>
        <w:jc w:val="left"/>
        <w:rPr>
          <w:rFonts w:ascii="Times New Roman" w:eastAsia="Calibri" w:hAnsi="Times New Roman" w:cs="Times New Roman"/>
          <w:sz w:val="26"/>
          <w:szCs w:val="26"/>
        </w:rPr>
      </w:pPr>
      <w:r w:rsidRPr="0039067A">
        <w:rPr>
          <w:rFonts w:ascii="Times New Roman" w:eastAsia="Calibri" w:hAnsi="Times New Roman" w:cs="Times New Roman"/>
          <w:b/>
          <w:bCs/>
          <w:sz w:val="26"/>
          <w:szCs w:val="26"/>
        </w:rPr>
        <w:t>2.1.2. Deuxième Phase : Etablissement du plan de compte</w:t>
      </w:r>
    </w:p>
    <w:p w:rsidR="0039067A" w:rsidRPr="0039067A" w:rsidRDefault="0039067A" w:rsidP="0039067A">
      <w:pPr>
        <w:spacing w:before="120" w:beforeAutospacing="0" w:after="120" w:afterAutospacing="0" w:line="276" w:lineRule="auto"/>
        <w:ind w:firstLine="357"/>
        <w:jc w:val="both"/>
        <w:rPr>
          <w:rFonts w:ascii="Times New Roman" w:eastAsia="Calibri" w:hAnsi="Times New Roman" w:cs="Times New Roman"/>
          <w:sz w:val="24"/>
          <w:szCs w:val="26"/>
        </w:rPr>
      </w:pPr>
      <w:r w:rsidRPr="0039067A">
        <w:rPr>
          <w:rFonts w:ascii="Times New Roman" w:eastAsia="Calibri" w:hAnsi="Times New Roman" w:cs="Times New Roman"/>
          <w:sz w:val="24"/>
          <w:szCs w:val="26"/>
        </w:rPr>
        <w:t xml:space="preserve">Les travaux de cette phase se sont déroulés en parallèle avec la première, ils  visaient à mettre en place un plan de compte pour le Groupe </w:t>
      </w:r>
      <w:proofErr w:type="spellStart"/>
      <w:r w:rsidRPr="0039067A">
        <w:rPr>
          <w:rFonts w:ascii="Times New Roman" w:eastAsia="Calibri" w:hAnsi="Times New Roman" w:cs="Times New Roman"/>
          <w:sz w:val="24"/>
          <w:szCs w:val="26"/>
        </w:rPr>
        <w:t>Sonelgaz</w:t>
      </w:r>
      <w:proofErr w:type="spellEnd"/>
      <w:r w:rsidRPr="0039067A">
        <w:rPr>
          <w:rFonts w:ascii="Times New Roman" w:eastAsia="Calibri" w:hAnsi="Times New Roman" w:cs="Times New Roman"/>
          <w:sz w:val="24"/>
          <w:szCs w:val="26"/>
        </w:rPr>
        <w:t xml:space="preserve"> (à trois, sept et dix chiffres) qui présentera la référence du SCF pour l’ensemble des sociétés du Groupe </w:t>
      </w:r>
      <w:proofErr w:type="spellStart"/>
      <w:r w:rsidRPr="0039067A">
        <w:rPr>
          <w:rFonts w:ascii="Times New Roman" w:eastAsia="Calibri" w:hAnsi="Times New Roman" w:cs="Times New Roman"/>
          <w:sz w:val="24"/>
          <w:szCs w:val="26"/>
        </w:rPr>
        <w:t>Sonelgaz</w:t>
      </w:r>
      <w:proofErr w:type="spellEnd"/>
      <w:r w:rsidRPr="0039067A">
        <w:rPr>
          <w:rFonts w:ascii="Times New Roman" w:eastAsia="Calibri" w:hAnsi="Times New Roman" w:cs="Times New Roman"/>
          <w:sz w:val="24"/>
          <w:szCs w:val="26"/>
        </w:rPr>
        <w:t xml:space="preserve"> et à élaborer une table de correspondance  entre le PCN et le SCF  en vue de permettre la migration des soldes comptables.  Cette phase contenait les tâches suivantes :</w:t>
      </w:r>
    </w:p>
    <w:p w:rsidR="00550D4B" w:rsidRDefault="0039067A" w:rsidP="0039067A">
      <w:pPr>
        <w:numPr>
          <w:ilvl w:val="0"/>
          <w:numId w:val="74"/>
        </w:numPr>
        <w:spacing w:before="0" w:beforeAutospacing="0" w:after="200" w:afterAutospacing="0" w:line="276" w:lineRule="auto"/>
        <w:jc w:val="both"/>
        <w:rPr>
          <w:rFonts w:ascii="Times New Roman" w:eastAsia="Calibri" w:hAnsi="Times New Roman" w:cs="Times New Roman"/>
          <w:sz w:val="24"/>
          <w:szCs w:val="26"/>
        </w:rPr>
      </w:pPr>
      <w:r w:rsidRPr="00550D4B">
        <w:rPr>
          <w:rFonts w:ascii="Times New Roman" w:eastAsia="Calibri" w:hAnsi="Times New Roman" w:cs="Times New Roman"/>
          <w:sz w:val="24"/>
          <w:szCs w:val="26"/>
        </w:rPr>
        <w:t>Elaboration du plan de compte Groupe SCF cible ;</w:t>
      </w:r>
    </w:p>
    <w:p w:rsidR="00550D4B" w:rsidRDefault="00550D4B" w:rsidP="0039067A">
      <w:pPr>
        <w:numPr>
          <w:ilvl w:val="0"/>
          <w:numId w:val="74"/>
        </w:numPr>
        <w:spacing w:before="0" w:beforeAutospacing="0" w:after="200" w:afterAutospacing="0" w:line="276" w:lineRule="auto"/>
        <w:jc w:val="both"/>
        <w:rPr>
          <w:rFonts w:ascii="Times New Roman" w:eastAsia="Calibri" w:hAnsi="Times New Roman" w:cs="Times New Roman"/>
          <w:sz w:val="24"/>
          <w:szCs w:val="26"/>
        </w:rPr>
        <w:sectPr w:rsidR="00550D4B" w:rsidSect="00550D4B">
          <w:pgSz w:w="11906" w:h="16838"/>
          <w:pgMar w:top="1418" w:right="1418" w:bottom="1418" w:left="1418" w:header="709" w:footer="709" w:gutter="567"/>
          <w:cols w:space="708"/>
          <w:titlePg/>
          <w:docGrid w:linePitch="360"/>
        </w:sectPr>
      </w:pPr>
    </w:p>
    <w:p w:rsidR="0039067A" w:rsidRPr="00550D4B" w:rsidRDefault="0039067A" w:rsidP="0039067A">
      <w:pPr>
        <w:numPr>
          <w:ilvl w:val="0"/>
          <w:numId w:val="74"/>
        </w:numPr>
        <w:spacing w:before="0" w:beforeAutospacing="0" w:after="200" w:afterAutospacing="0" w:line="276" w:lineRule="auto"/>
        <w:jc w:val="both"/>
        <w:rPr>
          <w:rFonts w:ascii="Times New Roman" w:eastAsia="Calibri" w:hAnsi="Times New Roman" w:cs="Times New Roman"/>
          <w:sz w:val="24"/>
          <w:szCs w:val="26"/>
        </w:rPr>
      </w:pPr>
      <w:r w:rsidRPr="00550D4B">
        <w:rPr>
          <w:rFonts w:ascii="Times New Roman" w:eastAsia="Calibri" w:hAnsi="Times New Roman" w:cs="Times New Roman"/>
          <w:sz w:val="24"/>
          <w:szCs w:val="26"/>
        </w:rPr>
        <w:lastRenderedPageBreak/>
        <w:t>Elaboration de la table de transition PCN/SCF ;</w:t>
      </w:r>
    </w:p>
    <w:p w:rsidR="0039067A" w:rsidRPr="0039067A" w:rsidRDefault="0039067A" w:rsidP="0039067A">
      <w:pPr>
        <w:numPr>
          <w:ilvl w:val="0"/>
          <w:numId w:val="74"/>
        </w:numPr>
        <w:spacing w:before="0" w:beforeAutospacing="0" w:after="200" w:afterAutospacing="0" w:line="276" w:lineRule="auto"/>
        <w:jc w:val="both"/>
        <w:rPr>
          <w:rFonts w:ascii="Times New Roman" w:eastAsia="Calibri" w:hAnsi="Times New Roman" w:cs="Times New Roman"/>
          <w:sz w:val="24"/>
          <w:szCs w:val="26"/>
        </w:rPr>
      </w:pPr>
      <w:r w:rsidRPr="0039067A">
        <w:rPr>
          <w:rFonts w:ascii="Times New Roman" w:eastAsia="Calibri" w:hAnsi="Times New Roman" w:cs="Times New Roman"/>
          <w:sz w:val="24"/>
          <w:szCs w:val="26"/>
        </w:rPr>
        <w:t>Développement d’une application informatique de transition ;</w:t>
      </w:r>
    </w:p>
    <w:p w:rsidR="0039067A" w:rsidRPr="0039067A" w:rsidRDefault="0039067A" w:rsidP="0039067A">
      <w:pPr>
        <w:spacing w:before="0" w:beforeAutospacing="0" w:after="200" w:afterAutospacing="0" w:line="276" w:lineRule="auto"/>
        <w:jc w:val="left"/>
        <w:rPr>
          <w:rFonts w:ascii="Times New Roman" w:eastAsia="Calibri" w:hAnsi="Times New Roman" w:cs="Times New Roman"/>
          <w:sz w:val="26"/>
          <w:szCs w:val="26"/>
        </w:rPr>
      </w:pPr>
      <w:r w:rsidRPr="0039067A">
        <w:rPr>
          <w:rFonts w:ascii="Times New Roman" w:eastAsia="Calibri" w:hAnsi="Times New Roman" w:cs="Times New Roman"/>
          <w:b/>
          <w:bCs/>
          <w:sz w:val="26"/>
          <w:szCs w:val="26"/>
        </w:rPr>
        <w:t>2.1.3. Troisième Phase : Retraitement des comptes et établissement du bilan de réouverture</w:t>
      </w:r>
    </w:p>
    <w:p w:rsidR="0039067A" w:rsidRPr="0039067A" w:rsidRDefault="0039067A" w:rsidP="0039067A">
      <w:pPr>
        <w:spacing w:before="120" w:beforeAutospacing="0" w:after="120" w:afterAutospacing="0" w:line="276" w:lineRule="auto"/>
        <w:ind w:firstLine="357"/>
        <w:jc w:val="both"/>
        <w:rPr>
          <w:rFonts w:ascii="Times New Roman" w:eastAsia="Calibri" w:hAnsi="Times New Roman" w:cs="Times New Roman"/>
          <w:sz w:val="24"/>
          <w:szCs w:val="26"/>
        </w:rPr>
      </w:pPr>
      <w:r w:rsidRPr="0039067A">
        <w:rPr>
          <w:rFonts w:ascii="Times New Roman" w:eastAsia="Calibri" w:hAnsi="Times New Roman" w:cs="Times New Roman"/>
          <w:sz w:val="24"/>
          <w:szCs w:val="26"/>
        </w:rPr>
        <w:t>Cette phase vise à répondre à l’exigence légale de production des états financiers selon les modèles SCF et ce depuis le 1</w:t>
      </w:r>
      <w:r w:rsidRPr="0039067A">
        <w:rPr>
          <w:rFonts w:ascii="Times New Roman" w:eastAsia="Calibri" w:hAnsi="Times New Roman" w:cs="Times New Roman"/>
          <w:sz w:val="24"/>
          <w:szCs w:val="26"/>
          <w:vertAlign w:val="superscript"/>
        </w:rPr>
        <w:t>er</w:t>
      </w:r>
      <w:r w:rsidRPr="0039067A">
        <w:rPr>
          <w:rFonts w:ascii="Times New Roman" w:eastAsia="Calibri" w:hAnsi="Times New Roman" w:cs="Times New Roman"/>
          <w:sz w:val="24"/>
          <w:szCs w:val="26"/>
        </w:rPr>
        <w:t xml:space="preserve"> janvier 2010. A cet effet, un travail de transcription des changements les plus évidents et les plus importants dans l’environnement comptable actuel au même titre de ce qui a été déjà fait pour les frais préliminaires et les droits acquis par le personnel (retraites et gratifications). </w:t>
      </w:r>
    </w:p>
    <w:p w:rsidR="0039067A" w:rsidRPr="0039067A" w:rsidRDefault="0039067A" w:rsidP="0039067A">
      <w:pPr>
        <w:numPr>
          <w:ilvl w:val="0"/>
          <w:numId w:val="75"/>
        </w:numPr>
        <w:spacing w:before="0" w:beforeAutospacing="0" w:after="200" w:afterAutospacing="0" w:line="276" w:lineRule="auto"/>
        <w:jc w:val="both"/>
        <w:rPr>
          <w:rFonts w:ascii="Times New Roman" w:eastAsia="Calibri" w:hAnsi="Times New Roman" w:cs="Times New Roman"/>
          <w:sz w:val="24"/>
          <w:szCs w:val="26"/>
        </w:rPr>
      </w:pPr>
      <w:r w:rsidRPr="0039067A">
        <w:rPr>
          <w:rFonts w:ascii="Times New Roman" w:eastAsia="Calibri" w:hAnsi="Times New Roman" w:cs="Times New Roman"/>
          <w:sz w:val="24"/>
          <w:szCs w:val="26"/>
        </w:rPr>
        <w:t xml:space="preserve">Transcription des options les plus importantes arrêtées et validées dans le SCF par le biais des notes et procédures comptables </w:t>
      </w:r>
    </w:p>
    <w:p w:rsidR="0039067A" w:rsidRPr="0039067A" w:rsidRDefault="0039067A" w:rsidP="0039067A">
      <w:pPr>
        <w:numPr>
          <w:ilvl w:val="0"/>
          <w:numId w:val="75"/>
        </w:numPr>
        <w:spacing w:before="0" w:beforeAutospacing="0" w:after="200" w:afterAutospacing="0" w:line="276" w:lineRule="auto"/>
        <w:jc w:val="both"/>
        <w:rPr>
          <w:rFonts w:ascii="Times New Roman" w:eastAsia="Calibri" w:hAnsi="Times New Roman" w:cs="Times New Roman"/>
          <w:sz w:val="24"/>
          <w:szCs w:val="26"/>
        </w:rPr>
      </w:pPr>
      <w:r w:rsidRPr="0039067A">
        <w:rPr>
          <w:rFonts w:ascii="Times New Roman" w:eastAsia="Calibri" w:hAnsi="Times New Roman" w:cs="Times New Roman"/>
          <w:sz w:val="24"/>
          <w:szCs w:val="26"/>
        </w:rPr>
        <w:t>Retraitement en extra comptable des comptes de l’exercice 2009 et établissement du bilan d’ouverture 2010 SCF ;</w:t>
      </w:r>
    </w:p>
    <w:p w:rsidR="0039067A" w:rsidRPr="0039067A" w:rsidRDefault="0039067A" w:rsidP="0039067A">
      <w:pPr>
        <w:numPr>
          <w:ilvl w:val="0"/>
          <w:numId w:val="75"/>
        </w:numPr>
        <w:spacing w:before="0" w:beforeAutospacing="0" w:after="200" w:afterAutospacing="0" w:line="276" w:lineRule="auto"/>
        <w:jc w:val="both"/>
        <w:rPr>
          <w:rFonts w:ascii="Times New Roman" w:eastAsia="Calibri" w:hAnsi="Times New Roman" w:cs="Times New Roman"/>
          <w:sz w:val="24"/>
          <w:szCs w:val="26"/>
        </w:rPr>
      </w:pPr>
      <w:r w:rsidRPr="0039067A">
        <w:rPr>
          <w:rFonts w:ascii="Times New Roman" w:eastAsia="Calibri" w:hAnsi="Times New Roman" w:cs="Times New Roman"/>
          <w:sz w:val="24"/>
          <w:szCs w:val="26"/>
        </w:rPr>
        <w:t xml:space="preserve">Edition des états financiers d’ouverture selon les comptes retraités en conformité avec les nouvelles dispositions SCF. </w:t>
      </w:r>
    </w:p>
    <w:p w:rsidR="0039067A" w:rsidRPr="0039067A" w:rsidRDefault="0039067A" w:rsidP="0039067A">
      <w:pPr>
        <w:spacing w:before="0" w:beforeAutospacing="0" w:after="200" w:afterAutospacing="0" w:line="276" w:lineRule="auto"/>
        <w:jc w:val="left"/>
        <w:rPr>
          <w:rFonts w:ascii="Times New Roman" w:eastAsia="Calibri" w:hAnsi="Times New Roman" w:cs="Times New Roman"/>
          <w:b/>
          <w:sz w:val="26"/>
          <w:szCs w:val="26"/>
        </w:rPr>
      </w:pPr>
      <w:r w:rsidRPr="0039067A">
        <w:rPr>
          <w:rFonts w:ascii="Times New Roman" w:eastAsia="Calibri" w:hAnsi="Times New Roman" w:cs="Times New Roman"/>
          <w:b/>
          <w:sz w:val="26"/>
          <w:szCs w:val="26"/>
        </w:rPr>
        <w:t>2.2. Diagnostic et options retenues</w:t>
      </w:r>
    </w:p>
    <w:p w:rsidR="0039067A" w:rsidRPr="0039067A" w:rsidRDefault="0039067A" w:rsidP="0039067A">
      <w:pPr>
        <w:spacing w:before="0" w:beforeAutospacing="0" w:after="200" w:afterAutospacing="0" w:line="276" w:lineRule="auto"/>
        <w:jc w:val="left"/>
        <w:rPr>
          <w:rFonts w:ascii="Times New Roman" w:eastAsia="Calibri" w:hAnsi="Times New Roman" w:cs="Times New Roman"/>
          <w:b/>
          <w:sz w:val="26"/>
          <w:szCs w:val="26"/>
        </w:rPr>
      </w:pPr>
      <w:r w:rsidRPr="0039067A">
        <w:rPr>
          <w:rFonts w:ascii="Times New Roman" w:eastAsia="Calibri" w:hAnsi="Times New Roman" w:cs="Times New Roman"/>
          <w:b/>
          <w:sz w:val="26"/>
          <w:szCs w:val="26"/>
        </w:rPr>
        <w:t>2.2.1. Traitements relatifs aux immobilisations</w:t>
      </w:r>
    </w:p>
    <w:p w:rsidR="0039067A" w:rsidRPr="0039067A" w:rsidRDefault="0039067A" w:rsidP="00550D4B">
      <w:pPr>
        <w:numPr>
          <w:ilvl w:val="0"/>
          <w:numId w:val="81"/>
        </w:numPr>
        <w:autoSpaceDE w:val="0"/>
        <w:autoSpaceDN w:val="0"/>
        <w:adjustRightInd w:val="0"/>
        <w:spacing w:before="0" w:beforeAutospacing="0" w:after="120" w:afterAutospacing="0" w:line="276" w:lineRule="auto"/>
        <w:ind w:left="357" w:hanging="357"/>
        <w:contextualSpacing/>
        <w:jc w:val="both"/>
        <w:rPr>
          <w:rFonts w:ascii="Times New Roman" w:eastAsia="Calibri" w:hAnsi="Times New Roman" w:cs="Times New Roman"/>
          <w:b/>
          <w:i/>
        </w:rPr>
      </w:pPr>
      <w:r w:rsidRPr="0039067A">
        <w:rPr>
          <w:rFonts w:ascii="Times New Roman" w:eastAsia="Calibri" w:hAnsi="Times New Roman" w:cs="Times New Roman"/>
          <w:b/>
          <w:i/>
          <w:sz w:val="24"/>
        </w:rPr>
        <w:t>Comptabilisation et évaluation des immobilisations </w:t>
      </w:r>
    </w:p>
    <w:p w:rsidR="0039067A" w:rsidRPr="0039067A" w:rsidRDefault="0039067A" w:rsidP="0039067A">
      <w:pPr>
        <w:spacing w:before="120" w:beforeAutospacing="0" w:after="120" w:afterAutospacing="0" w:line="276" w:lineRule="auto"/>
        <w:ind w:firstLine="357"/>
        <w:jc w:val="both"/>
        <w:rPr>
          <w:rFonts w:ascii="Times New Roman" w:eastAsia="Calibri" w:hAnsi="Times New Roman" w:cs="Times New Roman"/>
          <w:sz w:val="24"/>
        </w:rPr>
      </w:pPr>
      <w:r w:rsidRPr="0039067A">
        <w:rPr>
          <w:rFonts w:ascii="Times New Roman" w:eastAsia="Calibri" w:hAnsi="Times New Roman" w:cs="Times New Roman"/>
          <w:sz w:val="24"/>
        </w:rPr>
        <w:t xml:space="preserve">A </w:t>
      </w:r>
      <w:r w:rsidRPr="0039067A">
        <w:rPr>
          <w:rFonts w:ascii="Times New Roman" w:eastAsia="Calibri" w:hAnsi="Times New Roman" w:cs="Times New Roman"/>
          <w:sz w:val="24"/>
          <w:szCs w:val="26"/>
        </w:rPr>
        <w:t>travers</w:t>
      </w:r>
      <w:r w:rsidRPr="0039067A">
        <w:rPr>
          <w:rFonts w:ascii="Times New Roman" w:eastAsia="Calibri" w:hAnsi="Times New Roman" w:cs="Times New Roman"/>
          <w:sz w:val="24"/>
        </w:rPr>
        <w:t xml:space="preserve"> le diagnostic effectué par rapport à la méthode de comptabilisation des immobilisations, il a été constaté que  les sociétés du Groupe </w:t>
      </w:r>
      <w:proofErr w:type="spellStart"/>
      <w:r w:rsidRPr="0039067A">
        <w:rPr>
          <w:rFonts w:ascii="Times New Roman" w:eastAsia="Calibri" w:hAnsi="Times New Roman" w:cs="Times New Roman"/>
          <w:sz w:val="24"/>
        </w:rPr>
        <w:t>Sonelgaz</w:t>
      </w:r>
      <w:proofErr w:type="spellEnd"/>
      <w:r w:rsidRPr="0039067A">
        <w:rPr>
          <w:rFonts w:ascii="Times New Roman" w:eastAsia="Calibri" w:hAnsi="Times New Roman" w:cs="Times New Roman"/>
          <w:sz w:val="24"/>
        </w:rPr>
        <w:t xml:space="preserve"> appliquaient déjà la disposition relative à la comptabilisation des immobilisations par composants et cela depuis plusieurs années. </w:t>
      </w:r>
    </w:p>
    <w:p w:rsidR="0039067A" w:rsidRPr="0039067A" w:rsidRDefault="0039067A" w:rsidP="0039067A">
      <w:pPr>
        <w:spacing w:before="120" w:beforeAutospacing="0" w:after="120" w:afterAutospacing="0" w:line="276" w:lineRule="auto"/>
        <w:ind w:firstLine="357"/>
        <w:jc w:val="both"/>
        <w:rPr>
          <w:rFonts w:ascii="Times New Roman" w:eastAsia="Calibri" w:hAnsi="Times New Roman" w:cs="Times New Roman"/>
          <w:sz w:val="24"/>
        </w:rPr>
      </w:pPr>
      <w:r w:rsidRPr="0039067A">
        <w:rPr>
          <w:rFonts w:ascii="Times New Roman" w:eastAsia="Calibri" w:hAnsi="Times New Roman" w:cs="Times New Roman"/>
          <w:sz w:val="24"/>
        </w:rPr>
        <w:t xml:space="preserve">En </w:t>
      </w:r>
      <w:r w:rsidRPr="0039067A">
        <w:rPr>
          <w:rFonts w:ascii="Times New Roman" w:eastAsia="Calibri" w:hAnsi="Times New Roman" w:cs="Times New Roman"/>
          <w:sz w:val="24"/>
          <w:szCs w:val="26"/>
        </w:rPr>
        <w:t>effet</w:t>
      </w:r>
      <w:r w:rsidRPr="0039067A">
        <w:rPr>
          <w:rFonts w:ascii="Times New Roman" w:eastAsia="Calibri" w:hAnsi="Times New Roman" w:cs="Times New Roman"/>
          <w:sz w:val="24"/>
        </w:rPr>
        <w:t xml:space="preserve">, Les sociétés métiers disposent d’un dictionnaire des immobilisations, qui  décrit la décomposition technique des ouvrages par composants en faisant ressortir le degré d’individualisation, la durée de vie et la nature de chaque  composant. </w:t>
      </w:r>
      <w:proofErr w:type="spellStart"/>
      <w:r w:rsidRPr="0039067A">
        <w:rPr>
          <w:rFonts w:ascii="Times New Roman" w:eastAsia="Calibri" w:hAnsi="Times New Roman" w:cs="Times New Roman"/>
          <w:sz w:val="24"/>
        </w:rPr>
        <w:t>Sonelgaz</w:t>
      </w:r>
      <w:proofErr w:type="spellEnd"/>
      <w:r w:rsidRPr="0039067A">
        <w:rPr>
          <w:rFonts w:ascii="Times New Roman" w:eastAsia="Calibri" w:hAnsi="Times New Roman" w:cs="Times New Roman"/>
          <w:sz w:val="24"/>
        </w:rPr>
        <w:t xml:space="preserve"> a également fait recours à l’actualisation ou la refonte de ces dictionnaires pour tous les métiers entre 2001 et 2003, pour qu’ils soient en conformité avec les évolutions technologiques qu’ont connues les ouvrages. Ce travail a permis de mettre en place un outil de gestion fiable permettant :</w:t>
      </w:r>
    </w:p>
    <w:p w:rsidR="0039067A" w:rsidRPr="0039067A" w:rsidRDefault="0039067A" w:rsidP="0039067A">
      <w:pPr>
        <w:numPr>
          <w:ilvl w:val="0"/>
          <w:numId w:val="76"/>
        </w:numPr>
        <w:autoSpaceDE w:val="0"/>
        <w:autoSpaceDN w:val="0"/>
        <w:adjustRightInd w:val="0"/>
        <w:spacing w:before="0" w:beforeAutospacing="0" w:after="0" w:afterAutospacing="0" w:line="276" w:lineRule="auto"/>
        <w:contextualSpacing/>
        <w:jc w:val="both"/>
        <w:rPr>
          <w:rFonts w:ascii="Times New Roman" w:eastAsia="Calibri" w:hAnsi="Times New Roman" w:cs="Times New Roman"/>
          <w:sz w:val="24"/>
        </w:rPr>
      </w:pPr>
      <w:r w:rsidRPr="0039067A">
        <w:rPr>
          <w:rFonts w:ascii="Times New Roman" w:eastAsia="Calibri" w:hAnsi="Times New Roman" w:cs="Times New Roman"/>
          <w:sz w:val="24"/>
        </w:rPr>
        <w:t>d’assurer un rapprochement aisé entre les éléments physiques inventoriés et les valeurs enregistrées en comptabilité ;</w:t>
      </w:r>
    </w:p>
    <w:p w:rsidR="0039067A" w:rsidRPr="0039067A" w:rsidRDefault="0039067A" w:rsidP="0039067A">
      <w:pPr>
        <w:numPr>
          <w:ilvl w:val="0"/>
          <w:numId w:val="76"/>
        </w:numPr>
        <w:autoSpaceDE w:val="0"/>
        <w:autoSpaceDN w:val="0"/>
        <w:adjustRightInd w:val="0"/>
        <w:spacing w:before="0" w:beforeAutospacing="0" w:after="0" w:afterAutospacing="0" w:line="276" w:lineRule="auto"/>
        <w:contextualSpacing/>
        <w:jc w:val="both"/>
        <w:rPr>
          <w:rFonts w:ascii="Times New Roman" w:eastAsia="Calibri" w:hAnsi="Times New Roman" w:cs="Times New Roman"/>
          <w:sz w:val="24"/>
        </w:rPr>
      </w:pPr>
      <w:r w:rsidRPr="0039067A">
        <w:rPr>
          <w:rFonts w:ascii="Times New Roman" w:eastAsia="Calibri" w:hAnsi="Times New Roman" w:cs="Times New Roman"/>
          <w:sz w:val="24"/>
        </w:rPr>
        <w:t>de clarifier les opérations de remplacement relevant des investissements et du gros entretien ;</w:t>
      </w:r>
    </w:p>
    <w:p w:rsidR="00550D4B" w:rsidRDefault="00550D4B" w:rsidP="0039067A">
      <w:pPr>
        <w:numPr>
          <w:ilvl w:val="0"/>
          <w:numId w:val="76"/>
        </w:numPr>
        <w:autoSpaceDE w:val="0"/>
        <w:autoSpaceDN w:val="0"/>
        <w:adjustRightInd w:val="0"/>
        <w:spacing w:before="0" w:beforeAutospacing="0" w:after="0" w:afterAutospacing="0" w:line="276" w:lineRule="auto"/>
        <w:contextualSpacing/>
        <w:jc w:val="both"/>
        <w:rPr>
          <w:rFonts w:ascii="Times New Roman" w:eastAsia="Calibri" w:hAnsi="Times New Roman" w:cs="Times New Roman"/>
          <w:sz w:val="24"/>
        </w:rPr>
        <w:sectPr w:rsidR="00550D4B" w:rsidSect="00550D4B">
          <w:pgSz w:w="11906" w:h="16838"/>
          <w:pgMar w:top="1418" w:right="1418" w:bottom="1418" w:left="1418" w:header="709" w:footer="709" w:gutter="567"/>
          <w:cols w:space="708"/>
          <w:titlePg/>
          <w:docGrid w:linePitch="360"/>
        </w:sectPr>
      </w:pPr>
    </w:p>
    <w:p w:rsidR="0039067A" w:rsidRPr="0039067A" w:rsidRDefault="0039067A" w:rsidP="0039067A">
      <w:pPr>
        <w:numPr>
          <w:ilvl w:val="0"/>
          <w:numId w:val="76"/>
        </w:numPr>
        <w:autoSpaceDE w:val="0"/>
        <w:autoSpaceDN w:val="0"/>
        <w:adjustRightInd w:val="0"/>
        <w:spacing w:before="0" w:beforeAutospacing="0" w:after="0" w:afterAutospacing="0" w:line="276" w:lineRule="auto"/>
        <w:contextualSpacing/>
        <w:jc w:val="both"/>
        <w:rPr>
          <w:rFonts w:ascii="Times New Roman" w:eastAsia="Calibri" w:hAnsi="Times New Roman" w:cs="Times New Roman"/>
          <w:sz w:val="24"/>
        </w:rPr>
      </w:pPr>
      <w:r w:rsidRPr="0039067A">
        <w:rPr>
          <w:rFonts w:ascii="Times New Roman" w:eastAsia="Calibri" w:hAnsi="Times New Roman" w:cs="Times New Roman"/>
          <w:sz w:val="24"/>
        </w:rPr>
        <w:lastRenderedPageBreak/>
        <w:t>d’être en harmonie avec le rythme d’utilisation de l’immobilisation  en ce qui concerne la durée de vie.</w:t>
      </w:r>
    </w:p>
    <w:p w:rsidR="0039067A" w:rsidRPr="0039067A" w:rsidRDefault="0039067A" w:rsidP="0039067A">
      <w:pPr>
        <w:autoSpaceDE w:val="0"/>
        <w:autoSpaceDN w:val="0"/>
        <w:adjustRightInd w:val="0"/>
        <w:spacing w:before="60" w:beforeAutospacing="0" w:after="60" w:afterAutospacing="0" w:line="276" w:lineRule="auto"/>
        <w:jc w:val="left"/>
        <w:rPr>
          <w:rFonts w:ascii="Times New Roman" w:eastAsia="Calibri" w:hAnsi="Times New Roman" w:cs="Times New Roman"/>
          <w:sz w:val="24"/>
        </w:rPr>
      </w:pPr>
      <w:r w:rsidRPr="0039067A">
        <w:rPr>
          <w:rFonts w:ascii="Arial" w:eastAsia="Calibri" w:hAnsi="Arial" w:cs="Times New Roman"/>
        </w:rPr>
        <w:t xml:space="preserve">      </w:t>
      </w:r>
      <w:r w:rsidRPr="0039067A">
        <w:rPr>
          <w:rFonts w:ascii="Times New Roman" w:eastAsia="Calibri" w:hAnsi="Times New Roman" w:cs="Times New Roman"/>
          <w:sz w:val="24"/>
          <w:szCs w:val="26"/>
        </w:rPr>
        <w:t>Cependant</w:t>
      </w:r>
      <w:r w:rsidRPr="0039067A">
        <w:rPr>
          <w:rFonts w:ascii="Times New Roman" w:eastAsia="Calibri" w:hAnsi="Times New Roman" w:cs="Times New Roman"/>
          <w:sz w:val="24"/>
        </w:rPr>
        <w:t>, l’immobilier pour sa part n’a pas été concerné par l’actualisation des dictionnaires sur la période précitée. Néanmoins, l’existant propose un découpage par composant des biens  à renouveler à l’exemple des ascenseurs, de la climatisation, du chauffage  et des aménagements de terrain (clôture, trottoir, verdure, jardin, chaussée etc..). Par contre, la boiserie (fenêtre, porte), la plomberie, l’électricité et l’étanchéité n’ont pas été individualisés à ce jour et font partie intégrante du bâtiment.</w:t>
      </w:r>
    </w:p>
    <w:p w:rsidR="0039067A" w:rsidRPr="0039067A" w:rsidRDefault="0039067A" w:rsidP="0039067A">
      <w:pPr>
        <w:spacing w:before="120" w:beforeAutospacing="0" w:after="120" w:afterAutospacing="0" w:line="276" w:lineRule="auto"/>
        <w:ind w:firstLine="357"/>
        <w:jc w:val="both"/>
        <w:rPr>
          <w:rFonts w:ascii="Times New Roman" w:eastAsia="Calibri" w:hAnsi="Times New Roman" w:cs="Times New Roman"/>
          <w:sz w:val="24"/>
        </w:rPr>
      </w:pPr>
      <w:r w:rsidRPr="0039067A">
        <w:rPr>
          <w:rFonts w:ascii="Times New Roman" w:eastAsia="Calibri" w:hAnsi="Times New Roman" w:cs="Times New Roman"/>
          <w:sz w:val="24"/>
        </w:rPr>
        <w:t>Dans le cadre du passage au SCF, et afin d’assurer le respect d’application des nouvelles dispositions instaurées par ce système, des ateliers de  travail ont été organisés et ont touchés les aspects relatifs aux dictionnaires des immobilisations plus particulièrement sur les composantes et leur degré  d’individualisation avec les différents responsables des sociétés du groupe  (SPE – GRTE – GRTG – SDA  et SDC). Au travers des discussions, il a été conclu  que :</w:t>
      </w:r>
    </w:p>
    <w:p w:rsidR="0039067A" w:rsidRPr="0039067A" w:rsidRDefault="0039067A" w:rsidP="0039067A">
      <w:pPr>
        <w:numPr>
          <w:ilvl w:val="0"/>
          <w:numId w:val="77"/>
        </w:numPr>
        <w:autoSpaceDE w:val="0"/>
        <w:autoSpaceDN w:val="0"/>
        <w:adjustRightInd w:val="0"/>
        <w:spacing w:before="0" w:beforeAutospacing="0" w:after="0" w:afterAutospacing="0" w:line="276" w:lineRule="auto"/>
        <w:contextualSpacing/>
        <w:jc w:val="both"/>
        <w:rPr>
          <w:rFonts w:ascii="Times New Roman" w:eastAsia="Calibri" w:hAnsi="Times New Roman" w:cs="Times New Roman"/>
          <w:sz w:val="24"/>
        </w:rPr>
      </w:pPr>
      <w:r w:rsidRPr="0039067A">
        <w:rPr>
          <w:rFonts w:ascii="Times New Roman" w:eastAsia="Calibri" w:hAnsi="Times New Roman" w:cs="Times New Roman"/>
          <w:sz w:val="24"/>
        </w:rPr>
        <w:t>Le contenu des dictionnaires des immobilisations répond dans une large mesure aux dispositions du SCF et peut être affiné en le mettant à jour de façon périodique en  tenant compte des évolutions technologiques et des retours d’expérience sur le terrain.</w:t>
      </w:r>
    </w:p>
    <w:p w:rsidR="0039067A" w:rsidRPr="0039067A" w:rsidRDefault="0039067A" w:rsidP="0039067A">
      <w:pPr>
        <w:numPr>
          <w:ilvl w:val="0"/>
          <w:numId w:val="77"/>
        </w:numPr>
        <w:autoSpaceDE w:val="0"/>
        <w:autoSpaceDN w:val="0"/>
        <w:adjustRightInd w:val="0"/>
        <w:spacing w:before="0" w:beforeAutospacing="0" w:after="0" w:afterAutospacing="0" w:line="276" w:lineRule="auto"/>
        <w:contextualSpacing/>
        <w:jc w:val="both"/>
        <w:rPr>
          <w:rFonts w:ascii="Times New Roman" w:eastAsia="Calibri" w:hAnsi="Times New Roman" w:cs="Times New Roman"/>
          <w:sz w:val="24"/>
        </w:rPr>
      </w:pPr>
      <w:r w:rsidRPr="0039067A">
        <w:rPr>
          <w:rFonts w:ascii="Times New Roman" w:eastAsia="Calibri" w:hAnsi="Times New Roman" w:cs="Times New Roman"/>
          <w:sz w:val="24"/>
        </w:rPr>
        <w:t xml:space="preserve">Pour les immeubles, on pourrait introduire de nouveaux composants dans les dictionnaires comme la structure et ouvrages assimilés, la menuiserie extérieure, l’étanchéité, l’électricité et la  plomberie. </w:t>
      </w:r>
    </w:p>
    <w:p w:rsidR="0039067A" w:rsidRPr="0039067A" w:rsidRDefault="0039067A" w:rsidP="0039067A">
      <w:pPr>
        <w:numPr>
          <w:ilvl w:val="0"/>
          <w:numId w:val="77"/>
        </w:numPr>
        <w:autoSpaceDE w:val="0"/>
        <w:autoSpaceDN w:val="0"/>
        <w:adjustRightInd w:val="0"/>
        <w:spacing w:before="0" w:beforeAutospacing="0" w:after="0" w:afterAutospacing="0" w:line="276" w:lineRule="auto"/>
        <w:contextualSpacing/>
        <w:jc w:val="both"/>
        <w:rPr>
          <w:rFonts w:ascii="Times New Roman" w:eastAsia="Calibri" w:hAnsi="Times New Roman" w:cs="Times New Roman"/>
          <w:sz w:val="24"/>
        </w:rPr>
      </w:pPr>
      <w:r w:rsidRPr="0039067A">
        <w:rPr>
          <w:rFonts w:ascii="Times New Roman" w:eastAsia="Calibri" w:hAnsi="Times New Roman" w:cs="Times New Roman"/>
          <w:sz w:val="24"/>
        </w:rPr>
        <w:t xml:space="preserve">Intégrer un nouveau composant réparation/révision qui viendrait remplacer la provision de gros entretien essentiellement pour la Production. </w:t>
      </w:r>
      <w:bookmarkStart w:id="13" w:name="_Toc280169811"/>
      <w:bookmarkStart w:id="14" w:name="_Toc280543211"/>
      <w:bookmarkStart w:id="15" w:name="_Toc280543720"/>
      <w:bookmarkStart w:id="16" w:name="_Toc280549193"/>
      <w:bookmarkStart w:id="17" w:name="_Toc280549505"/>
      <w:bookmarkStart w:id="18" w:name="_Toc280549696"/>
    </w:p>
    <w:p w:rsidR="0039067A" w:rsidRPr="0039067A" w:rsidRDefault="0039067A" w:rsidP="0039067A">
      <w:pPr>
        <w:spacing w:before="120" w:beforeAutospacing="0" w:after="120" w:afterAutospacing="0" w:line="276" w:lineRule="auto"/>
        <w:ind w:firstLine="357"/>
        <w:jc w:val="both"/>
        <w:rPr>
          <w:rFonts w:ascii="Times New Roman" w:eastAsia="Calibri" w:hAnsi="Times New Roman" w:cs="Times New Roman"/>
          <w:sz w:val="24"/>
        </w:rPr>
      </w:pPr>
      <w:r w:rsidRPr="0039067A">
        <w:rPr>
          <w:rFonts w:ascii="Times New Roman" w:eastAsia="Calibri" w:hAnsi="Times New Roman" w:cs="Times New Roman"/>
          <w:sz w:val="24"/>
        </w:rPr>
        <w:t xml:space="preserve">Il est à noter que les durées d’utilité des différents composants inscrits au niveau des dictionnaires des immobilisations nécessitent d’être révisées. Cependant, la révision de ces durées d’utilité est une disposition lourde (environ 400 000 fiches uniquement pour le fichier central). Dès lors cette révision est programmée pour l’exercice 2011. </w:t>
      </w:r>
    </w:p>
    <w:p w:rsidR="0039067A" w:rsidRPr="0039067A" w:rsidRDefault="0039067A" w:rsidP="0039067A">
      <w:pPr>
        <w:spacing w:before="120" w:beforeAutospacing="0" w:after="120" w:afterAutospacing="0" w:line="276" w:lineRule="auto"/>
        <w:ind w:firstLine="357"/>
        <w:jc w:val="both"/>
        <w:rPr>
          <w:rFonts w:ascii="Times New Roman" w:eastAsia="Calibri" w:hAnsi="Times New Roman" w:cs="Times New Roman"/>
          <w:sz w:val="24"/>
        </w:rPr>
      </w:pPr>
      <w:r w:rsidRPr="0039067A">
        <w:rPr>
          <w:rFonts w:ascii="Times New Roman" w:eastAsia="Calibri" w:hAnsi="Times New Roman" w:cs="Times New Roman"/>
          <w:sz w:val="24"/>
        </w:rPr>
        <w:t xml:space="preserve">Sur la base de ce diagnostic, les organes de gestion du Groupe ont opté pour la constitution, pour l’exercice 2011, d’un  </w:t>
      </w:r>
      <w:bookmarkEnd w:id="13"/>
      <w:bookmarkEnd w:id="14"/>
      <w:bookmarkEnd w:id="15"/>
      <w:bookmarkEnd w:id="16"/>
      <w:bookmarkEnd w:id="17"/>
      <w:bookmarkEnd w:id="18"/>
      <w:r w:rsidRPr="0039067A">
        <w:rPr>
          <w:rFonts w:ascii="Times New Roman" w:eastAsia="Calibri" w:hAnsi="Times New Roman" w:cs="Times New Roman"/>
          <w:sz w:val="24"/>
        </w:rPr>
        <w:t xml:space="preserve"> groupe de travail </w:t>
      </w:r>
      <w:r w:rsidR="00550D4B" w:rsidRPr="0039067A">
        <w:rPr>
          <w:rFonts w:ascii="Times New Roman" w:eastAsia="Calibri" w:hAnsi="Times New Roman" w:cs="Times New Roman"/>
          <w:sz w:val="24"/>
        </w:rPr>
        <w:t>multifonctions</w:t>
      </w:r>
      <w:r w:rsidRPr="0039067A">
        <w:rPr>
          <w:rFonts w:ascii="Times New Roman" w:eastAsia="Calibri" w:hAnsi="Times New Roman" w:cs="Times New Roman"/>
          <w:sz w:val="24"/>
        </w:rPr>
        <w:t xml:space="preserve"> (techniciens, gestionnaires et comptables) à l’effet d’affiner les dictionnaires des immobilisations et plus particulièrement pour les biens immobiliers, qui pourraient dans une première étape être estimés sur des pourcentages reconnus usuellement au titre de l’exercice 2010. Ce groupe va tout de même permettre la révision des durées d’utilité.</w:t>
      </w:r>
    </w:p>
    <w:p w:rsidR="00550D4B" w:rsidRDefault="0039067A" w:rsidP="0039067A">
      <w:pPr>
        <w:spacing w:before="120" w:beforeAutospacing="0" w:after="120" w:afterAutospacing="0" w:line="276" w:lineRule="auto"/>
        <w:ind w:firstLine="357"/>
        <w:jc w:val="both"/>
        <w:rPr>
          <w:rFonts w:ascii="Times New Roman" w:eastAsia="Calibri" w:hAnsi="Times New Roman" w:cs="Times New Roman"/>
          <w:sz w:val="24"/>
        </w:rPr>
        <w:sectPr w:rsidR="00550D4B" w:rsidSect="00550D4B">
          <w:pgSz w:w="11906" w:h="16838"/>
          <w:pgMar w:top="1418" w:right="1418" w:bottom="1418" w:left="1418" w:header="709" w:footer="709" w:gutter="567"/>
          <w:cols w:space="708"/>
          <w:titlePg/>
          <w:docGrid w:linePitch="360"/>
        </w:sectPr>
      </w:pPr>
      <w:r w:rsidRPr="0039067A">
        <w:rPr>
          <w:rFonts w:ascii="Times New Roman" w:eastAsia="Calibri" w:hAnsi="Times New Roman" w:cs="Times New Roman"/>
          <w:sz w:val="24"/>
        </w:rPr>
        <w:t xml:space="preserve">En ce qui concerne la méthode d’évaluation des immobilisations choisie, le Groupe a opté pour le </w:t>
      </w:r>
      <w:r w:rsidR="00550D4B" w:rsidRPr="0039067A">
        <w:rPr>
          <w:rFonts w:ascii="Times New Roman" w:eastAsia="Calibri" w:hAnsi="Times New Roman" w:cs="Times New Roman"/>
          <w:sz w:val="24"/>
        </w:rPr>
        <w:t>maintien</w:t>
      </w:r>
      <w:r w:rsidRPr="0039067A">
        <w:rPr>
          <w:rFonts w:ascii="Times New Roman" w:eastAsia="Calibri" w:hAnsi="Times New Roman" w:cs="Times New Roman"/>
          <w:sz w:val="24"/>
        </w:rPr>
        <w:t xml:space="preserve"> de la méthode fondée sur le coût historique. Cela pour  les biens qui présentent des difficultés concernant la disponibilité des spécialistes habilités à évaluer leurs valeurs, il s’agit particulièrement des  équipements concourant directement à la production de sociétés du Groupe. En revanche, le Groupe a décidé de mettre en </w:t>
      </w:r>
    </w:p>
    <w:p w:rsidR="0039067A" w:rsidRPr="0039067A" w:rsidRDefault="0039067A" w:rsidP="0039067A">
      <w:pPr>
        <w:spacing w:before="120" w:beforeAutospacing="0" w:after="120" w:afterAutospacing="0" w:line="276" w:lineRule="auto"/>
        <w:ind w:firstLine="357"/>
        <w:jc w:val="both"/>
        <w:rPr>
          <w:rFonts w:ascii="Times New Roman" w:eastAsia="Calibri" w:hAnsi="Times New Roman" w:cs="Times New Roman"/>
          <w:sz w:val="24"/>
        </w:rPr>
      </w:pPr>
      <w:proofErr w:type="gramStart"/>
      <w:r w:rsidRPr="0039067A">
        <w:rPr>
          <w:rFonts w:ascii="Times New Roman" w:eastAsia="Calibri" w:hAnsi="Times New Roman" w:cs="Times New Roman"/>
          <w:sz w:val="24"/>
        </w:rPr>
        <w:lastRenderedPageBreak/>
        <w:t>place</w:t>
      </w:r>
      <w:proofErr w:type="gramEnd"/>
      <w:r w:rsidRPr="0039067A">
        <w:rPr>
          <w:rFonts w:ascii="Times New Roman" w:eastAsia="Calibri" w:hAnsi="Times New Roman" w:cs="Times New Roman"/>
          <w:sz w:val="24"/>
        </w:rPr>
        <w:t xml:space="preserve"> des mécanismes de réévaluation des biens immobiliers (terrains-bâtiments) à partir de 2011 compte tenu de l’existence d’un marché. </w:t>
      </w:r>
    </w:p>
    <w:p w:rsidR="0039067A" w:rsidRPr="0039067A" w:rsidRDefault="0039067A" w:rsidP="00550D4B">
      <w:pPr>
        <w:numPr>
          <w:ilvl w:val="0"/>
          <w:numId w:val="81"/>
        </w:numPr>
        <w:autoSpaceDE w:val="0"/>
        <w:autoSpaceDN w:val="0"/>
        <w:adjustRightInd w:val="0"/>
        <w:spacing w:before="0" w:beforeAutospacing="0" w:after="120" w:afterAutospacing="0" w:line="276" w:lineRule="auto"/>
        <w:ind w:left="357" w:hanging="357"/>
        <w:contextualSpacing/>
        <w:jc w:val="both"/>
        <w:rPr>
          <w:rFonts w:ascii="Times New Roman" w:eastAsia="Calibri" w:hAnsi="Times New Roman" w:cs="Times New Roman"/>
          <w:b/>
          <w:i/>
          <w:sz w:val="24"/>
        </w:rPr>
      </w:pPr>
      <w:r w:rsidRPr="0039067A">
        <w:rPr>
          <w:rFonts w:ascii="Times New Roman" w:eastAsia="Calibri" w:hAnsi="Times New Roman" w:cs="Times New Roman"/>
          <w:b/>
          <w:i/>
          <w:sz w:val="24"/>
        </w:rPr>
        <w:t>Les  amortissements des immobilisations corporelles et incorporelles</w:t>
      </w:r>
    </w:p>
    <w:p w:rsidR="0039067A" w:rsidRPr="0039067A" w:rsidRDefault="0039067A" w:rsidP="0039067A">
      <w:pPr>
        <w:spacing w:before="120" w:beforeAutospacing="0" w:after="120" w:afterAutospacing="0" w:line="276" w:lineRule="auto"/>
        <w:ind w:firstLine="357"/>
        <w:jc w:val="both"/>
        <w:rPr>
          <w:rFonts w:ascii="Times New Roman" w:eastAsia="Calibri" w:hAnsi="Times New Roman" w:cs="Times New Roman"/>
          <w:sz w:val="24"/>
        </w:rPr>
      </w:pPr>
      <w:r w:rsidRPr="0039067A">
        <w:rPr>
          <w:rFonts w:ascii="Times New Roman" w:eastAsia="Calibri" w:hAnsi="Times New Roman" w:cs="Times New Roman"/>
          <w:sz w:val="24"/>
        </w:rPr>
        <w:t xml:space="preserve">Dans le cadre du PCN, la </w:t>
      </w:r>
      <w:proofErr w:type="spellStart"/>
      <w:r w:rsidRPr="0039067A">
        <w:rPr>
          <w:rFonts w:ascii="Times New Roman" w:eastAsia="Calibri" w:hAnsi="Times New Roman" w:cs="Times New Roman"/>
          <w:sz w:val="24"/>
        </w:rPr>
        <w:t>Sonelgaz</w:t>
      </w:r>
      <w:proofErr w:type="spellEnd"/>
      <w:r w:rsidRPr="0039067A">
        <w:rPr>
          <w:rFonts w:ascii="Times New Roman" w:eastAsia="Calibri" w:hAnsi="Times New Roman" w:cs="Times New Roman"/>
          <w:sz w:val="24"/>
        </w:rPr>
        <w:t>, pratiquait deux (2) modes d’amortissements pour ses immobilisations, à savoir : le linéaire et le dégressif.</w:t>
      </w:r>
    </w:p>
    <w:p w:rsidR="0039067A" w:rsidRPr="0039067A" w:rsidRDefault="0039067A" w:rsidP="0039067A">
      <w:pPr>
        <w:spacing w:before="120" w:beforeAutospacing="0" w:after="120" w:afterAutospacing="0" w:line="276" w:lineRule="auto"/>
        <w:ind w:firstLine="357"/>
        <w:jc w:val="both"/>
        <w:rPr>
          <w:rFonts w:ascii="Times New Roman" w:eastAsia="Calibri" w:hAnsi="Times New Roman" w:cs="Times New Roman"/>
          <w:sz w:val="24"/>
        </w:rPr>
      </w:pPr>
      <w:r w:rsidRPr="0039067A">
        <w:rPr>
          <w:rFonts w:ascii="Times New Roman" w:eastAsia="Calibri" w:hAnsi="Times New Roman" w:cs="Times New Roman"/>
          <w:sz w:val="24"/>
        </w:rPr>
        <w:t>Sont concernés par le mode dégressif, les immobilisations ayant un rapport direct avec l’activité de la société : Réseaux de transport, réseaux de distribution et de la production c'est-à-dire les équipements concourant directement à la production au niveau des entreprises. Les immeubles d’habitations, les chantiers et les locaux servant à l’exercice de la profession, les autres biens (inscrits dans le fichier auxiliaire) sont quant à eux amortis en linéaire</w:t>
      </w:r>
      <w:r w:rsidRPr="0039067A">
        <w:rPr>
          <w:rFonts w:ascii="Arial" w:eastAsia="Calibri" w:hAnsi="Arial" w:cs="Arial"/>
        </w:rPr>
        <w:t xml:space="preserve">.   </w:t>
      </w:r>
    </w:p>
    <w:p w:rsidR="0039067A" w:rsidRPr="0039067A" w:rsidRDefault="0039067A" w:rsidP="0039067A">
      <w:pPr>
        <w:spacing w:before="120" w:beforeAutospacing="0" w:after="120" w:afterAutospacing="0" w:line="276" w:lineRule="auto"/>
        <w:ind w:firstLine="357"/>
        <w:jc w:val="both"/>
        <w:rPr>
          <w:rFonts w:ascii="Times New Roman" w:eastAsia="Calibri" w:hAnsi="Times New Roman" w:cs="Times New Roman"/>
          <w:b/>
          <w:i/>
          <w:color w:val="FF0000"/>
          <w:sz w:val="24"/>
        </w:rPr>
      </w:pPr>
      <w:r w:rsidRPr="0039067A">
        <w:rPr>
          <w:rFonts w:ascii="Times New Roman" w:eastAsia="Calibri" w:hAnsi="Times New Roman" w:cs="Times New Roman"/>
          <w:sz w:val="24"/>
        </w:rPr>
        <w:t xml:space="preserve">La pratique de l’amortissement dégressif est subordonné au respect des conditions édictées par l’article 174 paragraphe 2 du code des impôts directs, qui précise «  </w:t>
      </w:r>
      <w:r w:rsidRPr="0039067A">
        <w:rPr>
          <w:rFonts w:ascii="Times New Roman" w:eastAsia="Calibri" w:hAnsi="Times New Roman" w:cs="Times New Roman"/>
          <w:b/>
          <w:i/>
          <w:sz w:val="24"/>
        </w:rPr>
        <w:t xml:space="preserve">Pour bénéficier de l’amortissement dégressif, les entreprises soumises au régime d’imposition d’après le bénéfice réel doivent obligatoirement opter pour ce type d’amortissement. L’option qui est </w:t>
      </w:r>
      <w:r w:rsidRPr="0039067A">
        <w:rPr>
          <w:rFonts w:ascii="Times New Roman" w:eastAsia="Calibri" w:hAnsi="Times New Roman" w:cs="Times New Roman"/>
          <w:b/>
          <w:i/>
          <w:sz w:val="24"/>
          <w:u w:val="single"/>
        </w:rPr>
        <w:t>irrévocable</w:t>
      </w:r>
      <w:r w:rsidRPr="0039067A">
        <w:rPr>
          <w:rFonts w:ascii="Times New Roman" w:eastAsia="Calibri" w:hAnsi="Times New Roman" w:cs="Times New Roman"/>
          <w:b/>
          <w:i/>
          <w:sz w:val="24"/>
        </w:rPr>
        <w:t xml:space="preserve"> pour les mêmes immobilisations doit être formulée par écrit lors de la production de la déclaration des résultats de  l’exercice clos ». </w:t>
      </w:r>
      <w:r w:rsidRPr="0039067A">
        <w:rPr>
          <w:rFonts w:ascii="Times New Roman" w:eastAsia="Calibri" w:hAnsi="Times New Roman" w:cs="Times New Roman"/>
          <w:sz w:val="24"/>
        </w:rPr>
        <w:t xml:space="preserve">Ainsi, en 2001, la Direction Générale des Impôts a donné  son accord à la demande de </w:t>
      </w:r>
      <w:proofErr w:type="spellStart"/>
      <w:r w:rsidRPr="0039067A">
        <w:rPr>
          <w:rFonts w:ascii="Times New Roman" w:eastAsia="Calibri" w:hAnsi="Times New Roman" w:cs="Times New Roman"/>
          <w:sz w:val="24"/>
        </w:rPr>
        <w:t>Sonelgaz</w:t>
      </w:r>
      <w:proofErr w:type="spellEnd"/>
      <w:r w:rsidRPr="0039067A">
        <w:rPr>
          <w:rFonts w:ascii="Times New Roman" w:eastAsia="Calibri" w:hAnsi="Times New Roman" w:cs="Times New Roman"/>
          <w:sz w:val="24"/>
        </w:rPr>
        <w:t xml:space="preserve"> pour l’option de l’application de l’amortissement dégressif avec toutefois un rappel à </w:t>
      </w:r>
      <w:r w:rsidRPr="0039067A">
        <w:rPr>
          <w:rFonts w:ascii="Times New Roman" w:eastAsia="Calibri" w:hAnsi="Times New Roman" w:cs="Times New Roman"/>
          <w:sz w:val="24"/>
          <w:u w:val="single"/>
        </w:rPr>
        <w:t>l’irrévocabilité</w:t>
      </w:r>
      <w:r w:rsidRPr="0039067A">
        <w:rPr>
          <w:rFonts w:ascii="Times New Roman" w:eastAsia="Calibri" w:hAnsi="Times New Roman" w:cs="Times New Roman"/>
          <w:sz w:val="24"/>
        </w:rPr>
        <w:t xml:space="preserve"> de cette option pour les investissements amortis selon ce mode. A cet effet, et depuis 2001, les sociétés du Groupe appliquaient le mode dégressif pour le calcul d’amortissement de certains actifs.    </w:t>
      </w:r>
    </w:p>
    <w:p w:rsidR="0039067A" w:rsidRPr="0039067A" w:rsidRDefault="0039067A" w:rsidP="0039067A">
      <w:pPr>
        <w:spacing w:before="120" w:beforeAutospacing="0" w:after="120" w:afterAutospacing="0" w:line="276" w:lineRule="auto"/>
        <w:ind w:firstLine="357"/>
        <w:jc w:val="both"/>
        <w:rPr>
          <w:rFonts w:ascii="Times New Roman" w:eastAsia="Calibri" w:hAnsi="Times New Roman" w:cs="Times New Roman"/>
          <w:sz w:val="24"/>
        </w:rPr>
      </w:pPr>
      <w:r w:rsidRPr="0039067A">
        <w:rPr>
          <w:rFonts w:ascii="Times New Roman" w:eastAsia="Calibri" w:hAnsi="Times New Roman" w:cs="Times New Roman"/>
          <w:sz w:val="24"/>
        </w:rPr>
        <w:t xml:space="preserve">Par ailleurs,  </w:t>
      </w:r>
      <w:bookmarkStart w:id="19" w:name="_Toc280543231"/>
      <w:bookmarkStart w:id="20" w:name="_Toc280543743"/>
      <w:bookmarkStart w:id="21" w:name="_Toc280549216"/>
      <w:bookmarkStart w:id="22" w:name="_Toc280549528"/>
      <w:bookmarkStart w:id="23" w:name="_Toc280549719"/>
      <w:r w:rsidRPr="0039067A">
        <w:rPr>
          <w:rFonts w:ascii="Times New Roman" w:eastAsia="Calibri" w:hAnsi="Times New Roman" w:cs="Times New Roman"/>
          <w:sz w:val="24"/>
        </w:rPr>
        <w:t>Il est à noter que la détermination des coûts  économiques pour la fixation des tarifs de l’énergie est calculée en tenant compte des amortissements linéaires.</w:t>
      </w:r>
      <w:bookmarkEnd w:id="19"/>
      <w:bookmarkEnd w:id="20"/>
      <w:bookmarkEnd w:id="21"/>
      <w:bookmarkEnd w:id="22"/>
      <w:bookmarkEnd w:id="23"/>
      <w:r w:rsidRPr="0039067A">
        <w:rPr>
          <w:rFonts w:ascii="Times New Roman" w:eastAsia="Calibri" w:hAnsi="Times New Roman" w:cs="Times New Roman"/>
          <w:sz w:val="24"/>
        </w:rPr>
        <w:t xml:space="preserve"> Donc, et le diagnostic effectué, l’amortissement dégressif ne traduits pas le rythme réel d’utilisation de ces bien. Dès lors, et pour être plus en adéquation avec la réalité économique au vu de la nature des activités et des investissements des sociétés métiers du Groupe, il a été décidé de revenir sur le mode linéaire </w:t>
      </w:r>
      <w:proofErr w:type="spellStart"/>
      <w:r w:rsidRPr="0039067A">
        <w:rPr>
          <w:rFonts w:ascii="Times New Roman" w:eastAsia="Calibri" w:hAnsi="Times New Roman" w:cs="Times New Roman"/>
          <w:sz w:val="24"/>
        </w:rPr>
        <w:t>comptablement</w:t>
      </w:r>
      <w:proofErr w:type="spellEnd"/>
      <w:r w:rsidRPr="0039067A">
        <w:rPr>
          <w:rFonts w:ascii="Times New Roman" w:eastAsia="Calibri" w:hAnsi="Times New Roman" w:cs="Times New Roman"/>
          <w:sz w:val="24"/>
        </w:rPr>
        <w:t xml:space="preserve"> pour ces sociétés, tout en continuant sur le régime dégressif fiscalement.</w:t>
      </w:r>
    </w:p>
    <w:p w:rsidR="0039067A" w:rsidRPr="0039067A" w:rsidRDefault="0039067A" w:rsidP="00550D4B">
      <w:pPr>
        <w:numPr>
          <w:ilvl w:val="0"/>
          <w:numId w:val="81"/>
        </w:numPr>
        <w:autoSpaceDE w:val="0"/>
        <w:autoSpaceDN w:val="0"/>
        <w:adjustRightInd w:val="0"/>
        <w:spacing w:before="0" w:beforeAutospacing="0" w:after="120" w:afterAutospacing="0" w:line="276" w:lineRule="auto"/>
        <w:ind w:left="357" w:hanging="357"/>
        <w:contextualSpacing/>
        <w:jc w:val="both"/>
        <w:rPr>
          <w:rFonts w:ascii="Times New Roman" w:eastAsia="Calibri" w:hAnsi="Times New Roman" w:cs="Times New Roman"/>
          <w:b/>
          <w:i/>
          <w:sz w:val="24"/>
        </w:rPr>
      </w:pPr>
      <w:r w:rsidRPr="0039067A">
        <w:rPr>
          <w:rFonts w:ascii="Times New Roman" w:eastAsia="Calibri" w:hAnsi="Times New Roman" w:cs="Times New Roman"/>
          <w:b/>
          <w:i/>
          <w:sz w:val="24"/>
        </w:rPr>
        <w:t>Le gros entretien</w:t>
      </w:r>
    </w:p>
    <w:p w:rsidR="0039067A" w:rsidRPr="0039067A" w:rsidRDefault="0039067A" w:rsidP="0039067A">
      <w:pPr>
        <w:spacing w:before="120" w:beforeAutospacing="0" w:after="120" w:afterAutospacing="0" w:line="276" w:lineRule="auto"/>
        <w:ind w:firstLine="357"/>
        <w:jc w:val="both"/>
        <w:rPr>
          <w:rFonts w:ascii="Times New Roman" w:eastAsia="Calibri" w:hAnsi="Times New Roman" w:cs="Times New Roman"/>
          <w:sz w:val="24"/>
        </w:rPr>
      </w:pPr>
      <w:bookmarkStart w:id="24" w:name="_Toc280549738"/>
      <w:bookmarkStart w:id="25" w:name="_Toc280549547"/>
      <w:bookmarkStart w:id="26" w:name="_Toc280543762"/>
      <w:bookmarkStart w:id="27" w:name="_Toc280543248"/>
      <w:bookmarkStart w:id="28" w:name="_Toc280099773"/>
      <w:r w:rsidRPr="0039067A">
        <w:rPr>
          <w:rFonts w:ascii="Times New Roman" w:eastAsia="Calibri" w:hAnsi="Times New Roman" w:cs="Times New Roman"/>
          <w:sz w:val="24"/>
        </w:rPr>
        <w:t xml:space="preserve">Dans le cadre du PCN, les sociétés du Groupe </w:t>
      </w:r>
      <w:proofErr w:type="spellStart"/>
      <w:r w:rsidRPr="0039067A">
        <w:rPr>
          <w:rFonts w:ascii="Times New Roman" w:eastAsia="Calibri" w:hAnsi="Times New Roman" w:cs="Times New Roman"/>
          <w:sz w:val="24"/>
        </w:rPr>
        <w:t>Sonelgaz</w:t>
      </w:r>
      <w:bookmarkEnd w:id="24"/>
      <w:bookmarkEnd w:id="25"/>
      <w:bookmarkEnd w:id="26"/>
      <w:bookmarkEnd w:id="27"/>
      <w:bookmarkEnd w:id="28"/>
      <w:proofErr w:type="spellEnd"/>
      <w:r w:rsidRPr="0039067A">
        <w:rPr>
          <w:rFonts w:ascii="Times New Roman" w:eastAsia="Calibri" w:hAnsi="Times New Roman" w:cs="Times New Roman"/>
          <w:sz w:val="24"/>
        </w:rPr>
        <w:t xml:space="preserve"> procédaient au provisionnement des charges liées aux gros entretiens. Cependant, le SCF n’autorise plus la constatation de toute provision liée à ces charges (grosses réparations ou entretiens). Dès lors les sociétés sont tenues d’annuler ces prévisions en particulier pour l’exercice 2009. </w:t>
      </w:r>
    </w:p>
    <w:p w:rsidR="0039067A" w:rsidRPr="0039067A" w:rsidRDefault="0039067A" w:rsidP="0039067A">
      <w:pPr>
        <w:spacing w:before="120" w:beforeAutospacing="0" w:after="120" w:afterAutospacing="0" w:line="276" w:lineRule="auto"/>
        <w:ind w:firstLine="357"/>
        <w:jc w:val="both"/>
        <w:rPr>
          <w:rFonts w:ascii="Times New Roman" w:eastAsia="Calibri" w:hAnsi="Times New Roman" w:cs="Times New Roman"/>
          <w:sz w:val="24"/>
        </w:rPr>
      </w:pPr>
      <w:r w:rsidRPr="0039067A">
        <w:rPr>
          <w:rFonts w:ascii="Times New Roman" w:eastAsia="Calibri" w:hAnsi="Times New Roman" w:cs="Times New Roman"/>
          <w:sz w:val="24"/>
        </w:rPr>
        <w:t>Suite au diagnostic qui a été effectué au niveau des sociétés du Groupe, ces charges provisionnées concernent :</w:t>
      </w:r>
    </w:p>
    <w:p w:rsidR="00550D4B" w:rsidRDefault="00550D4B" w:rsidP="00550D4B">
      <w:pPr>
        <w:numPr>
          <w:ilvl w:val="0"/>
          <w:numId w:val="81"/>
        </w:numPr>
        <w:spacing w:before="120" w:beforeAutospacing="0" w:after="120" w:afterAutospacing="0" w:line="276" w:lineRule="auto"/>
        <w:contextualSpacing/>
        <w:jc w:val="both"/>
        <w:rPr>
          <w:rFonts w:ascii="Times New Roman" w:eastAsia="Calibri" w:hAnsi="Times New Roman" w:cs="Times New Roman"/>
          <w:sz w:val="24"/>
        </w:rPr>
        <w:sectPr w:rsidR="00550D4B" w:rsidSect="00550D4B">
          <w:pgSz w:w="11906" w:h="16838"/>
          <w:pgMar w:top="1418" w:right="1418" w:bottom="1418" w:left="1418" w:header="709" w:footer="709" w:gutter="567"/>
          <w:cols w:space="708"/>
          <w:titlePg/>
          <w:docGrid w:linePitch="360"/>
        </w:sectPr>
      </w:pPr>
    </w:p>
    <w:p w:rsidR="0039067A" w:rsidRPr="0039067A" w:rsidRDefault="0039067A" w:rsidP="00550D4B">
      <w:pPr>
        <w:numPr>
          <w:ilvl w:val="0"/>
          <w:numId w:val="81"/>
        </w:numPr>
        <w:spacing w:before="120" w:beforeAutospacing="0" w:after="120" w:afterAutospacing="0" w:line="276" w:lineRule="auto"/>
        <w:contextualSpacing/>
        <w:jc w:val="both"/>
        <w:rPr>
          <w:rFonts w:ascii="Times New Roman" w:eastAsia="Calibri" w:hAnsi="Times New Roman" w:cs="Times New Roman"/>
          <w:sz w:val="24"/>
        </w:rPr>
      </w:pPr>
      <w:r w:rsidRPr="0039067A">
        <w:rPr>
          <w:rFonts w:ascii="Times New Roman" w:eastAsia="Calibri" w:hAnsi="Times New Roman" w:cs="Times New Roman"/>
          <w:sz w:val="24"/>
        </w:rPr>
        <w:lastRenderedPageBreak/>
        <w:t>Soit des charges d’entretiens liées à l’exploitation et qui représentent des charges normales de l’exercice ;</w:t>
      </w:r>
    </w:p>
    <w:p w:rsidR="0039067A" w:rsidRPr="0039067A" w:rsidRDefault="0039067A" w:rsidP="00550D4B">
      <w:pPr>
        <w:numPr>
          <w:ilvl w:val="0"/>
          <w:numId w:val="81"/>
        </w:numPr>
        <w:spacing w:before="120" w:beforeAutospacing="0" w:after="120" w:afterAutospacing="0" w:line="276" w:lineRule="auto"/>
        <w:contextualSpacing/>
        <w:jc w:val="both"/>
        <w:rPr>
          <w:rFonts w:ascii="Times New Roman" w:eastAsia="Calibri" w:hAnsi="Times New Roman" w:cs="Times New Roman"/>
          <w:sz w:val="24"/>
        </w:rPr>
      </w:pPr>
      <w:r w:rsidRPr="0039067A">
        <w:rPr>
          <w:rFonts w:ascii="Times New Roman" w:eastAsia="Calibri" w:hAnsi="Times New Roman" w:cs="Times New Roman"/>
          <w:sz w:val="24"/>
        </w:rPr>
        <w:t>Soit des charges liées à des révisions cycliques de certains ouvrages et qui sont considérées comme un composant de ces ouvrages.</w:t>
      </w:r>
    </w:p>
    <w:p w:rsidR="0039067A" w:rsidRPr="0039067A" w:rsidRDefault="0039067A" w:rsidP="0039067A">
      <w:pPr>
        <w:spacing w:before="120" w:beforeAutospacing="0" w:after="120" w:afterAutospacing="0" w:line="276" w:lineRule="auto"/>
        <w:ind w:firstLine="357"/>
        <w:jc w:val="both"/>
        <w:rPr>
          <w:rFonts w:ascii="Times New Roman" w:eastAsia="Calibri" w:hAnsi="Times New Roman" w:cs="Times New Roman"/>
          <w:sz w:val="24"/>
        </w:rPr>
      </w:pPr>
      <w:r w:rsidRPr="0039067A">
        <w:rPr>
          <w:rFonts w:ascii="Times New Roman" w:eastAsia="Calibri" w:hAnsi="Times New Roman" w:cs="Times New Roman"/>
          <w:sz w:val="24"/>
        </w:rPr>
        <w:t xml:space="preserve">Il est à noter que ce traitement va avoir un impact sur le compte de résultat vu la constatation des charges d’amortissement liées aux nouveaux composants.    </w:t>
      </w:r>
    </w:p>
    <w:p w:rsidR="0039067A" w:rsidRPr="0039067A" w:rsidRDefault="0039067A" w:rsidP="00550D4B">
      <w:pPr>
        <w:numPr>
          <w:ilvl w:val="0"/>
          <w:numId w:val="81"/>
        </w:numPr>
        <w:autoSpaceDE w:val="0"/>
        <w:autoSpaceDN w:val="0"/>
        <w:adjustRightInd w:val="0"/>
        <w:spacing w:before="0" w:beforeAutospacing="0" w:after="120" w:afterAutospacing="0" w:line="276" w:lineRule="auto"/>
        <w:ind w:left="357" w:hanging="357"/>
        <w:contextualSpacing/>
        <w:jc w:val="both"/>
        <w:rPr>
          <w:rFonts w:ascii="Times New Roman" w:eastAsia="Calibri" w:hAnsi="Times New Roman" w:cs="Times New Roman"/>
          <w:b/>
          <w:i/>
          <w:sz w:val="24"/>
        </w:rPr>
      </w:pPr>
      <w:r w:rsidRPr="0039067A">
        <w:rPr>
          <w:rFonts w:ascii="Times New Roman" w:eastAsia="Calibri" w:hAnsi="Times New Roman" w:cs="Times New Roman"/>
          <w:b/>
          <w:i/>
          <w:sz w:val="24"/>
        </w:rPr>
        <w:t>Actifs financiers non courants</w:t>
      </w:r>
    </w:p>
    <w:p w:rsidR="0039067A" w:rsidRPr="0039067A" w:rsidRDefault="0039067A" w:rsidP="0039067A">
      <w:pPr>
        <w:spacing w:before="120" w:beforeAutospacing="0" w:after="120" w:afterAutospacing="0" w:line="276" w:lineRule="auto"/>
        <w:ind w:firstLine="357"/>
        <w:jc w:val="both"/>
        <w:rPr>
          <w:rFonts w:ascii="Times New Roman" w:eastAsia="Calibri" w:hAnsi="Times New Roman" w:cs="Times New Roman"/>
          <w:sz w:val="24"/>
          <w:szCs w:val="24"/>
        </w:rPr>
      </w:pPr>
      <w:r w:rsidRPr="0039067A">
        <w:rPr>
          <w:rFonts w:ascii="Times New Roman" w:eastAsia="Calibri" w:hAnsi="Times New Roman" w:cs="Times New Roman"/>
          <w:sz w:val="24"/>
          <w:szCs w:val="24"/>
        </w:rPr>
        <w:t xml:space="preserve">Les actifs financiers non courants détenus par les sociétés du Groupe </w:t>
      </w:r>
      <w:proofErr w:type="spellStart"/>
      <w:r w:rsidRPr="0039067A">
        <w:rPr>
          <w:rFonts w:ascii="Times New Roman" w:eastAsia="Calibri" w:hAnsi="Times New Roman" w:cs="Times New Roman"/>
          <w:sz w:val="24"/>
          <w:szCs w:val="24"/>
        </w:rPr>
        <w:t>Sonelgaz</w:t>
      </w:r>
      <w:proofErr w:type="spellEnd"/>
      <w:r w:rsidRPr="0039067A">
        <w:rPr>
          <w:rFonts w:ascii="Times New Roman" w:eastAsia="Calibri" w:hAnsi="Times New Roman" w:cs="Times New Roman"/>
          <w:sz w:val="24"/>
          <w:szCs w:val="24"/>
        </w:rPr>
        <w:t xml:space="preserve"> sont constitués des : </w:t>
      </w:r>
    </w:p>
    <w:p w:rsidR="0039067A" w:rsidRPr="0039067A" w:rsidRDefault="0039067A" w:rsidP="00550D4B">
      <w:pPr>
        <w:numPr>
          <w:ilvl w:val="0"/>
          <w:numId w:val="78"/>
        </w:numPr>
        <w:spacing w:before="120" w:beforeAutospacing="0" w:after="120" w:afterAutospacing="0" w:line="276" w:lineRule="auto"/>
        <w:ind w:left="357" w:hanging="357"/>
        <w:jc w:val="both"/>
        <w:rPr>
          <w:rFonts w:ascii="Times New Roman" w:eastAsia="Calibri" w:hAnsi="Times New Roman" w:cs="Times New Roman"/>
          <w:sz w:val="24"/>
          <w:szCs w:val="24"/>
        </w:rPr>
      </w:pPr>
      <w:r w:rsidRPr="0039067A">
        <w:rPr>
          <w:rFonts w:ascii="Times New Roman" w:eastAsia="Calibri" w:hAnsi="Times New Roman" w:cs="Times New Roman"/>
          <w:sz w:val="24"/>
          <w:szCs w:val="24"/>
        </w:rPr>
        <w:t xml:space="preserve">Titres de participation et créances rattachées (tous les titres détenus par la société mère relatifs aux filiales métier de base, travaux, périphériques, en participation ainsi que les parts sociales et participation dans les sociétés civiles). </w:t>
      </w:r>
    </w:p>
    <w:p w:rsidR="0039067A" w:rsidRPr="0039067A" w:rsidRDefault="0039067A" w:rsidP="00550D4B">
      <w:pPr>
        <w:numPr>
          <w:ilvl w:val="0"/>
          <w:numId w:val="78"/>
        </w:numPr>
        <w:spacing w:before="120" w:beforeAutospacing="0" w:after="120" w:afterAutospacing="0" w:line="276" w:lineRule="auto"/>
        <w:ind w:left="357" w:hanging="357"/>
        <w:jc w:val="both"/>
        <w:rPr>
          <w:rFonts w:ascii="Times New Roman" w:eastAsia="Calibri" w:hAnsi="Times New Roman" w:cs="Times New Roman"/>
          <w:sz w:val="24"/>
          <w:szCs w:val="24"/>
        </w:rPr>
      </w:pPr>
      <w:r w:rsidRPr="0039067A">
        <w:rPr>
          <w:rFonts w:ascii="Times New Roman" w:eastAsia="Calibri" w:hAnsi="Times New Roman" w:cs="Times New Roman"/>
          <w:sz w:val="24"/>
          <w:szCs w:val="24"/>
        </w:rPr>
        <w:t xml:space="preserve">Autres titres immobilisés : placements auprès des banques. </w:t>
      </w:r>
    </w:p>
    <w:p w:rsidR="0039067A" w:rsidRPr="0039067A" w:rsidRDefault="0039067A" w:rsidP="00550D4B">
      <w:pPr>
        <w:numPr>
          <w:ilvl w:val="0"/>
          <w:numId w:val="78"/>
        </w:numPr>
        <w:spacing w:before="120" w:beforeAutospacing="0" w:after="120" w:afterAutospacing="0" w:line="276" w:lineRule="auto"/>
        <w:ind w:left="357" w:hanging="357"/>
        <w:jc w:val="both"/>
        <w:rPr>
          <w:rFonts w:ascii="Times New Roman" w:eastAsia="Calibri" w:hAnsi="Times New Roman" w:cs="Times New Roman"/>
          <w:sz w:val="24"/>
          <w:szCs w:val="24"/>
        </w:rPr>
      </w:pPr>
      <w:r w:rsidRPr="0039067A">
        <w:rPr>
          <w:rFonts w:ascii="Times New Roman" w:eastAsia="Calibri" w:hAnsi="Times New Roman" w:cs="Times New Roman"/>
          <w:sz w:val="24"/>
          <w:szCs w:val="24"/>
        </w:rPr>
        <w:t xml:space="preserve">Prêts et créances émis par l’entité : tous les prêts émis en faveur du personnel </w:t>
      </w:r>
      <w:proofErr w:type="spellStart"/>
      <w:r w:rsidRPr="0039067A">
        <w:rPr>
          <w:rFonts w:ascii="Times New Roman" w:eastAsia="Calibri" w:hAnsi="Times New Roman" w:cs="Times New Roman"/>
          <w:sz w:val="24"/>
          <w:szCs w:val="24"/>
        </w:rPr>
        <w:t>Sonelgaz</w:t>
      </w:r>
      <w:proofErr w:type="spellEnd"/>
      <w:r w:rsidRPr="0039067A">
        <w:rPr>
          <w:rFonts w:ascii="Times New Roman" w:eastAsia="Calibri" w:hAnsi="Times New Roman" w:cs="Times New Roman"/>
          <w:sz w:val="24"/>
          <w:szCs w:val="24"/>
        </w:rPr>
        <w:t xml:space="preserve"> (véhicule, Habitat,…..</w:t>
      </w:r>
      <w:proofErr w:type="spellStart"/>
      <w:r w:rsidRPr="0039067A">
        <w:rPr>
          <w:rFonts w:ascii="Times New Roman" w:eastAsia="Calibri" w:hAnsi="Times New Roman" w:cs="Times New Roman"/>
          <w:sz w:val="24"/>
          <w:szCs w:val="24"/>
        </w:rPr>
        <w:t>etc</w:t>
      </w:r>
      <w:proofErr w:type="spellEnd"/>
      <w:r w:rsidRPr="0039067A">
        <w:rPr>
          <w:rFonts w:ascii="Times New Roman" w:eastAsia="Calibri" w:hAnsi="Times New Roman" w:cs="Times New Roman"/>
          <w:sz w:val="24"/>
          <w:szCs w:val="24"/>
        </w:rPr>
        <w:t>).</w:t>
      </w:r>
    </w:p>
    <w:p w:rsidR="0039067A" w:rsidRPr="0039067A" w:rsidRDefault="0039067A" w:rsidP="0039067A">
      <w:pPr>
        <w:spacing w:before="120" w:beforeAutospacing="0" w:after="120" w:afterAutospacing="0" w:line="276" w:lineRule="auto"/>
        <w:ind w:firstLine="357"/>
        <w:jc w:val="both"/>
        <w:rPr>
          <w:rFonts w:ascii="Times New Roman" w:eastAsia="Calibri" w:hAnsi="Times New Roman" w:cs="Times New Roman"/>
          <w:sz w:val="24"/>
          <w:szCs w:val="24"/>
        </w:rPr>
      </w:pPr>
      <w:r w:rsidRPr="0039067A">
        <w:rPr>
          <w:rFonts w:ascii="Times New Roman" w:eastAsia="Calibri" w:hAnsi="Times New Roman" w:cs="Times New Roman"/>
          <w:sz w:val="24"/>
          <w:szCs w:val="24"/>
        </w:rPr>
        <w:t xml:space="preserve">En outre, le diagnostic effectué par rapport aux motifs d’acquisition des titres, montre que les titres détenus par </w:t>
      </w:r>
      <w:proofErr w:type="spellStart"/>
      <w:r w:rsidRPr="0039067A">
        <w:rPr>
          <w:rFonts w:ascii="Times New Roman" w:eastAsia="Calibri" w:hAnsi="Times New Roman" w:cs="Times New Roman"/>
          <w:sz w:val="24"/>
          <w:szCs w:val="24"/>
        </w:rPr>
        <w:t>Sonelgaz</w:t>
      </w:r>
      <w:proofErr w:type="spellEnd"/>
      <w:r w:rsidRPr="0039067A">
        <w:rPr>
          <w:rFonts w:ascii="Times New Roman" w:eastAsia="Calibri" w:hAnsi="Times New Roman" w:cs="Times New Roman"/>
          <w:sz w:val="24"/>
          <w:szCs w:val="24"/>
        </w:rPr>
        <w:t xml:space="preserve"> ne sont pas destinés à être cédés donc l’intention du Groupe est de les conserver durablement. Dès lors, et étant donné que l’intention du groupe dans l’acquisition des titres n’est pas spéculative, le mode de comptabilisation retenu pour ces titres correspond au coût amorti. Et la dépréciation des titres sera évaluée selon la méthode patrimoniale de l’actif net comptable.</w:t>
      </w:r>
    </w:p>
    <w:p w:rsidR="0039067A" w:rsidRPr="0039067A" w:rsidRDefault="0039067A" w:rsidP="0039067A">
      <w:pPr>
        <w:spacing w:before="240" w:beforeAutospacing="0" w:after="120" w:afterAutospacing="0" w:line="276" w:lineRule="auto"/>
        <w:contextualSpacing/>
        <w:jc w:val="left"/>
        <w:rPr>
          <w:rFonts w:ascii="Arial" w:eastAsia="Calibri" w:hAnsi="Arial" w:cs="Arial"/>
        </w:rPr>
      </w:pPr>
      <w:r w:rsidRPr="0039067A">
        <w:rPr>
          <w:rFonts w:ascii="Times New Roman" w:eastAsia="Calibri" w:hAnsi="Times New Roman" w:cs="Times New Roman"/>
          <w:b/>
          <w:sz w:val="26"/>
          <w:szCs w:val="26"/>
        </w:rPr>
        <w:t>2.2.2. Traitements relatifs aux</w:t>
      </w:r>
      <w:r w:rsidRPr="0039067A">
        <w:rPr>
          <w:rFonts w:ascii="Calibri" w:eastAsia="Calibri" w:hAnsi="Calibri" w:cs="Times New Roman"/>
          <w:b/>
          <w:sz w:val="32"/>
        </w:rPr>
        <w:t xml:space="preserve"> </w:t>
      </w:r>
      <w:r w:rsidRPr="0039067A">
        <w:rPr>
          <w:rFonts w:ascii="Times New Roman" w:eastAsia="Calibri" w:hAnsi="Times New Roman" w:cs="Times New Roman"/>
          <w:b/>
          <w:sz w:val="26"/>
          <w:szCs w:val="26"/>
        </w:rPr>
        <w:t>emprunts</w:t>
      </w:r>
    </w:p>
    <w:p w:rsidR="0039067A" w:rsidRPr="0039067A" w:rsidRDefault="0039067A" w:rsidP="0039067A">
      <w:pPr>
        <w:spacing w:before="120" w:beforeAutospacing="0" w:after="120" w:afterAutospacing="0" w:line="276" w:lineRule="auto"/>
        <w:ind w:firstLine="357"/>
        <w:jc w:val="both"/>
        <w:rPr>
          <w:rFonts w:ascii="Times New Roman" w:eastAsia="Calibri" w:hAnsi="Times New Roman" w:cs="Times New Roman"/>
          <w:sz w:val="24"/>
        </w:rPr>
      </w:pPr>
      <w:r w:rsidRPr="0039067A">
        <w:rPr>
          <w:rFonts w:ascii="Times New Roman" w:eastAsia="Calibri" w:hAnsi="Times New Roman" w:cs="Times New Roman"/>
          <w:sz w:val="24"/>
        </w:rPr>
        <w:t xml:space="preserve">Sur la base des règles et méthodes  de comptabilisation des emprunts  instaurées par le SCF, le groupe </w:t>
      </w:r>
      <w:proofErr w:type="spellStart"/>
      <w:r w:rsidRPr="0039067A">
        <w:rPr>
          <w:rFonts w:ascii="Times New Roman" w:eastAsia="Calibri" w:hAnsi="Times New Roman" w:cs="Times New Roman"/>
          <w:sz w:val="24"/>
        </w:rPr>
        <w:t>Sonelgaz</w:t>
      </w:r>
      <w:proofErr w:type="spellEnd"/>
      <w:r w:rsidRPr="0039067A">
        <w:rPr>
          <w:rFonts w:ascii="Times New Roman" w:eastAsia="Calibri" w:hAnsi="Times New Roman" w:cs="Times New Roman"/>
          <w:sz w:val="24"/>
        </w:rPr>
        <w:t xml:space="preserve"> a décidé de changer la méthode de comptabilisation des emprunts émis ou contractés par ses filiales et passer d’une évaluation ultérieure basée sur le  coût historique à une évaluation sur le coût amorti. </w:t>
      </w:r>
    </w:p>
    <w:p w:rsidR="00550D4B" w:rsidRDefault="0039067A" w:rsidP="0039067A">
      <w:pPr>
        <w:spacing w:before="120" w:beforeAutospacing="0" w:after="120" w:afterAutospacing="0" w:line="276" w:lineRule="auto"/>
        <w:ind w:firstLine="357"/>
        <w:jc w:val="both"/>
        <w:rPr>
          <w:rFonts w:ascii="Times New Roman" w:eastAsia="Calibri" w:hAnsi="Times New Roman" w:cs="Times New Roman"/>
          <w:sz w:val="24"/>
        </w:rPr>
        <w:sectPr w:rsidR="00550D4B" w:rsidSect="00550D4B">
          <w:pgSz w:w="11906" w:h="16838"/>
          <w:pgMar w:top="1418" w:right="1418" w:bottom="1418" w:left="1418" w:header="709" w:footer="709" w:gutter="567"/>
          <w:cols w:space="708"/>
          <w:titlePg/>
          <w:docGrid w:linePitch="360"/>
        </w:sectPr>
      </w:pPr>
      <w:r w:rsidRPr="0039067A">
        <w:rPr>
          <w:rFonts w:ascii="Times New Roman" w:eastAsia="Calibri" w:hAnsi="Times New Roman" w:cs="Times New Roman"/>
          <w:sz w:val="24"/>
        </w:rPr>
        <w:t xml:space="preserve">En outre, pour les frais de transaction ainsi que les primes d’émission et de remboursement, ils étaient, dans le cadre du PCN, étalés d’une manière linéaire sur la durée de vie des emprunts (ce qui a été appliqué sur l’emprunt obligataire grand public émis par </w:t>
      </w:r>
      <w:proofErr w:type="spellStart"/>
      <w:r w:rsidRPr="0039067A">
        <w:rPr>
          <w:rFonts w:ascii="Times New Roman" w:eastAsia="Calibri" w:hAnsi="Times New Roman" w:cs="Times New Roman"/>
          <w:sz w:val="24"/>
        </w:rPr>
        <w:t>Sonelgaz</w:t>
      </w:r>
      <w:proofErr w:type="spellEnd"/>
      <w:r w:rsidRPr="0039067A">
        <w:rPr>
          <w:rFonts w:ascii="Times New Roman" w:eastAsia="Calibri" w:hAnsi="Times New Roman" w:cs="Times New Roman"/>
          <w:sz w:val="24"/>
        </w:rPr>
        <w:t xml:space="preserve"> en 2008, par contre pour tous les autres emprunts les frais sus cités sont enregistrés directement en charge à l’émission). Cependant, pour la transition au </w:t>
      </w:r>
    </w:p>
    <w:p w:rsidR="0039067A" w:rsidRPr="0039067A" w:rsidRDefault="0039067A" w:rsidP="0039067A">
      <w:pPr>
        <w:spacing w:before="120" w:beforeAutospacing="0" w:after="120" w:afterAutospacing="0" w:line="276" w:lineRule="auto"/>
        <w:ind w:firstLine="357"/>
        <w:jc w:val="both"/>
        <w:rPr>
          <w:rFonts w:ascii="Times New Roman" w:eastAsia="Calibri" w:hAnsi="Times New Roman" w:cs="Times New Roman"/>
          <w:sz w:val="24"/>
        </w:rPr>
      </w:pPr>
      <w:r w:rsidRPr="0039067A">
        <w:rPr>
          <w:rFonts w:ascii="Times New Roman" w:eastAsia="Calibri" w:hAnsi="Times New Roman" w:cs="Times New Roman"/>
          <w:sz w:val="24"/>
        </w:rPr>
        <w:lastRenderedPageBreak/>
        <w:t xml:space="preserve">SCF, le groupe a décidé d’amortir ces frais actuariellement sur la durée de vie des emprunts, selon la méthode du taux d’intérêt effectif. </w:t>
      </w:r>
    </w:p>
    <w:p w:rsidR="0039067A" w:rsidRPr="0039067A" w:rsidRDefault="0039067A" w:rsidP="0039067A">
      <w:pPr>
        <w:spacing w:before="120" w:beforeAutospacing="0" w:after="120" w:afterAutospacing="0" w:line="276" w:lineRule="auto"/>
        <w:ind w:firstLine="357"/>
        <w:jc w:val="both"/>
        <w:rPr>
          <w:rFonts w:ascii="Arial" w:eastAsia="Calibri" w:hAnsi="Arial" w:cs="Arial"/>
        </w:rPr>
      </w:pPr>
      <w:r w:rsidRPr="0039067A">
        <w:rPr>
          <w:rFonts w:ascii="Times New Roman" w:eastAsia="Calibri" w:hAnsi="Times New Roman" w:cs="Times New Roman"/>
          <w:sz w:val="24"/>
        </w:rPr>
        <w:t xml:space="preserve">Ainsi, les coûts d’emprunt (frais financiers et autres frais) qui sont directement attribuables à l’acquisition, la construction, ou la production d’un actif qualifié doivent être incorporés dans le coût de l’actif concerné (quand il s’agit bien </w:t>
      </w:r>
      <w:proofErr w:type="spellStart"/>
      <w:r w:rsidRPr="0039067A">
        <w:rPr>
          <w:rFonts w:ascii="Times New Roman" w:eastAsia="Calibri" w:hAnsi="Times New Roman" w:cs="Times New Roman"/>
          <w:sz w:val="24"/>
        </w:rPr>
        <w:t>sur</w:t>
      </w:r>
      <w:proofErr w:type="spellEnd"/>
      <w:r w:rsidRPr="0039067A">
        <w:rPr>
          <w:rFonts w:ascii="Times New Roman" w:eastAsia="Calibri" w:hAnsi="Times New Roman" w:cs="Times New Roman"/>
          <w:sz w:val="24"/>
        </w:rPr>
        <w:t xml:space="preserve"> d’un actif tangible). </w:t>
      </w:r>
    </w:p>
    <w:p w:rsidR="0039067A" w:rsidRPr="0039067A" w:rsidRDefault="0039067A" w:rsidP="0039067A">
      <w:pPr>
        <w:spacing w:before="0" w:beforeAutospacing="0" w:after="200" w:afterAutospacing="0" w:line="276" w:lineRule="auto"/>
        <w:jc w:val="left"/>
        <w:rPr>
          <w:rFonts w:ascii="Times New Roman" w:eastAsia="Calibri" w:hAnsi="Times New Roman" w:cs="Times New Roman"/>
          <w:sz w:val="32"/>
          <w:szCs w:val="26"/>
        </w:rPr>
      </w:pPr>
      <w:r w:rsidRPr="0039067A">
        <w:rPr>
          <w:rFonts w:ascii="Times New Roman" w:eastAsia="Calibri" w:hAnsi="Times New Roman" w:cs="Times New Roman"/>
          <w:b/>
          <w:sz w:val="26"/>
          <w:szCs w:val="26"/>
        </w:rPr>
        <w:t>2.2.3. Traitements relatifs aux avantages liés au personnel</w:t>
      </w:r>
    </w:p>
    <w:p w:rsidR="0039067A" w:rsidRPr="0039067A" w:rsidRDefault="0039067A" w:rsidP="0039067A">
      <w:pPr>
        <w:spacing w:before="120" w:beforeAutospacing="0" w:after="120" w:afterAutospacing="0" w:line="276" w:lineRule="auto"/>
        <w:ind w:firstLine="357"/>
        <w:jc w:val="both"/>
        <w:rPr>
          <w:rFonts w:ascii="Times New Roman" w:eastAsia="Calibri" w:hAnsi="Times New Roman" w:cs="Times New Roman"/>
          <w:sz w:val="24"/>
          <w:szCs w:val="24"/>
        </w:rPr>
      </w:pPr>
      <w:r w:rsidRPr="0039067A">
        <w:rPr>
          <w:rFonts w:ascii="Times New Roman" w:eastAsia="Calibri" w:hAnsi="Times New Roman" w:cs="Times New Roman"/>
          <w:sz w:val="24"/>
          <w:szCs w:val="24"/>
        </w:rPr>
        <w:t xml:space="preserve">Les avantages au personnel faisaient l’objet de provisionnement dans le cadre du PCN au niveau des sociétés du Groupe. En effet, la Direction Exécutive des Ressources Humaines procède annuellement au calcul des avantages à long terme, par agent, en prenant en considération certaines hypothèses : </w:t>
      </w:r>
    </w:p>
    <w:p w:rsidR="0039067A" w:rsidRPr="0039067A" w:rsidRDefault="0039067A" w:rsidP="00550D4B">
      <w:pPr>
        <w:numPr>
          <w:ilvl w:val="0"/>
          <w:numId w:val="79"/>
        </w:numPr>
        <w:spacing w:before="120" w:beforeAutospacing="0" w:after="120" w:afterAutospacing="0" w:line="276" w:lineRule="auto"/>
        <w:ind w:left="0" w:firstLine="357"/>
        <w:jc w:val="left"/>
        <w:rPr>
          <w:rFonts w:ascii="Times New Roman" w:eastAsia="Calibri" w:hAnsi="Times New Roman" w:cs="Times New Roman"/>
          <w:b/>
          <w:bCs/>
          <w:sz w:val="24"/>
          <w:szCs w:val="24"/>
        </w:rPr>
      </w:pPr>
      <w:r w:rsidRPr="0039067A">
        <w:rPr>
          <w:rFonts w:ascii="Times New Roman" w:eastAsia="Calibri" w:hAnsi="Times New Roman" w:cs="Times New Roman"/>
          <w:b/>
          <w:bCs/>
          <w:sz w:val="24"/>
          <w:szCs w:val="24"/>
        </w:rPr>
        <w:t>Pour les primes de départs à la retraite :</w:t>
      </w:r>
    </w:p>
    <w:p w:rsidR="0039067A" w:rsidRPr="0039067A" w:rsidRDefault="0039067A" w:rsidP="0039067A">
      <w:pPr>
        <w:spacing w:before="120" w:beforeAutospacing="0" w:after="120" w:afterAutospacing="0" w:line="276" w:lineRule="auto"/>
        <w:jc w:val="left"/>
        <w:rPr>
          <w:rFonts w:ascii="Times New Roman" w:eastAsia="Calibri" w:hAnsi="Times New Roman" w:cs="Times New Roman"/>
          <w:sz w:val="24"/>
          <w:szCs w:val="24"/>
        </w:rPr>
      </w:pPr>
      <w:r w:rsidRPr="0039067A">
        <w:rPr>
          <w:rFonts w:ascii="Times New Roman" w:eastAsia="Calibri" w:hAnsi="Times New Roman" w:cs="Times New Roman"/>
          <w:sz w:val="24"/>
          <w:szCs w:val="24"/>
        </w:rPr>
        <w:t>Actuellement le calcul des avantages à long terme prend en compte certains éléments qui sont :</w:t>
      </w:r>
    </w:p>
    <w:p w:rsidR="0039067A" w:rsidRPr="0039067A" w:rsidRDefault="0039067A" w:rsidP="00550D4B">
      <w:pPr>
        <w:numPr>
          <w:ilvl w:val="0"/>
          <w:numId w:val="80"/>
        </w:numPr>
        <w:spacing w:before="120" w:beforeAutospacing="0" w:after="120" w:afterAutospacing="0" w:line="276" w:lineRule="auto"/>
        <w:jc w:val="both"/>
        <w:rPr>
          <w:rFonts w:ascii="Times New Roman" w:eastAsia="Calibri" w:hAnsi="Times New Roman" w:cs="Times New Roman"/>
          <w:sz w:val="24"/>
          <w:szCs w:val="24"/>
        </w:rPr>
      </w:pPr>
      <w:r w:rsidRPr="0039067A">
        <w:rPr>
          <w:rFonts w:ascii="Times New Roman" w:eastAsia="Calibri" w:hAnsi="Times New Roman" w:cs="Times New Roman"/>
          <w:sz w:val="24"/>
          <w:szCs w:val="24"/>
        </w:rPr>
        <w:t>Les différentes primes sont calculées pour l’ensemble des agents ayant plus d’un (01) an d’exercice ;</w:t>
      </w:r>
    </w:p>
    <w:p w:rsidR="0039067A" w:rsidRPr="0039067A" w:rsidRDefault="0039067A" w:rsidP="00550D4B">
      <w:pPr>
        <w:numPr>
          <w:ilvl w:val="0"/>
          <w:numId w:val="80"/>
        </w:numPr>
        <w:spacing w:before="120" w:beforeAutospacing="0" w:after="120" w:afterAutospacing="0" w:line="276" w:lineRule="auto"/>
        <w:jc w:val="left"/>
        <w:rPr>
          <w:rFonts w:ascii="Times New Roman" w:eastAsia="Calibri" w:hAnsi="Times New Roman" w:cs="Times New Roman"/>
          <w:sz w:val="24"/>
          <w:szCs w:val="24"/>
        </w:rPr>
      </w:pPr>
      <w:r w:rsidRPr="0039067A">
        <w:rPr>
          <w:rFonts w:ascii="Times New Roman" w:eastAsia="Calibri" w:hAnsi="Times New Roman" w:cs="Times New Roman"/>
          <w:sz w:val="24"/>
          <w:szCs w:val="24"/>
        </w:rPr>
        <w:t>La grille actuelle de salaires ;</w:t>
      </w:r>
    </w:p>
    <w:p w:rsidR="0039067A" w:rsidRPr="0039067A" w:rsidRDefault="0039067A" w:rsidP="00550D4B">
      <w:pPr>
        <w:numPr>
          <w:ilvl w:val="0"/>
          <w:numId w:val="80"/>
        </w:numPr>
        <w:spacing w:before="120" w:beforeAutospacing="0" w:after="120" w:afterAutospacing="0" w:line="276" w:lineRule="auto"/>
        <w:jc w:val="both"/>
        <w:rPr>
          <w:rFonts w:ascii="Times New Roman" w:eastAsia="Calibri" w:hAnsi="Times New Roman" w:cs="Times New Roman"/>
          <w:sz w:val="24"/>
          <w:szCs w:val="24"/>
        </w:rPr>
      </w:pPr>
      <w:r w:rsidRPr="0039067A">
        <w:rPr>
          <w:rFonts w:ascii="Times New Roman" w:eastAsia="Calibri" w:hAnsi="Times New Roman" w:cs="Times New Roman"/>
          <w:sz w:val="24"/>
          <w:szCs w:val="24"/>
        </w:rPr>
        <w:t>Le salaire actuel de l’agent (l’actuel classement au niveau de la grille des salaires) ;</w:t>
      </w:r>
    </w:p>
    <w:p w:rsidR="0039067A" w:rsidRPr="0039067A" w:rsidRDefault="0039067A" w:rsidP="00550D4B">
      <w:pPr>
        <w:numPr>
          <w:ilvl w:val="0"/>
          <w:numId w:val="80"/>
        </w:numPr>
        <w:spacing w:before="120" w:beforeAutospacing="0" w:after="120" w:afterAutospacing="0" w:line="276" w:lineRule="auto"/>
        <w:jc w:val="left"/>
        <w:rPr>
          <w:rFonts w:ascii="Times New Roman" w:eastAsia="Calibri" w:hAnsi="Times New Roman" w:cs="Times New Roman"/>
          <w:sz w:val="24"/>
          <w:szCs w:val="24"/>
        </w:rPr>
      </w:pPr>
      <w:r w:rsidRPr="0039067A">
        <w:rPr>
          <w:rFonts w:ascii="Times New Roman" w:eastAsia="Calibri" w:hAnsi="Times New Roman" w:cs="Times New Roman"/>
          <w:sz w:val="24"/>
          <w:szCs w:val="24"/>
        </w:rPr>
        <w:t>L’ancienneté de l’agent (nombre d’années travaillées dans l’entreprise) ;</w:t>
      </w:r>
    </w:p>
    <w:p w:rsidR="0039067A" w:rsidRPr="0039067A" w:rsidRDefault="0039067A" w:rsidP="00550D4B">
      <w:pPr>
        <w:numPr>
          <w:ilvl w:val="0"/>
          <w:numId w:val="80"/>
        </w:numPr>
        <w:spacing w:before="120" w:beforeAutospacing="0" w:after="120" w:afterAutospacing="0" w:line="276" w:lineRule="auto"/>
        <w:jc w:val="both"/>
        <w:rPr>
          <w:rFonts w:ascii="Times New Roman" w:eastAsia="Calibri" w:hAnsi="Times New Roman" w:cs="Times New Roman"/>
          <w:sz w:val="24"/>
          <w:szCs w:val="24"/>
        </w:rPr>
      </w:pPr>
      <w:r w:rsidRPr="0039067A">
        <w:rPr>
          <w:rFonts w:ascii="Times New Roman" w:eastAsia="Calibri" w:hAnsi="Times New Roman" w:cs="Times New Roman"/>
          <w:sz w:val="24"/>
          <w:szCs w:val="24"/>
        </w:rPr>
        <w:t>Un maximum de 24 mois de salaire pour la prime de départ à la retraite ;</w:t>
      </w:r>
    </w:p>
    <w:p w:rsidR="0039067A" w:rsidRPr="0039067A" w:rsidRDefault="0039067A" w:rsidP="00550D4B">
      <w:pPr>
        <w:numPr>
          <w:ilvl w:val="0"/>
          <w:numId w:val="80"/>
        </w:numPr>
        <w:spacing w:before="120" w:beforeAutospacing="0" w:after="120" w:afterAutospacing="0" w:line="276" w:lineRule="auto"/>
        <w:jc w:val="left"/>
        <w:rPr>
          <w:rFonts w:ascii="Times New Roman" w:eastAsia="Calibri" w:hAnsi="Times New Roman" w:cs="Times New Roman"/>
          <w:sz w:val="24"/>
          <w:szCs w:val="24"/>
        </w:rPr>
      </w:pPr>
      <w:r w:rsidRPr="0039067A">
        <w:rPr>
          <w:rFonts w:ascii="Times New Roman" w:eastAsia="Calibri" w:hAnsi="Times New Roman" w:cs="Times New Roman"/>
          <w:sz w:val="24"/>
          <w:szCs w:val="24"/>
        </w:rPr>
        <w:t>L’âge légal de départ à la retraite est 60 ans ;</w:t>
      </w:r>
    </w:p>
    <w:p w:rsidR="0039067A" w:rsidRPr="0039067A" w:rsidRDefault="0039067A" w:rsidP="0039067A">
      <w:pPr>
        <w:spacing w:before="120" w:beforeAutospacing="0" w:after="120" w:afterAutospacing="0" w:line="276" w:lineRule="auto"/>
        <w:jc w:val="left"/>
        <w:rPr>
          <w:rFonts w:ascii="Times New Roman" w:eastAsia="Calibri" w:hAnsi="Times New Roman" w:cs="Times New Roman"/>
          <w:sz w:val="24"/>
          <w:szCs w:val="24"/>
        </w:rPr>
      </w:pPr>
      <w:r w:rsidRPr="0039067A">
        <w:rPr>
          <w:rFonts w:ascii="Times New Roman" w:eastAsia="Calibri" w:hAnsi="Times New Roman" w:cs="Times New Roman"/>
          <w:sz w:val="24"/>
          <w:szCs w:val="24"/>
        </w:rPr>
        <w:t>Les éléments ci-dessus réalisés la formule de calcul se présente comme suit :</w:t>
      </w:r>
    </w:p>
    <w:p w:rsidR="0039067A" w:rsidRPr="0039067A" w:rsidRDefault="0039067A" w:rsidP="0039067A">
      <w:pPr>
        <w:pBdr>
          <w:top w:val="single" w:sz="4" w:space="1" w:color="auto"/>
          <w:left w:val="single" w:sz="4" w:space="4" w:color="auto"/>
          <w:bottom w:val="single" w:sz="4" w:space="1" w:color="auto"/>
          <w:right w:val="single" w:sz="4" w:space="4" w:color="auto"/>
        </w:pBdr>
        <w:spacing w:before="120" w:beforeAutospacing="0" w:after="120" w:afterAutospacing="0" w:line="276" w:lineRule="auto"/>
        <w:ind w:firstLine="357"/>
        <w:rPr>
          <w:rFonts w:ascii="Times New Roman" w:eastAsia="Calibri" w:hAnsi="Times New Roman" w:cs="Times New Roman"/>
          <w:b/>
          <w:bCs/>
          <w:sz w:val="24"/>
          <w:szCs w:val="24"/>
        </w:rPr>
      </w:pPr>
      <w:r w:rsidRPr="0039067A">
        <w:rPr>
          <w:rFonts w:ascii="Times New Roman" w:eastAsia="Calibri" w:hAnsi="Times New Roman" w:cs="Times New Roman"/>
          <w:b/>
          <w:bCs/>
          <w:sz w:val="24"/>
          <w:szCs w:val="24"/>
        </w:rPr>
        <w:t>Prime de départ à la retraite = Ancienneté x (2/3) x Salaire de base actuel de l’agent</w:t>
      </w:r>
    </w:p>
    <w:p w:rsidR="0039067A" w:rsidRPr="0039067A" w:rsidRDefault="0039067A" w:rsidP="0039067A">
      <w:pPr>
        <w:spacing w:before="120" w:beforeAutospacing="0" w:after="120" w:afterAutospacing="0" w:line="276" w:lineRule="auto"/>
        <w:ind w:firstLine="357"/>
        <w:jc w:val="both"/>
        <w:rPr>
          <w:rFonts w:ascii="Times New Roman" w:eastAsia="Calibri" w:hAnsi="Times New Roman" w:cs="Times New Roman"/>
          <w:color w:val="FF0000"/>
          <w:sz w:val="24"/>
          <w:szCs w:val="24"/>
        </w:rPr>
      </w:pPr>
      <w:r w:rsidRPr="0039067A">
        <w:rPr>
          <w:rFonts w:ascii="Times New Roman" w:eastAsia="Calibri" w:hAnsi="Times New Roman" w:cs="Times New Roman"/>
          <w:sz w:val="24"/>
          <w:szCs w:val="24"/>
        </w:rPr>
        <w:t xml:space="preserve">Dans la limite des 24 mois de salaire et si l’agent est présent dans l’entreprise à l’âge de départ à la retraite.  L’agent bénéficie d’un mois de salaire pour chaque 18 mois de service atteints. </w:t>
      </w:r>
    </w:p>
    <w:p w:rsidR="0039067A" w:rsidRPr="0039067A" w:rsidRDefault="0039067A" w:rsidP="00550D4B">
      <w:pPr>
        <w:numPr>
          <w:ilvl w:val="0"/>
          <w:numId w:val="79"/>
        </w:numPr>
        <w:spacing w:before="120" w:beforeAutospacing="0" w:after="120" w:afterAutospacing="0" w:line="276" w:lineRule="auto"/>
        <w:ind w:left="714" w:hanging="357"/>
        <w:jc w:val="left"/>
        <w:rPr>
          <w:rFonts w:ascii="Times New Roman" w:eastAsia="Calibri" w:hAnsi="Times New Roman" w:cs="Times New Roman"/>
          <w:b/>
          <w:bCs/>
          <w:sz w:val="24"/>
          <w:szCs w:val="24"/>
        </w:rPr>
      </w:pPr>
      <w:r w:rsidRPr="0039067A">
        <w:rPr>
          <w:rFonts w:ascii="Times New Roman" w:eastAsia="Calibri" w:hAnsi="Times New Roman" w:cs="Times New Roman"/>
          <w:b/>
          <w:bCs/>
          <w:sz w:val="24"/>
          <w:szCs w:val="24"/>
        </w:rPr>
        <w:t>Pour les provisions pour médailles :</w:t>
      </w:r>
    </w:p>
    <w:p w:rsidR="0039067A" w:rsidRPr="0039067A" w:rsidRDefault="0039067A" w:rsidP="0039067A">
      <w:pPr>
        <w:spacing w:before="120" w:beforeAutospacing="0" w:after="120" w:afterAutospacing="0" w:line="276" w:lineRule="auto"/>
        <w:ind w:firstLine="357"/>
        <w:jc w:val="left"/>
        <w:rPr>
          <w:rFonts w:ascii="Times New Roman" w:eastAsia="Calibri" w:hAnsi="Times New Roman" w:cs="Times New Roman"/>
          <w:sz w:val="24"/>
          <w:szCs w:val="24"/>
        </w:rPr>
      </w:pPr>
      <w:r w:rsidRPr="0039067A">
        <w:rPr>
          <w:rFonts w:ascii="Times New Roman" w:eastAsia="Calibri" w:hAnsi="Times New Roman" w:cs="Times New Roman"/>
          <w:sz w:val="24"/>
          <w:szCs w:val="24"/>
        </w:rPr>
        <w:t>Le droit aux médailles pour un agent sanctionne les années passées dans l’entreprise, les primes y afférentes sont calculées comme suit :</w:t>
      </w:r>
    </w:p>
    <w:p w:rsidR="0039067A" w:rsidRPr="0039067A" w:rsidRDefault="0039067A" w:rsidP="0039067A">
      <w:pPr>
        <w:spacing w:before="120" w:beforeAutospacing="0" w:after="120" w:afterAutospacing="0" w:line="276" w:lineRule="auto"/>
        <w:jc w:val="left"/>
        <w:rPr>
          <w:rFonts w:ascii="Times New Roman" w:eastAsia="Calibri" w:hAnsi="Times New Roman" w:cs="Times New Roman"/>
          <w:sz w:val="24"/>
          <w:szCs w:val="24"/>
        </w:rPr>
      </w:pPr>
      <w:r w:rsidRPr="0039067A">
        <w:rPr>
          <w:rFonts w:ascii="Times New Roman" w:eastAsia="Calibri" w:hAnsi="Times New Roman" w:cs="Times New Roman"/>
          <w:noProof/>
          <w:sz w:val="24"/>
          <w:szCs w:val="24"/>
        </w:rPr>
        <w:pict>
          <v:shapetype id="_x0000_t202" coordsize="21600,21600" o:spt="202" path="m,l,21600r21600,l21600,xe">
            <v:stroke joinstyle="miter"/>
            <v:path gradientshapeok="t" o:connecttype="rect"/>
          </v:shapetype>
          <v:shape id="_x0000_s1535" type="#_x0000_t202" style="position:absolute;margin-left:-2.45pt;margin-top:9.9pt;width:430.05pt;height:39pt;z-index:251667456;mso-width-relative:margin;mso-height-relative:margin">
            <v:textbox>
              <w:txbxContent>
                <w:p w:rsidR="0039067A" w:rsidRPr="00AC10DA" w:rsidRDefault="0039067A" w:rsidP="0039067A">
                  <w:r w:rsidRPr="00FF2A5E">
                    <w:rPr>
                      <w:rFonts w:ascii="Times New Roman" w:eastAsia="Calibri" w:hAnsi="Times New Roman" w:cs="Times New Roman"/>
                      <w:b/>
                      <w:bCs/>
                      <w:sz w:val="24"/>
                      <w:szCs w:val="24"/>
                    </w:rPr>
                    <w:t>Prime de médaille = Ancienneté x (1/15 + 1/20 + 1/25 + 1/30 + 1/35) x Salaire de base de la catégorie 5-R</w:t>
                  </w:r>
                </w:p>
              </w:txbxContent>
            </v:textbox>
          </v:shape>
        </w:pict>
      </w:r>
    </w:p>
    <w:p w:rsidR="0039067A" w:rsidRPr="0039067A" w:rsidRDefault="0039067A" w:rsidP="0039067A">
      <w:pPr>
        <w:spacing w:before="120" w:beforeAutospacing="0" w:after="120" w:afterAutospacing="0" w:line="276" w:lineRule="auto"/>
        <w:jc w:val="left"/>
        <w:rPr>
          <w:rFonts w:ascii="Times New Roman" w:eastAsia="Calibri" w:hAnsi="Times New Roman" w:cs="Times New Roman"/>
          <w:sz w:val="24"/>
          <w:szCs w:val="24"/>
        </w:rPr>
      </w:pPr>
    </w:p>
    <w:p w:rsidR="0039067A" w:rsidRPr="0039067A" w:rsidRDefault="0039067A" w:rsidP="0039067A">
      <w:pPr>
        <w:spacing w:before="120" w:beforeAutospacing="0" w:after="120" w:afterAutospacing="0" w:line="276" w:lineRule="auto"/>
        <w:jc w:val="left"/>
        <w:rPr>
          <w:rFonts w:ascii="Times New Roman" w:eastAsia="Calibri" w:hAnsi="Times New Roman" w:cs="Times New Roman"/>
          <w:sz w:val="24"/>
          <w:szCs w:val="24"/>
        </w:rPr>
      </w:pPr>
    </w:p>
    <w:p w:rsidR="00550D4B" w:rsidRDefault="00550D4B" w:rsidP="0039067A">
      <w:pPr>
        <w:spacing w:before="120" w:beforeAutospacing="0" w:after="120" w:afterAutospacing="0" w:line="276" w:lineRule="auto"/>
        <w:jc w:val="left"/>
        <w:rPr>
          <w:rFonts w:ascii="Times New Roman" w:eastAsia="Calibri" w:hAnsi="Times New Roman" w:cs="Times New Roman"/>
          <w:sz w:val="24"/>
          <w:szCs w:val="24"/>
        </w:rPr>
        <w:sectPr w:rsidR="00550D4B" w:rsidSect="00550D4B">
          <w:pgSz w:w="11906" w:h="16838"/>
          <w:pgMar w:top="1418" w:right="1418" w:bottom="1418" w:left="1418" w:header="709" w:footer="709" w:gutter="567"/>
          <w:cols w:space="708"/>
          <w:titlePg/>
          <w:docGrid w:linePitch="360"/>
        </w:sectPr>
      </w:pPr>
    </w:p>
    <w:p w:rsidR="0039067A" w:rsidRPr="0039067A" w:rsidRDefault="0039067A" w:rsidP="0039067A">
      <w:pPr>
        <w:spacing w:before="120" w:beforeAutospacing="0" w:after="120" w:afterAutospacing="0" w:line="276" w:lineRule="auto"/>
        <w:jc w:val="left"/>
        <w:rPr>
          <w:rFonts w:ascii="Times New Roman" w:eastAsia="Calibri" w:hAnsi="Times New Roman" w:cs="Times New Roman"/>
          <w:sz w:val="24"/>
          <w:szCs w:val="24"/>
        </w:rPr>
      </w:pPr>
      <w:r w:rsidRPr="0039067A">
        <w:rPr>
          <w:rFonts w:ascii="Times New Roman" w:eastAsia="Calibri" w:hAnsi="Times New Roman" w:cs="Times New Roman"/>
          <w:sz w:val="24"/>
          <w:szCs w:val="24"/>
        </w:rPr>
        <w:lastRenderedPageBreak/>
        <w:t>Les médailles sont attribuées aux agents par rapport à leur ancienneté, elles sont au nombre de 5 :</w:t>
      </w:r>
    </w:p>
    <w:p w:rsidR="0039067A" w:rsidRPr="0039067A" w:rsidRDefault="0039067A" w:rsidP="00550D4B">
      <w:pPr>
        <w:numPr>
          <w:ilvl w:val="0"/>
          <w:numId w:val="80"/>
        </w:numPr>
        <w:spacing w:before="120" w:beforeAutospacing="0" w:after="120" w:afterAutospacing="0" w:line="276" w:lineRule="auto"/>
        <w:jc w:val="left"/>
        <w:rPr>
          <w:rFonts w:ascii="Times New Roman" w:eastAsia="Calibri" w:hAnsi="Times New Roman" w:cs="Times New Roman"/>
          <w:sz w:val="24"/>
          <w:szCs w:val="24"/>
        </w:rPr>
      </w:pPr>
      <w:r w:rsidRPr="0039067A">
        <w:rPr>
          <w:rFonts w:ascii="Times New Roman" w:eastAsia="Calibri" w:hAnsi="Times New Roman" w:cs="Times New Roman"/>
          <w:sz w:val="24"/>
          <w:szCs w:val="24"/>
        </w:rPr>
        <w:t>Médaille  de bronze à 15 ans d’ancienneté ;</w:t>
      </w:r>
    </w:p>
    <w:p w:rsidR="0039067A" w:rsidRPr="0039067A" w:rsidRDefault="0039067A" w:rsidP="00550D4B">
      <w:pPr>
        <w:numPr>
          <w:ilvl w:val="0"/>
          <w:numId w:val="80"/>
        </w:numPr>
        <w:spacing w:before="120" w:beforeAutospacing="0" w:after="120" w:afterAutospacing="0" w:line="276" w:lineRule="auto"/>
        <w:jc w:val="left"/>
        <w:rPr>
          <w:rFonts w:ascii="Times New Roman" w:eastAsia="Calibri" w:hAnsi="Times New Roman" w:cs="Times New Roman"/>
          <w:sz w:val="24"/>
          <w:szCs w:val="24"/>
        </w:rPr>
      </w:pPr>
      <w:r w:rsidRPr="0039067A">
        <w:rPr>
          <w:rFonts w:ascii="Times New Roman" w:eastAsia="Calibri" w:hAnsi="Times New Roman" w:cs="Times New Roman"/>
          <w:sz w:val="24"/>
          <w:szCs w:val="24"/>
        </w:rPr>
        <w:t>Médaille  d’argent à 20 ans d’ancienneté ;</w:t>
      </w:r>
    </w:p>
    <w:p w:rsidR="0039067A" w:rsidRPr="0039067A" w:rsidRDefault="0039067A" w:rsidP="00550D4B">
      <w:pPr>
        <w:numPr>
          <w:ilvl w:val="0"/>
          <w:numId w:val="80"/>
        </w:numPr>
        <w:spacing w:before="120" w:beforeAutospacing="0" w:after="120" w:afterAutospacing="0" w:line="276" w:lineRule="auto"/>
        <w:jc w:val="left"/>
        <w:rPr>
          <w:rFonts w:ascii="Times New Roman" w:eastAsia="Calibri" w:hAnsi="Times New Roman" w:cs="Times New Roman"/>
          <w:sz w:val="24"/>
          <w:szCs w:val="24"/>
        </w:rPr>
      </w:pPr>
      <w:r w:rsidRPr="0039067A">
        <w:rPr>
          <w:rFonts w:ascii="Times New Roman" w:eastAsia="Calibri" w:hAnsi="Times New Roman" w:cs="Times New Roman"/>
          <w:sz w:val="24"/>
          <w:szCs w:val="24"/>
        </w:rPr>
        <w:t>Médaille  d’or à 25 ans d’ancienneté ;</w:t>
      </w:r>
    </w:p>
    <w:p w:rsidR="0039067A" w:rsidRPr="0039067A" w:rsidRDefault="0039067A" w:rsidP="00550D4B">
      <w:pPr>
        <w:numPr>
          <w:ilvl w:val="0"/>
          <w:numId w:val="80"/>
        </w:numPr>
        <w:spacing w:before="120" w:beforeAutospacing="0" w:after="120" w:afterAutospacing="0" w:line="276" w:lineRule="auto"/>
        <w:jc w:val="left"/>
        <w:rPr>
          <w:rFonts w:ascii="Times New Roman" w:eastAsia="Calibri" w:hAnsi="Times New Roman" w:cs="Times New Roman"/>
          <w:sz w:val="24"/>
          <w:szCs w:val="24"/>
        </w:rPr>
      </w:pPr>
      <w:r w:rsidRPr="0039067A">
        <w:rPr>
          <w:rFonts w:ascii="Times New Roman" w:eastAsia="Calibri" w:hAnsi="Times New Roman" w:cs="Times New Roman"/>
          <w:sz w:val="24"/>
          <w:szCs w:val="24"/>
        </w:rPr>
        <w:t>Médaille  de vermeil à 30 ans d’ancienneté ;</w:t>
      </w:r>
    </w:p>
    <w:p w:rsidR="0039067A" w:rsidRPr="0039067A" w:rsidRDefault="0039067A" w:rsidP="00550D4B">
      <w:pPr>
        <w:numPr>
          <w:ilvl w:val="0"/>
          <w:numId w:val="80"/>
        </w:numPr>
        <w:spacing w:before="120" w:beforeAutospacing="0" w:after="120" w:afterAutospacing="0" w:line="276" w:lineRule="auto"/>
        <w:jc w:val="left"/>
        <w:rPr>
          <w:rFonts w:ascii="Times New Roman" w:eastAsia="Calibri" w:hAnsi="Times New Roman" w:cs="Times New Roman"/>
          <w:sz w:val="24"/>
          <w:szCs w:val="24"/>
        </w:rPr>
      </w:pPr>
      <w:r w:rsidRPr="0039067A">
        <w:rPr>
          <w:rFonts w:ascii="Times New Roman" w:eastAsia="Calibri" w:hAnsi="Times New Roman" w:cs="Times New Roman"/>
          <w:sz w:val="24"/>
          <w:szCs w:val="24"/>
        </w:rPr>
        <w:t>Tableau d’honneur à 35 ans d’ancienneté ;</w:t>
      </w:r>
    </w:p>
    <w:p w:rsidR="0039067A" w:rsidRPr="0039067A" w:rsidRDefault="0039067A" w:rsidP="0039067A">
      <w:pPr>
        <w:spacing w:before="120" w:beforeAutospacing="0" w:after="120" w:afterAutospacing="0" w:line="276" w:lineRule="auto"/>
        <w:ind w:firstLine="357"/>
        <w:jc w:val="both"/>
        <w:rPr>
          <w:rFonts w:ascii="Arial" w:eastAsia="Calibri" w:hAnsi="Arial" w:cs="Times New Roman"/>
        </w:rPr>
      </w:pPr>
      <w:r w:rsidRPr="0039067A">
        <w:rPr>
          <w:rFonts w:ascii="Times New Roman" w:eastAsia="Calibri" w:hAnsi="Times New Roman" w:cs="Times New Roman"/>
          <w:sz w:val="24"/>
        </w:rPr>
        <w:t xml:space="preserve">En se référant aux nouvelles dispositions du SCF, il s’est avéré que cette formule ne correspond pas à une méthode de calcul actuariel préconisée par le SCF.  </w:t>
      </w:r>
    </w:p>
    <w:p w:rsidR="0039067A" w:rsidRPr="0039067A" w:rsidRDefault="0039067A" w:rsidP="0039067A">
      <w:pPr>
        <w:spacing w:before="120" w:beforeAutospacing="0" w:after="120" w:afterAutospacing="0" w:line="276" w:lineRule="auto"/>
        <w:ind w:firstLine="357"/>
        <w:jc w:val="both"/>
        <w:rPr>
          <w:rFonts w:ascii="Times New Roman" w:eastAsia="Calibri" w:hAnsi="Times New Roman" w:cs="Times New Roman"/>
          <w:sz w:val="24"/>
        </w:rPr>
      </w:pPr>
      <w:r w:rsidRPr="0039067A">
        <w:rPr>
          <w:rFonts w:ascii="Times New Roman" w:eastAsia="Calibri" w:hAnsi="Times New Roman" w:cs="Times New Roman"/>
          <w:sz w:val="24"/>
        </w:rPr>
        <w:t>Egalement, parmi les hypothèses de calcul actuelles on notera celle relative à la fixité des salaires des agents ainsi que du déroulement de leurs carrières, qui ne correspond pas à la meilleure façon d’estimer ces avantages. </w:t>
      </w:r>
    </w:p>
    <w:p w:rsidR="0039067A" w:rsidRPr="0039067A" w:rsidRDefault="0039067A" w:rsidP="0039067A">
      <w:pPr>
        <w:spacing w:before="120" w:beforeAutospacing="0" w:after="120" w:afterAutospacing="0" w:line="276" w:lineRule="auto"/>
        <w:ind w:firstLine="357"/>
        <w:jc w:val="both"/>
        <w:rPr>
          <w:rFonts w:ascii="Times New Roman" w:eastAsia="Calibri" w:hAnsi="Times New Roman" w:cs="Times New Roman"/>
          <w:sz w:val="24"/>
        </w:rPr>
      </w:pPr>
      <w:r w:rsidRPr="0039067A">
        <w:rPr>
          <w:rFonts w:ascii="Times New Roman" w:eastAsia="Calibri" w:hAnsi="Times New Roman" w:cs="Times New Roman"/>
          <w:sz w:val="24"/>
        </w:rPr>
        <w:t>Dès lors, et afin d’assurer une meilleure conformité aux dispositions du SCF et de pallier aux éléments qui diminuent de la pertinence de la formule de calcul des avantages actuelle, une nouvelle méthode d’estimation de ces avantages est adoptée, qui consiste à introduire les nouveaux paramètres suivants :</w:t>
      </w:r>
    </w:p>
    <w:p w:rsidR="0039067A" w:rsidRPr="0039067A" w:rsidRDefault="0039067A" w:rsidP="00550D4B">
      <w:pPr>
        <w:numPr>
          <w:ilvl w:val="0"/>
          <w:numId w:val="82"/>
        </w:numPr>
        <w:spacing w:before="120" w:beforeAutospacing="0" w:after="120" w:afterAutospacing="0" w:line="276" w:lineRule="auto"/>
        <w:ind w:left="357" w:hanging="357"/>
        <w:jc w:val="both"/>
        <w:rPr>
          <w:rFonts w:ascii="Times New Roman" w:eastAsia="Calibri" w:hAnsi="Times New Roman" w:cs="Times New Roman"/>
          <w:bCs/>
          <w:sz w:val="24"/>
        </w:rPr>
      </w:pPr>
      <w:r w:rsidRPr="0039067A">
        <w:rPr>
          <w:rFonts w:ascii="Times New Roman" w:eastAsia="Calibri" w:hAnsi="Times New Roman" w:cs="Times New Roman"/>
          <w:bCs/>
          <w:sz w:val="24"/>
        </w:rPr>
        <w:t>L’évolution de la grille des salaires (exprimé par des taux d’évolutions) ;</w:t>
      </w:r>
    </w:p>
    <w:p w:rsidR="0039067A" w:rsidRPr="0039067A" w:rsidRDefault="0039067A" w:rsidP="00550D4B">
      <w:pPr>
        <w:numPr>
          <w:ilvl w:val="0"/>
          <w:numId w:val="82"/>
        </w:numPr>
        <w:spacing w:before="120" w:beforeAutospacing="0" w:after="120" w:afterAutospacing="0" w:line="276" w:lineRule="auto"/>
        <w:ind w:left="357" w:hanging="357"/>
        <w:jc w:val="both"/>
        <w:rPr>
          <w:rFonts w:ascii="Times New Roman" w:eastAsia="Calibri" w:hAnsi="Times New Roman" w:cs="Times New Roman"/>
          <w:bCs/>
          <w:sz w:val="24"/>
        </w:rPr>
      </w:pPr>
      <w:r w:rsidRPr="0039067A">
        <w:rPr>
          <w:rFonts w:ascii="Times New Roman" w:eastAsia="Calibri" w:hAnsi="Times New Roman" w:cs="Times New Roman"/>
          <w:bCs/>
          <w:sz w:val="24"/>
        </w:rPr>
        <w:t>L’évolution de carrières des agents (promotions) ;</w:t>
      </w:r>
    </w:p>
    <w:p w:rsidR="0039067A" w:rsidRPr="0039067A" w:rsidRDefault="0039067A" w:rsidP="00550D4B">
      <w:pPr>
        <w:numPr>
          <w:ilvl w:val="0"/>
          <w:numId w:val="82"/>
        </w:numPr>
        <w:spacing w:before="120" w:beforeAutospacing="0" w:after="120" w:afterAutospacing="0" w:line="276" w:lineRule="auto"/>
        <w:ind w:left="357" w:hanging="357"/>
        <w:jc w:val="both"/>
        <w:rPr>
          <w:rFonts w:ascii="Times New Roman" w:eastAsia="Calibri" w:hAnsi="Times New Roman" w:cs="Times New Roman"/>
          <w:bCs/>
          <w:sz w:val="24"/>
        </w:rPr>
      </w:pPr>
      <w:r w:rsidRPr="0039067A">
        <w:rPr>
          <w:rFonts w:ascii="Times New Roman" w:eastAsia="Calibri" w:hAnsi="Times New Roman" w:cs="Times New Roman"/>
          <w:bCs/>
          <w:sz w:val="24"/>
        </w:rPr>
        <w:t>Un taux d’actualisation basé sur le taux des bons de trésor à long terme (taux préconisé en l’absence d’un marché financier actif – taux actuel 3.75%).</w:t>
      </w:r>
    </w:p>
    <w:p w:rsidR="0039067A" w:rsidRPr="0039067A" w:rsidRDefault="0039067A" w:rsidP="0039067A">
      <w:pPr>
        <w:spacing w:before="0" w:beforeAutospacing="0" w:after="200" w:afterAutospacing="0" w:line="276" w:lineRule="auto"/>
        <w:jc w:val="left"/>
        <w:rPr>
          <w:rFonts w:ascii="Calibri" w:eastAsia="Calibri" w:hAnsi="Calibri" w:cs="Arial"/>
          <w:b/>
          <w:sz w:val="28"/>
        </w:rPr>
      </w:pPr>
    </w:p>
    <w:p w:rsidR="0039067A" w:rsidRPr="0039067A" w:rsidRDefault="0039067A" w:rsidP="0039067A">
      <w:pPr>
        <w:spacing w:before="0" w:beforeAutospacing="0" w:after="200" w:afterAutospacing="0" w:line="276" w:lineRule="auto"/>
        <w:jc w:val="left"/>
        <w:rPr>
          <w:rFonts w:ascii="Calibri" w:eastAsia="Calibri" w:hAnsi="Calibri" w:cs="Arial"/>
          <w:b/>
          <w:sz w:val="28"/>
        </w:rPr>
      </w:pPr>
    </w:p>
    <w:p w:rsidR="0039067A" w:rsidRPr="0039067A" w:rsidRDefault="0039067A" w:rsidP="0039067A">
      <w:pPr>
        <w:spacing w:before="0" w:beforeAutospacing="0" w:after="200" w:afterAutospacing="0" w:line="276" w:lineRule="auto"/>
        <w:jc w:val="left"/>
        <w:rPr>
          <w:rFonts w:ascii="Calibri" w:eastAsia="Calibri" w:hAnsi="Calibri" w:cs="Arial"/>
          <w:b/>
          <w:sz w:val="28"/>
        </w:rPr>
      </w:pPr>
    </w:p>
    <w:p w:rsidR="0039067A" w:rsidRPr="0039067A" w:rsidRDefault="0039067A" w:rsidP="0039067A">
      <w:pPr>
        <w:spacing w:before="0" w:beforeAutospacing="0" w:after="200" w:afterAutospacing="0" w:line="276" w:lineRule="auto"/>
        <w:jc w:val="left"/>
        <w:rPr>
          <w:rFonts w:ascii="Calibri" w:eastAsia="Calibri" w:hAnsi="Calibri" w:cs="Arial"/>
          <w:b/>
          <w:sz w:val="28"/>
        </w:rPr>
      </w:pPr>
    </w:p>
    <w:p w:rsidR="0039067A" w:rsidRPr="0039067A" w:rsidRDefault="0039067A" w:rsidP="0039067A">
      <w:pPr>
        <w:spacing w:before="0" w:beforeAutospacing="0" w:after="200" w:afterAutospacing="0" w:line="276" w:lineRule="auto"/>
        <w:jc w:val="left"/>
        <w:rPr>
          <w:rFonts w:ascii="Calibri" w:eastAsia="Calibri" w:hAnsi="Calibri" w:cs="Arial"/>
          <w:b/>
          <w:sz w:val="28"/>
        </w:rPr>
      </w:pPr>
    </w:p>
    <w:p w:rsidR="0039067A" w:rsidRPr="0039067A" w:rsidRDefault="0039067A" w:rsidP="0039067A">
      <w:pPr>
        <w:spacing w:before="0" w:beforeAutospacing="0" w:after="200" w:afterAutospacing="0" w:line="276" w:lineRule="auto"/>
        <w:jc w:val="left"/>
        <w:rPr>
          <w:rFonts w:ascii="Calibri" w:eastAsia="Calibri" w:hAnsi="Calibri" w:cs="Arial"/>
          <w:b/>
          <w:sz w:val="28"/>
        </w:rPr>
      </w:pPr>
    </w:p>
    <w:p w:rsidR="0039067A" w:rsidRPr="0039067A" w:rsidRDefault="0039067A" w:rsidP="0039067A">
      <w:pPr>
        <w:spacing w:before="0" w:beforeAutospacing="0" w:after="200" w:afterAutospacing="0" w:line="276" w:lineRule="auto"/>
        <w:jc w:val="left"/>
        <w:rPr>
          <w:rFonts w:ascii="Calibri" w:eastAsia="Calibri" w:hAnsi="Calibri" w:cs="Arial"/>
          <w:b/>
          <w:sz w:val="28"/>
        </w:rPr>
      </w:pPr>
    </w:p>
    <w:p w:rsidR="0039067A" w:rsidRPr="0039067A" w:rsidRDefault="0039067A" w:rsidP="0039067A">
      <w:pPr>
        <w:spacing w:before="0" w:beforeAutospacing="0" w:after="200" w:afterAutospacing="0" w:line="276" w:lineRule="auto"/>
        <w:jc w:val="left"/>
        <w:rPr>
          <w:rFonts w:ascii="Calibri" w:eastAsia="Calibri" w:hAnsi="Calibri" w:cs="Arial"/>
          <w:b/>
          <w:sz w:val="28"/>
        </w:rPr>
      </w:pPr>
    </w:p>
    <w:p w:rsidR="0039067A" w:rsidRPr="0039067A" w:rsidRDefault="0039067A" w:rsidP="0039067A">
      <w:pPr>
        <w:spacing w:before="0" w:beforeAutospacing="0" w:after="200" w:afterAutospacing="0" w:line="276" w:lineRule="auto"/>
        <w:jc w:val="left"/>
        <w:rPr>
          <w:rFonts w:ascii="Calibri" w:eastAsia="Calibri" w:hAnsi="Calibri" w:cs="Arial"/>
          <w:b/>
          <w:sz w:val="28"/>
        </w:rPr>
      </w:pPr>
    </w:p>
    <w:p w:rsidR="0039067A" w:rsidRPr="0039067A" w:rsidRDefault="0039067A" w:rsidP="0039067A">
      <w:pPr>
        <w:spacing w:before="0" w:beforeAutospacing="0" w:after="200" w:afterAutospacing="0" w:line="276" w:lineRule="auto"/>
        <w:rPr>
          <w:rFonts w:ascii="Times New Roman" w:eastAsia="Calibri" w:hAnsi="Times New Roman" w:cs="Times New Roman"/>
          <w:b/>
          <w:i/>
          <w:sz w:val="26"/>
          <w:szCs w:val="26"/>
        </w:rPr>
      </w:pPr>
      <w:r w:rsidRPr="0039067A">
        <w:rPr>
          <w:rFonts w:ascii="Times New Roman" w:eastAsia="Calibri" w:hAnsi="Times New Roman" w:cs="Times New Roman"/>
          <w:b/>
          <w:i/>
          <w:sz w:val="26"/>
          <w:szCs w:val="26"/>
        </w:rPr>
        <w:lastRenderedPageBreak/>
        <w:t xml:space="preserve">Section 3 : Impact du SCF sur les Capitaux Propres et résultats des sociétés du Groupe </w:t>
      </w:r>
      <w:proofErr w:type="spellStart"/>
      <w:r w:rsidRPr="0039067A">
        <w:rPr>
          <w:rFonts w:ascii="Times New Roman" w:eastAsia="Calibri" w:hAnsi="Times New Roman" w:cs="Times New Roman"/>
          <w:b/>
          <w:i/>
          <w:sz w:val="26"/>
          <w:szCs w:val="26"/>
        </w:rPr>
        <w:t>Sonelgaz</w:t>
      </w:r>
      <w:proofErr w:type="spellEnd"/>
    </w:p>
    <w:p w:rsidR="0039067A" w:rsidRPr="0039067A" w:rsidRDefault="0039067A" w:rsidP="0039067A">
      <w:pPr>
        <w:spacing w:before="120" w:beforeAutospacing="0" w:after="120" w:afterAutospacing="0" w:line="276" w:lineRule="auto"/>
        <w:ind w:firstLine="360"/>
        <w:jc w:val="both"/>
        <w:rPr>
          <w:rFonts w:ascii="Times New Roman" w:eastAsia="Calibri" w:hAnsi="Times New Roman" w:cs="Times New Roman"/>
          <w:sz w:val="24"/>
          <w:szCs w:val="24"/>
        </w:rPr>
      </w:pPr>
      <w:r w:rsidRPr="0039067A">
        <w:rPr>
          <w:rFonts w:ascii="Times New Roman" w:eastAsia="Calibri" w:hAnsi="Times New Roman" w:cs="Times New Roman"/>
          <w:sz w:val="24"/>
          <w:szCs w:val="24"/>
        </w:rPr>
        <w:t>Le respect du principe de comparabilité oblige les sociétés algériennes de retraiter leurs comptes 2009 selon les nouvelles dispositions du SCF. Chose qui nous a permis d’obtenir les états financiers des sociétés, constituant notre échantillon, établi selon les deux systèmes PCN et SCF et relatifs au même exercice (2009). Dès lors, il était possible d’analyser l’impact dû à la transition au SCF en comparant entre les principaux agrégats des états PCN et SCF. Les résultats de cette étude seront présentés au niveau de la présente section.</w:t>
      </w:r>
    </w:p>
    <w:p w:rsidR="0039067A" w:rsidRPr="0039067A" w:rsidRDefault="0039067A" w:rsidP="0039067A">
      <w:pPr>
        <w:spacing w:before="180" w:beforeAutospacing="0" w:after="180" w:afterAutospacing="0" w:line="276" w:lineRule="auto"/>
        <w:jc w:val="both"/>
        <w:rPr>
          <w:rFonts w:ascii="Times New Roman" w:eastAsia="Calibri" w:hAnsi="Times New Roman" w:cs="Times New Roman"/>
          <w:b/>
          <w:sz w:val="26"/>
          <w:szCs w:val="26"/>
        </w:rPr>
      </w:pPr>
      <w:r w:rsidRPr="0039067A">
        <w:rPr>
          <w:rFonts w:ascii="Times New Roman" w:eastAsia="Calibri" w:hAnsi="Times New Roman" w:cs="Times New Roman"/>
          <w:b/>
          <w:sz w:val="26"/>
          <w:szCs w:val="26"/>
        </w:rPr>
        <w:t xml:space="preserve">3.1. Méthodologie de recherche  </w:t>
      </w:r>
    </w:p>
    <w:p w:rsidR="0039067A" w:rsidRPr="0039067A" w:rsidRDefault="0039067A" w:rsidP="0039067A">
      <w:pPr>
        <w:spacing w:before="120" w:beforeAutospacing="0" w:after="120" w:afterAutospacing="0" w:line="276" w:lineRule="auto"/>
        <w:ind w:firstLine="360"/>
        <w:jc w:val="both"/>
        <w:rPr>
          <w:rFonts w:ascii="Times New Roman" w:eastAsia="Calibri" w:hAnsi="Times New Roman" w:cs="Times New Roman"/>
          <w:sz w:val="24"/>
          <w:szCs w:val="24"/>
        </w:rPr>
      </w:pPr>
      <w:r w:rsidRPr="0039067A">
        <w:rPr>
          <w:rFonts w:ascii="Times New Roman" w:eastAsia="Calibri" w:hAnsi="Times New Roman" w:cs="Times New Roman"/>
          <w:sz w:val="24"/>
          <w:szCs w:val="24"/>
        </w:rPr>
        <w:t xml:space="preserve">La méthode choisie  repose sur  les techniques statistiques, et consiste à étudier l’impact de la transition au SCF sur les capitaux propres (CP) et les résultats (R) des entreprises algériennes, en utilisant un échantillon de 33 entreprises ; représentant des sociétés du Groupe </w:t>
      </w:r>
      <w:proofErr w:type="spellStart"/>
      <w:r w:rsidRPr="0039067A">
        <w:rPr>
          <w:rFonts w:ascii="Times New Roman" w:eastAsia="Calibri" w:hAnsi="Times New Roman" w:cs="Times New Roman"/>
          <w:sz w:val="24"/>
          <w:szCs w:val="24"/>
        </w:rPr>
        <w:t>Sonelgaz</w:t>
      </w:r>
      <w:proofErr w:type="spellEnd"/>
      <w:r w:rsidRPr="0039067A">
        <w:rPr>
          <w:rFonts w:ascii="Times New Roman" w:eastAsia="Calibri" w:hAnsi="Times New Roman" w:cs="Times New Roman"/>
          <w:sz w:val="24"/>
          <w:szCs w:val="24"/>
        </w:rPr>
        <w:t xml:space="preserve">. L’impact calculé, à ce niveau, représente une mesure globale et non pas norme par norme. L’analyse de cet impact va s’effectuer en calculant les variations absolues et relatives des Capitaux Propres et des Résultats dues à la transition.    </w:t>
      </w:r>
    </w:p>
    <w:p w:rsidR="0039067A" w:rsidRPr="0039067A" w:rsidRDefault="0039067A" w:rsidP="0039067A">
      <w:pPr>
        <w:spacing w:before="120" w:beforeAutospacing="0" w:after="120" w:afterAutospacing="0" w:line="276" w:lineRule="auto"/>
        <w:ind w:firstLine="360"/>
        <w:jc w:val="both"/>
        <w:rPr>
          <w:rFonts w:ascii="Times New Roman" w:eastAsia="Calibri" w:hAnsi="Times New Roman" w:cs="Times New Roman"/>
          <w:sz w:val="24"/>
          <w:szCs w:val="24"/>
        </w:rPr>
      </w:pPr>
      <w:r w:rsidRPr="0039067A">
        <w:rPr>
          <w:rFonts w:ascii="Times New Roman" w:eastAsia="Calibri" w:hAnsi="Times New Roman" w:cs="Times New Roman"/>
          <w:sz w:val="24"/>
          <w:szCs w:val="24"/>
        </w:rPr>
        <w:t>En outre, l’étude sera décomposée en deux étapes :</w:t>
      </w:r>
      <w:r w:rsidRPr="0039067A">
        <w:rPr>
          <w:rFonts w:ascii="Times New Roman" w:eastAsia="Calibri" w:hAnsi="Times New Roman" w:cs="Times New Roman"/>
          <w:sz w:val="24"/>
          <w:szCs w:val="24"/>
          <w:highlight w:val="yellow"/>
        </w:rPr>
        <w:t xml:space="preserve"> </w:t>
      </w:r>
    </w:p>
    <w:p w:rsidR="0039067A" w:rsidRPr="0039067A" w:rsidRDefault="0039067A" w:rsidP="0039067A">
      <w:pPr>
        <w:spacing w:before="120" w:beforeAutospacing="0" w:after="120" w:afterAutospacing="0" w:line="276" w:lineRule="auto"/>
        <w:ind w:firstLine="360"/>
        <w:jc w:val="both"/>
        <w:rPr>
          <w:rFonts w:ascii="Times New Roman" w:eastAsia="Calibri" w:hAnsi="Times New Roman" w:cs="Times New Roman"/>
          <w:sz w:val="24"/>
          <w:szCs w:val="24"/>
        </w:rPr>
      </w:pPr>
      <w:r w:rsidRPr="0039067A">
        <w:rPr>
          <w:rFonts w:ascii="Times New Roman" w:eastAsia="Calibri" w:hAnsi="Times New Roman" w:cs="Times New Roman"/>
          <w:sz w:val="24"/>
          <w:szCs w:val="24"/>
        </w:rPr>
        <w:t xml:space="preserve">La première consiste à décrire les variations (absolues et relatives) constatées suite à la  transition au SCF en utilisant les techniques de la statistique descriptive. Ainsi que d’étudier la significativité de ces variations, autrement dit étudier si les agrégats financiers (capitaux propres et résultat) obtenus via l’application du SCF sont significativement différents aux ceux obtenus dans le cadre du PCN. </w:t>
      </w:r>
    </w:p>
    <w:p w:rsidR="0039067A" w:rsidRPr="0039067A" w:rsidRDefault="0039067A" w:rsidP="0039067A">
      <w:pPr>
        <w:spacing w:before="120" w:beforeAutospacing="0" w:after="120" w:afterAutospacing="0" w:line="276" w:lineRule="auto"/>
        <w:ind w:firstLine="360"/>
        <w:jc w:val="both"/>
        <w:rPr>
          <w:rFonts w:ascii="Times New Roman" w:eastAsia="Calibri" w:hAnsi="Times New Roman" w:cs="Times New Roman"/>
          <w:sz w:val="24"/>
          <w:szCs w:val="24"/>
        </w:rPr>
      </w:pPr>
      <w:r w:rsidRPr="0039067A">
        <w:rPr>
          <w:rFonts w:ascii="Times New Roman" w:eastAsia="Calibri" w:hAnsi="Times New Roman" w:cs="Times New Roman"/>
          <w:sz w:val="24"/>
          <w:szCs w:val="24"/>
        </w:rPr>
        <w:t xml:space="preserve">Tandis que, l’objet de la deuxième étape consiste à déterminer l’origine de ces variations en identifiant l’impact de chacune des nouvelles dispositions (ou normes) du SCF sur les capitaux propres et résultats. L’étude menée, à ce niveau, va prendre en considération les retraitements effectués lors de la transition, et qui concernent 11 sociétés de notre échantillon, dont nous avons pu obtenir tous les détails des retraitements effectués.  </w:t>
      </w:r>
    </w:p>
    <w:p w:rsidR="0039067A" w:rsidRPr="0039067A" w:rsidRDefault="0039067A" w:rsidP="0039067A">
      <w:pPr>
        <w:spacing w:before="120" w:beforeAutospacing="0" w:after="120" w:afterAutospacing="0" w:line="276" w:lineRule="auto"/>
        <w:ind w:firstLine="360"/>
        <w:jc w:val="both"/>
        <w:rPr>
          <w:rFonts w:ascii="Times New Roman" w:eastAsia="Calibri" w:hAnsi="Times New Roman" w:cs="Times New Roman"/>
          <w:sz w:val="24"/>
          <w:szCs w:val="24"/>
        </w:rPr>
      </w:pPr>
      <w:r w:rsidRPr="0039067A">
        <w:rPr>
          <w:rFonts w:ascii="Times New Roman" w:eastAsia="Calibri" w:hAnsi="Times New Roman" w:cs="Times New Roman"/>
          <w:sz w:val="24"/>
          <w:szCs w:val="24"/>
        </w:rPr>
        <w:t xml:space="preserve">La variation absolue est une grandeur exprimée dans l’unité de la variable étudiée (CP  ou R) et qui représente la différence entre la valeur des variables après et avant retraitements SCF. Le calcul de la variation absolue est indispensable pour l’étude d’impact de la transition, mais il reste insuffisant, vu qu’il ne permet pas d’effectuer des comparaisons pertinentes. Pour cela, une autre variation doit être calculée à savoir la variation relative. Dans le cas général, une valeur relative permet de mesurer l’importance d’une partie ayant une caractéristique particulière par rapport à un ensemble auquel elle appartient.  Dans notre cas, la variation relative des CP, par </w:t>
      </w:r>
      <w:r w:rsidRPr="0039067A">
        <w:rPr>
          <w:rFonts w:ascii="Times New Roman" w:eastAsia="Calibri" w:hAnsi="Times New Roman" w:cs="Times New Roman"/>
          <w:sz w:val="24"/>
          <w:szCs w:val="24"/>
        </w:rPr>
        <w:lastRenderedPageBreak/>
        <w:t>exemple, permet de mesurer l’importance de l’impact dû à la transition par rapport à la valeur initiale des CP (valeur avant retraitements SCF). Elle est calculée en rapportant la variation des CP sur les CP PCN (</w:t>
      </w:r>
      <w:proofErr w:type="spellStart"/>
      <w:r w:rsidRPr="0039067A">
        <w:rPr>
          <w:rFonts w:ascii="Times New Roman" w:eastAsia="Calibri" w:hAnsi="Times New Roman" w:cs="Times New Roman"/>
          <w:sz w:val="24"/>
          <w:szCs w:val="24"/>
        </w:rPr>
        <w:t>VarR</w:t>
      </w:r>
      <w:proofErr w:type="spellEnd"/>
      <w:r w:rsidRPr="0039067A">
        <w:rPr>
          <w:rFonts w:ascii="Times New Roman" w:eastAsia="Calibri" w:hAnsi="Times New Roman" w:cs="Times New Roman"/>
          <w:sz w:val="24"/>
          <w:szCs w:val="24"/>
        </w:rPr>
        <w:t xml:space="preserve"> CP = (CP SCF – CP PCN) / CP PCN).   </w:t>
      </w:r>
    </w:p>
    <w:p w:rsidR="0039067A" w:rsidRPr="0039067A" w:rsidRDefault="0039067A" w:rsidP="0039067A">
      <w:pPr>
        <w:spacing w:before="120" w:beforeAutospacing="0" w:after="120" w:afterAutospacing="0" w:line="276" w:lineRule="auto"/>
        <w:ind w:firstLine="360"/>
        <w:jc w:val="both"/>
        <w:rPr>
          <w:rFonts w:ascii="Times New Roman" w:eastAsia="Calibri" w:hAnsi="Times New Roman" w:cs="Times New Roman"/>
          <w:sz w:val="24"/>
          <w:szCs w:val="24"/>
        </w:rPr>
      </w:pPr>
      <w:r w:rsidRPr="0039067A">
        <w:rPr>
          <w:rFonts w:ascii="Times New Roman" w:eastAsia="Calibri" w:hAnsi="Times New Roman" w:cs="Times New Roman"/>
          <w:sz w:val="24"/>
          <w:szCs w:val="24"/>
        </w:rPr>
        <w:t>Pour étudier la significativité de l’impact dû au SCF sur les capitaux propres et résultats des entreprises de notre échantillon, nous avons opté pour l’utilisation du test</w:t>
      </w:r>
      <w:r w:rsidRPr="0039067A">
        <w:rPr>
          <w:rFonts w:ascii="Calibri" w:eastAsia="Calibri" w:hAnsi="Calibri" w:cs="Arial"/>
        </w:rPr>
        <w:t xml:space="preserve"> </w:t>
      </w:r>
      <w:r w:rsidRPr="0039067A">
        <w:rPr>
          <w:rFonts w:ascii="Times New Roman" w:eastAsia="Calibri" w:hAnsi="Times New Roman" w:cs="Times New Roman"/>
          <w:sz w:val="24"/>
          <w:szCs w:val="24"/>
        </w:rPr>
        <w:t xml:space="preserve">de </w:t>
      </w:r>
      <w:proofErr w:type="spellStart"/>
      <w:r w:rsidRPr="0039067A">
        <w:rPr>
          <w:rFonts w:ascii="Times New Roman" w:eastAsia="Calibri" w:hAnsi="Times New Roman" w:cs="Times New Roman"/>
          <w:sz w:val="24"/>
          <w:szCs w:val="24"/>
        </w:rPr>
        <w:t>Wilcoxon</w:t>
      </w:r>
      <w:proofErr w:type="spellEnd"/>
      <w:r w:rsidRPr="0039067A">
        <w:rPr>
          <w:rFonts w:ascii="Times New Roman" w:eastAsia="Calibri" w:hAnsi="Times New Roman" w:cs="Times New Roman"/>
          <w:sz w:val="24"/>
          <w:szCs w:val="24"/>
        </w:rPr>
        <w:t> : Test des rangs appliqué au cas d'échantillons appariés (</w:t>
      </w:r>
      <w:proofErr w:type="spellStart"/>
      <w:r w:rsidRPr="0039067A">
        <w:rPr>
          <w:rFonts w:ascii="Times New Roman" w:eastAsia="Calibri" w:hAnsi="Times New Roman" w:cs="Times New Roman"/>
          <w:sz w:val="24"/>
          <w:szCs w:val="24"/>
        </w:rPr>
        <w:t>Wilcoxon</w:t>
      </w:r>
      <w:proofErr w:type="spellEnd"/>
      <w:r w:rsidRPr="0039067A">
        <w:rPr>
          <w:rFonts w:ascii="Times New Roman" w:eastAsia="Calibri" w:hAnsi="Times New Roman" w:cs="Times New Roman"/>
          <w:sz w:val="24"/>
          <w:szCs w:val="24"/>
        </w:rPr>
        <w:t xml:space="preserve"> </w:t>
      </w:r>
      <w:proofErr w:type="spellStart"/>
      <w:r w:rsidRPr="0039067A">
        <w:rPr>
          <w:rFonts w:ascii="Times New Roman" w:eastAsia="Calibri" w:hAnsi="Times New Roman" w:cs="Times New Roman"/>
          <w:sz w:val="24"/>
          <w:szCs w:val="24"/>
        </w:rPr>
        <w:t>matched</w:t>
      </w:r>
      <w:proofErr w:type="spellEnd"/>
      <w:r w:rsidRPr="0039067A">
        <w:rPr>
          <w:rFonts w:ascii="Times New Roman" w:eastAsia="Calibri" w:hAnsi="Times New Roman" w:cs="Times New Roman"/>
          <w:sz w:val="24"/>
          <w:szCs w:val="24"/>
        </w:rPr>
        <w:t xml:space="preserve">-pairs </w:t>
      </w:r>
      <w:proofErr w:type="spellStart"/>
      <w:r w:rsidRPr="0039067A">
        <w:rPr>
          <w:rFonts w:ascii="Times New Roman" w:eastAsia="Calibri" w:hAnsi="Times New Roman" w:cs="Times New Roman"/>
          <w:sz w:val="24"/>
          <w:szCs w:val="24"/>
        </w:rPr>
        <w:t>signed-ranks</w:t>
      </w:r>
      <w:proofErr w:type="spellEnd"/>
      <w:r w:rsidRPr="0039067A">
        <w:rPr>
          <w:rFonts w:ascii="Times New Roman" w:eastAsia="Calibri" w:hAnsi="Times New Roman" w:cs="Times New Roman"/>
          <w:sz w:val="24"/>
          <w:szCs w:val="24"/>
        </w:rPr>
        <w:t xml:space="preserve"> test). Ce test est utile lorsqu’on veut comparer entre deux échantillons appariés ou « établir si deux traitements sont différents ou si un traitement est "meilleur" qu'un autre. Ce cas se présente, par exemple, quand on compare deux méthodes de mesure en soumettant à ces deux méthodes les mêmes individus, choisis dans une population donnée : à chacune des méthodes correspond alors une population de mesures, mais ces populations et les échantillons que l'on peut en extraire, ne sont pas indépendants. »</w:t>
      </w:r>
      <w:r w:rsidRPr="0039067A">
        <w:rPr>
          <w:rFonts w:ascii="Times New Roman" w:eastAsia="Calibri" w:hAnsi="Times New Roman" w:cs="Times New Roman"/>
          <w:sz w:val="24"/>
          <w:szCs w:val="24"/>
          <w:vertAlign w:val="superscript"/>
        </w:rPr>
        <w:footnoteReference w:id="112"/>
      </w:r>
      <w:r w:rsidRPr="0039067A">
        <w:rPr>
          <w:rFonts w:ascii="Times New Roman" w:eastAsia="Calibri" w:hAnsi="Times New Roman" w:cs="Times New Roman"/>
          <w:sz w:val="24"/>
          <w:szCs w:val="24"/>
        </w:rPr>
        <w:t xml:space="preserve">   </w:t>
      </w:r>
    </w:p>
    <w:p w:rsidR="0039067A" w:rsidRPr="0039067A" w:rsidRDefault="0039067A" w:rsidP="00550D4B">
      <w:pPr>
        <w:numPr>
          <w:ilvl w:val="0"/>
          <w:numId w:val="83"/>
        </w:numPr>
        <w:spacing w:before="120" w:beforeAutospacing="0" w:after="120" w:afterAutospacing="0" w:line="276" w:lineRule="auto"/>
        <w:contextualSpacing/>
        <w:jc w:val="both"/>
        <w:rPr>
          <w:rFonts w:ascii="Times New Roman" w:eastAsia="Calibri" w:hAnsi="Times New Roman" w:cs="Times New Roman"/>
          <w:sz w:val="24"/>
          <w:szCs w:val="24"/>
        </w:rPr>
      </w:pPr>
      <w:r w:rsidRPr="0039067A">
        <w:rPr>
          <w:rFonts w:ascii="Times New Roman" w:eastAsia="Calibri" w:hAnsi="Times New Roman" w:cs="Times New Roman"/>
          <w:i/>
          <w:sz w:val="24"/>
          <w:szCs w:val="24"/>
        </w:rPr>
        <w:t xml:space="preserve">Les populations et les variables </w:t>
      </w:r>
      <w:r w:rsidRPr="0039067A">
        <w:rPr>
          <w:rFonts w:ascii="Times New Roman" w:eastAsia="Calibri" w:hAnsi="Times New Roman" w:cs="Times New Roman"/>
          <w:sz w:val="24"/>
          <w:szCs w:val="24"/>
        </w:rPr>
        <w:t>: On considère une variable quantitative X (CP ou R)  et deux populations de mesure 1 et 2 appariées où les individus de 2 sont ceux de 1 soumises à des traitements différents. </w:t>
      </w:r>
    </w:p>
    <w:p w:rsidR="0039067A" w:rsidRPr="0039067A" w:rsidRDefault="0039067A" w:rsidP="0039067A">
      <w:pPr>
        <w:spacing w:before="120" w:beforeAutospacing="0" w:after="120" w:afterAutospacing="0" w:line="276" w:lineRule="auto"/>
        <w:ind w:left="360"/>
        <w:contextualSpacing/>
        <w:jc w:val="both"/>
        <w:rPr>
          <w:rFonts w:ascii="Times New Roman" w:eastAsia="Calibri" w:hAnsi="Times New Roman" w:cs="Times New Roman"/>
          <w:sz w:val="24"/>
          <w:szCs w:val="24"/>
        </w:rPr>
      </w:pPr>
      <w:r w:rsidRPr="0039067A">
        <w:rPr>
          <w:rFonts w:ascii="Times New Roman" w:eastAsia="Calibri" w:hAnsi="Times New Roman" w:cs="Times New Roman"/>
          <w:sz w:val="24"/>
          <w:szCs w:val="24"/>
        </w:rPr>
        <w:t xml:space="preserve">Dans notre cas, les entreprises de notre échantillon étaient soumises à deux traitements comptables différents : traitements relatifs au PCN et ceux relatifs au SCF. Ce qui permet d’avoir les deux populations de mesures suivantes : la population PCN (population 1) et la population SCF (population 2). A cet effet, le test de </w:t>
      </w:r>
      <w:proofErr w:type="spellStart"/>
      <w:r w:rsidRPr="0039067A">
        <w:rPr>
          <w:rFonts w:ascii="Times New Roman" w:eastAsia="Calibri" w:hAnsi="Times New Roman" w:cs="Times New Roman"/>
          <w:sz w:val="24"/>
          <w:szCs w:val="24"/>
        </w:rPr>
        <w:t>Wilcoxon</w:t>
      </w:r>
      <w:proofErr w:type="spellEnd"/>
      <w:r w:rsidRPr="0039067A">
        <w:rPr>
          <w:rFonts w:ascii="Times New Roman" w:eastAsia="Calibri" w:hAnsi="Times New Roman" w:cs="Times New Roman"/>
          <w:sz w:val="24"/>
          <w:szCs w:val="24"/>
        </w:rPr>
        <w:t xml:space="preserve"> va permettre de déterminer si l’application du SCF donne lieu à des agrégats financiers significativement différents de ceux obtenus dans le cadre du PCN.</w:t>
      </w:r>
    </w:p>
    <w:p w:rsidR="0039067A" w:rsidRPr="0039067A" w:rsidRDefault="0039067A" w:rsidP="00550D4B">
      <w:pPr>
        <w:numPr>
          <w:ilvl w:val="0"/>
          <w:numId w:val="83"/>
        </w:numPr>
        <w:spacing w:before="120" w:beforeAutospacing="0" w:after="120" w:afterAutospacing="0" w:line="276" w:lineRule="auto"/>
        <w:contextualSpacing/>
        <w:jc w:val="both"/>
        <w:rPr>
          <w:rFonts w:ascii="Times New Roman" w:eastAsia="Calibri" w:hAnsi="Times New Roman" w:cs="Times New Roman"/>
          <w:i/>
          <w:sz w:val="24"/>
          <w:szCs w:val="24"/>
        </w:rPr>
      </w:pPr>
      <w:r w:rsidRPr="0039067A">
        <w:rPr>
          <w:rFonts w:ascii="Times New Roman" w:eastAsia="Calibri" w:hAnsi="Times New Roman" w:cs="Times New Roman"/>
          <w:i/>
          <w:sz w:val="24"/>
          <w:szCs w:val="24"/>
        </w:rPr>
        <w:t xml:space="preserve">Les hypothèses H0 et H1 : </w:t>
      </w:r>
      <w:r w:rsidRPr="0039067A">
        <w:rPr>
          <w:rFonts w:ascii="Times New Roman" w:eastAsia="Calibri" w:hAnsi="Times New Roman" w:cs="Times New Roman"/>
          <w:sz w:val="24"/>
          <w:szCs w:val="24"/>
        </w:rPr>
        <w:t>Après fixation d’un seuil d’erreur, le but du test est de prendre une décision concernant l’hypothèse nulle H</w:t>
      </w:r>
      <w:r w:rsidRPr="0039067A">
        <w:rPr>
          <w:rFonts w:ascii="Times New Roman" w:eastAsia="Calibri" w:hAnsi="Times New Roman" w:cs="Times New Roman"/>
          <w:sz w:val="16"/>
          <w:szCs w:val="24"/>
        </w:rPr>
        <w:t>0</w:t>
      </w:r>
      <w:r w:rsidRPr="0039067A">
        <w:rPr>
          <w:rFonts w:ascii="Times New Roman" w:eastAsia="Calibri" w:hAnsi="Times New Roman" w:cs="Times New Roman"/>
          <w:sz w:val="24"/>
          <w:szCs w:val="24"/>
        </w:rPr>
        <w:t xml:space="preserve"> suivante :</w:t>
      </w:r>
    </w:p>
    <w:p w:rsidR="0039067A" w:rsidRPr="0039067A" w:rsidRDefault="0039067A" w:rsidP="0039067A">
      <w:pPr>
        <w:spacing w:before="240" w:beforeAutospacing="0" w:after="120" w:afterAutospacing="0" w:line="276" w:lineRule="auto"/>
        <w:ind w:left="360"/>
        <w:jc w:val="both"/>
        <w:rPr>
          <w:rFonts w:ascii="Times New Roman" w:eastAsia="Calibri" w:hAnsi="Times New Roman" w:cs="Times New Roman"/>
          <w:sz w:val="24"/>
          <w:szCs w:val="24"/>
        </w:rPr>
      </w:pPr>
      <w:r w:rsidRPr="0039067A">
        <w:rPr>
          <w:rFonts w:ascii="Times New Roman" w:eastAsia="Calibri" w:hAnsi="Times New Roman" w:cs="Times New Roman"/>
          <w:sz w:val="24"/>
          <w:szCs w:val="24"/>
        </w:rPr>
        <w:t>H</w:t>
      </w:r>
      <w:r w:rsidRPr="0039067A">
        <w:rPr>
          <w:rFonts w:ascii="Times New Roman" w:eastAsia="Calibri" w:hAnsi="Times New Roman" w:cs="Times New Roman"/>
          <w:sz w:val="16"/>
          <w:szCs w:val="24"/>
        </w:rPr>
        <w:t>0</w:t>
      </w:r>
      <w:r w:rsidRPr="0039067A">
        <w:rPr>
          <w:rFonts w:ascii="Times New Roman" w:eastAsia="Calibri" w:hAnsi="Times New Roman" w:cs="Times New Roman"/>
          <w:sz w:val="24"/>
          <w:szCs w:val="24"/>
        </w:rPr>
        <w:t xml:space="preserve"> : Le traitement PCN est identique au traitement SCF ; c’est-à-dire que les variations dues à la transition ne sont pas significatives (distribution de X sur la population 1 est identique à la distribution de X sur la population 2). </w:t>
      </w:r>
    </w:p>
    <w:p w:rsidR="0039067A" w:rsidRPr="0039067A" w:rsidRDefault="0039067A" w:rsidP="0039067A">
      <w:pPr>
        <w:spacing w:before="120" w:beforeAutospacing="0" w:after="120" w:afterAutospacing="0" w:line="276" w:lineRule="auto"/>
        <w:ind w:left="357"/>
        <w:jc w:val="both"/>
        <w:rPr>
          <w:rFonts w:ascii="Times New Roman" w:eastAsia="Calibri" w:hAnsi="Times New Roman" w:cs="Times New Roman"/>
          <w:sz w:val="24"/>
          <w:szCs w:val="24"/>
        </w:rPr>
      </w:pPr>
      <w:r w:rsidRPr="0039067A">
        <w:rPr>
          <w:rFonts w:ascii="Times New Roman" w:eastAsia="Calibri" w:hAnsi="Times New Roman" w:cs="Times New Roman"/>
          <w:sz w:val="24"/>
          <w:szCs w:val="24"/>
        </w:rPr>
        <w:t>Le rejet de H</w:t>
      </w:r>
      <w:r w:rsidRPr="0039067A">
        <w:rPr>
          <w:rFonts w:ascii="Times New Roman" w:eastAsia="Calibri" w:hAnsi="Times New Roman" w:cs="Times New Roman"/>
          <w:sz w:val="16"/>
          <w:szCs w:val="24"/>
        </w:rPr>
        <w:t>0</w:t>
      </w:r>
      <w:r w:rsidRPr="0039067A">
        <w:rPr>
          <w:rFonts w:ascii="Times New Roman" w:eastAsia="Calibri" w:hAnsi="Times New Roman" w:cs="Times New Roman"/>
          <w:sz w:val="24"/>
          <w:szCs w:val="24"/>
        </w:rPr>
        <w:t xml:space="preserve"> conduit, en tenant compte du contexte, à accepter l’une des 3 hypothèses alternatives H</w:t>
      </w:r>
      <w:r w:rsidRPr="0039067A">
        <w:rPr>
          <w:rFonts w:ascii="Times New Roman" w:eastAsia="Calibri" w:hAnsi="Times New Roman" w:cs="Times New Roman"/>
          <w:sz w:val="16"/>
          <w:szCs w:val="24"/>
        </w:rPr>
        <w:t>1</w:t>
      </w:r>
      <w:r w:rsidRPr="0039067A">
        <w:rPr>
          <w:rFonts w:ascii="Times New Roman" w:eastAsia="Calibri" w:hAnsi="Times New Roman" w:cs="Times New Roman"/>
          <w:sz w:val="24"/>
          <w:szCs w:val="24"/>
        </w:rPr>
        <w:t xml:space="preserve"> suivantes :</w:t>
      </w:r>
    </w:p>
    <w:p w:rsidR="0039067A" w:rsidRPr="0039067A" w:rsidRDefault="0039067A" w:rsidP="0039067A">
      <w:pPr>
        <w:spacing w:before="120" w:beforeAutospacing="0" w:after="120" w:afterAutospacing="0" w:line="276" w:lineRule="auto"/>
        <w:ind w:left="357"/>
        <w:jc w:val="both"/>
        <w:rPr>
          <w:rFonts w:ascii="Times New Roman" w:eastAsia="Calibri" w:hAnsi="Times New Roman" w:cs="Times New Roman"/>
          <w:sz w:val="24"/>
          <w:szCs w:val="24"/>
        </w:rPr>
      </w:pPr>
      <w:r w:rsidRPr="0039067A">
        <w:rPr>
          <w:rFonts w:ascii="Times New Roman" w:eastAsia="Calibri" w:hAnsi="Times New Roman" w:cs="Times New Roman"/>
          <w:bCs/>
          <w:i/>
          <w:sz w:val="24"/>
          <w:szCs w:val="24"/>
        </w:rPr>
        <w:t xml:space="preserve">1- Cas bilatéral </w:t>
      </w:r>
      <w:r w:rsidRPr="0039067A">
        <w:rPr>
          <w:rFonts w:ascii="Times New Roman" w:eastAsia="Calibri" w:hAnsi="Times New Roman" w:cs="Times New Roman"/>
          <w:i/>
          <w:sz w:val="24"/>
          <w:szCs w:val="24"/>
        </w:rPr>
        <w:t>H1 :</w:t>
      </w:r>
      <w:r w:rsidRPr="0039067A">
        <w:rPr>
          <w:rFonts w:ascii="Times New Roman" w:eastAsia="Calibri" w:hAnsi="Times New Roman" w:cs="Times New Roman"/>
          <w:sz w:val="24"/>
          <w:szCs w:val="24"/>
        </w:rPr>
        <w:t xml:space="preserve"> la distribution de X PCN (CP ou R)  sur les entreprises de l’échantillon est différente de celle de X SCF (CP ou R).</w:t>
      </w:r>
    </w:p>
    <w:p w:rsidR="0039067A" w:rsidRPr="0039067A" w:rsidRDefault="0039067A" w:rsidP="0039067A">
      <w:pPr>
        <w:spacing w:before="120" w:beforeAutospacing="0" w:after="120" w:afterAutospacing="0" w:line="276" w:lineRule="auto"/>
        <w:ind w:left="357"/>
        <w:jc w:val="both"/>
        <w:rPr>
          <w:rFonts w:ascii="Times New Roman" w:eastAsia="Calibri" w:hAnsi="Times New Roman" w:cs="Times New Roman"/>
          <w:sz w:val="24"/>
          <w:szCs w:val="24"/>
        </w:rPr>
      </w:pPr>
      <w:r w:rsidRPr="0039067A">
        <w:rPr>
          <w:rFonts w:ascii="Times New Roman" w:eastAsia="Calibri" w:hAnsi="Times New Roman" w:cs="Times New Roman"/>
          <w:bCs/>
          <w:i/>
          <w:sz w:val="24"/>
          <w:szCs w:val="24"/>
        </w:rPr>
        <w:t>2- Cas unilatéral à gauche :</w:t>
      </w:r>
      <w:r w:rsidRPr="0039067A">
        <w:rPr>
          <w:rFonts w:ascii="Times New Roman" w:eastAsia="Calibri" w:hAnsi="Times New Roman" w:cs="Times New Roman"/>
          <w:b/>
          <w:bCs/>
          <w:sz w:val="24"/>
          <w:szCs w:val="24"/>
        </w:rPr>
        <w:t xml:space="preserve"> </w:t>
      </w:r>
      <w:r w:rsidRPr="0039067A">
        <w:rPr>
          <w:rFonts w:ascii="Times New Roman" w:eastAsia="Calibri" w:hAnsi="Times New Roman" w:cs="Times New Roman"/>
          <w:sz w:val="24"/>
          <w:szCs w:val="24"/>
        </w:rPr>
        <w:t>H1 : les valeurs de X SCF sont en général inférieures à celles de X PCN.</w:t>
      </w:r>
    </w:p>
    <w:p w:rsidR="0039067A" w:rsidRPr="0039067A" w:rsidRDefault="0039067A" w:rsidP="0039067A">
      <w:pPr>
        <w:spacing w:before="120" w:beforeAutospacing="0" w:after="120" w:afterAutospacing="0" w:line="276" w:lineRule="auto"/>
        <w:ind w:left="357"/>
        <w:jc w:val="both"/>
        <w:rPr>
          <w:rFonts w:ascii="Times New Roman" w:eastAsia="Calibri" w:hAnsi="Times New Roman" w:cs="Times New Roman"/>
          <w:sz w:val="24"/>
          <w:szCs w:val="24"/>
        </w:rPr>
      </w:pPr>
      <w:r w:rsidRPr="0039067A">
        <w:rPr>
          <w:rFonts w:ascii="Times New Roman" w:eastAsia="Calibri" w:hAnsi="Times New Roman" w:cs="Times New Roman"/>
          <w:bCs/>
          <w:i/>
          <w:sz w:val="24"/>
          <w:szCs w:val="24"/>
        </w:rPr>
        <w:lastRenderedPageBreak/>
        <w:t xml:space="preserve">3- Cas unilatéral à droite : </w:t>
      </w:r>
      <w:r w:rsidRPr="0039067A">
        <w:rPr>
          <w:rFonts w:ascii="Times New Roman" w:eastAsia="Calibri" w:hAnsi="Times New Roman" w:cs="Times New Roman"/>
          <w:sz w:val="24"/>
          <w:szCs w:val="24"/>
        </w:rPr>
        <w:t>H1 : les valeurs de X SCF sont en général supérieures à celles de X PCN.</w:t>
      </w:r>
    </w:p>
    <w:p w:rsidR="0039067A" w:rsidRPr="0039067A" w:rsidRDefault="0039067A" w:rsidP="0039067A">
      <w:pPr>
        <w:spacing w:before="120" w:beforeAutospacing="0" w:after="120" w:afterAutospacing="0" w:line="276" w:lineRule="auto"/>
        <w:ind w:left="357"/>
        <w:jc w:val="both"/>
        <w:rPr>
          <w:rFonts w:ascii="Times New Roman" w:eastAsia="Calibri" w:hAnsi="Times New Roman" w:cs="Times New Roman"/>
          <w:sz w:val="24"/>
          <w:szCs w:val="24"/>
        </w:rPr>
      </w:pPr>
    </w:p>
    <w:p w:rsidR="0039067A" w:rsidRPr="0039067A" w:rsidRDefault="0039067A" w:rsidP="0039067A">
      <w:pPr>
        <w:spacing w:before="180" w:beforeAutospacing="0" w:after="180" w:afterAutospacing="0" w:line="276" w:lineRule="auto"/>
        <w:jc w:val="both"/>
        <w:rPr>
          <w:rFonts w:ascii="Times New Roman" w:eastAsia="Calibri" w:hAnsi="Times New Roman" w:cs="Times New Roman"/>
          <w:b/>
          <w:sz w:val="26"/>
          <w:szCs w:val="26"/>
        </w:rPr>
      </w:pPr>
      <w:r w:rsidRPr="0039067A">
        <w:rPr>
          <w:rFonts w:ascii="Times New Roman" w:eastAsia="Calibri" w:hAnsi="Times New Roman" w:cs="Times New Roman"/>
          <w:b/>
          <w:sz w:val="26"/>
          <w:szCs w:val="26"/>
        </w:rPr>
        <w:t>3.2. L’impact du SCF sur les Capitaux Propres des sociétés du Groupe</w:t>
      </w:r>
    </w:p>
    <w:p w:rsidR="0039067A" w:rsidRPr="0039067A" w:rsidRDefault="0039067A" w:rsidP="0039067A">
      <w:pPr>
        <w:spacing w:before="120" w:beforeAutospacing="0" w:after="120" w:afterAutospacing="0" w:line="276" w:lineRule="auto"/>
        <w:ind w:firstLine="360"/>
        <w:jc w:val="both"/>
        <w:rPr>
          <w:rFonts w:ascii="Times New Roman" w:eastAsia="Calibri" w:hAnsi="Times New Roman" w:cs="Times New Roman"/>
          <w:sz w:val="24"/>
          <w:szCs w:val="24"/>
        </w:rPr>
      </w:pPr>
      <w:r w:rsidRPr="0039067A">
        <w:rPr>
          <w:rFonts w:ascii="Times New Roman" w:eastAsia="Calibri" w:hAnsi="Times New Roman" w:cs="Times New Roman"/>
          <w:sz w:val="24"/>
          <w:szCs w:val="24"/>
        </w:rPr>
        <w:t>Le tableau suivant récapitule les principaux résultats obtenus concernant l’étude comparative menée sur sociétés du Groupe et relative à l’impact du SCF sur les capitaux propres (les montants sont exprimés  en millions de dinars) :</w:t>
      </w:r>
    </w:p>
    <w:p w:rsidR="0039067A" w:rsidRPr="0039067A" w:rsidRDefault="0039067A" w:rsidP="0039067A">
      <w:pPr>
        <w:spacing w:before="120" w:beforeAutospacing="0" w:after="120" w:afterAutospacing="0" w:line="276" w:lineRule="auto"/>
        <w:ind w:firstLine="360"/>
        <w:jc w:val="both"/>
        <w:rPr>
          <w:rFonts w:ascii="Times New Roman" w:eastAsia="Calibri" w:hAnsi="Times New Roman" w:cs="Times New Roman"/>
          <w:b/>
          <w:sz w:val="24"/>
          <w:szCs w:val="24"/>
        </w:rPr>
      </w:pPr>
      <w:r w:rsidRPr="0039067A">
        <w:rPr>
          <w:rFonts w:ascii="Times New Roman" w:eastAsia="Calibri" w:hAnsi="Times New Roman" w:cs="Times New Roman"/>
          <w:b/>
          <w:sz w:val="24"/>
          <w:szCs w:val="24"/>
        </w:rPr>
        <w:t>Tableau (5) : Impact global du SCF sur les capitaux propres</w:t>
      </w:r>
    </w:p>
    <w:tbl>
      <w:tblPr>
        <w:tblW w:w="7457" w:type="dxa"/>
        <w:jc w:val="center"/>
        <w:tblInd w:w="-677" w:type="dxa"/>
        <w:tblCellMar>
          <w:left w:w="70" w:type="dxa"/>
          <w:right w:w="70" w:type="dxa"/>
        </w:tblCellMar>
        <w:tblLook w:val="04A0" w:firstRow="1" w:lastRow="0" w:firstColumn="1" w:lastColumn="0" w:noHBand="0" w:noVBand="1"/>
      </w:tblPr>
      <w:tblGrid>
        <w:gridCol w:w="1787"/>
        <w:gridCol w:w="1559"/>
        <w:gridCol w:w="1665"/>
        <w:gridCol w:w="1270"/>
        <w:gridCol w:w="1176"/>
      </w:tblGrid>
      <w:tr w:rsidR="0039067A" w:rsidRPr="0039067A" w:rsidTr="0039067A">
        <w:trPr>
          <w:trHeight w:val="600"/>
          <w:jc w:val="center"/>
        </w:trPr>
        <w:tc>
          <w:tcPr>
            <w:tcW w:w="17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jc w:val="left"/>
              <w:rPr>
                <w:rFonts w:ascii="Calibri" w:eastAsia="Times New Roman" w:hAnsi="Calibri" w:cs="Calibri"/>
                <w:color w:val="000000"/>
                <w:lang w:eastAsia="fr-FR"/>
              </w:rPr>
            </w:pPr>
            <w:r w:rsidRPr="0039067A">
              <w:rPr>
                <w:rFonts w:ascii="Calibri" w:eastAsia="Times New Roman" w:hAnsi="Calibri" w:cs="Calibri"/>
                <w:color w:val="000000"/>
                <w:lang w:eastAsia="fr-FR"/>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067A" w:rsidRPr="0039067A" w:rsidRDefault="0039067A" w:rsidP="0039067A">
            <w:pPr>
              <w:spacing w:before="0" w:beforeAutospacing="0" w:after="0" w:afterAutospacing="0"/>
              <w:rPr>
                <w:rFonts w:ascii="Calibri" w:eastAsia="Times New Roman" w:hAnsi="Calibri" w:cs="Calibri"/>
                <w:color w:val="000000"/>
                <w:lang w:eastAsia="fr-FR"/>
              </w:rPr>
            </w:pPr>
            <w:r w:rsidRPr="0039067A">
              <w:rPr>
                <w:rFonts w:ascii="Calibri" w:eastAsia="Times New Roman" w:hAnsi="Calibri" w:cs="Calibri"/>
                <w:color w:val="000000"/>
                <w:lang w:eastAsia="fr-FR"/>
              </w:rPr>
              <w:t>capitaux propres PCN</w:t>
            </w:r>
          </w:p>
        </w:tc>
        <w:tc>
          <w:tcPr>
            <w:tcW w:w="1665" w:type="dxa"/>
            <w:tcBorders>
              <w:top w:val="single" w:sz="4" w:space="0" w:color="auto"/>
              <w:left w:val="nil"/>
              <w:bottom w:val="single" w:sz="4" w:space="0" w:color="auto"/>
              <w:right w:val="single" w:sz="4" w:space="0" w:color="auto"/>
            </w:tcBorders>
            <w:shd w:val="clear" w:color="auto" w:fill="auto"/>
            <w:vAlign w:val="center"/>
            <w:hideMark/>
          </w:tcPr>
          <w:p w:rsidR="0039067A" w:rsidRPr="0039067A" w:rsidRDefault="0039067A" w:rsidP="0039067A">
            <w:pPr>
              <w:spacing w:before="0" w:beforeAutospacing="0" w:after="0" w:afterAutospacing="0"/>
              <w:rPr>
                <w:rFonts w:ascii="Calibri" w:eastAsia="Times New Roman" w:hAnsi="Calibri" w:cs="Calibri"/>
                <w:color w:val="000000"/>
                <w:lang w:eastAsia="fr-FR"/>
              </w:rPr>
            </w:pPr>
            <w:r w:rsidRPr="0039067A">
              <w:rPr>
                <w:rFonts w:ascii="Calibri" w:eastAsia="Times New Roman" w:hAnsi="Calibri" w:cs="Calibri"/>
                <w:color w:val="000000"/>
                <w:lang w:eastAsia="fr-FR"/>
              </w:rPr>
              <w:t>capitaux propres SCF</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39067A" w:rsidRPr="0039067A" w:rsidRDefault="0039067A" w:rsidP="0039067A">
            <w:pPr>
              <w:spacing w:before="0" w:beforeAutospacing="0" w:after="0" w:afterAutospacing="0"/>
              <w:rPr>
                <w:rFonts w:ascii="Calibri" w:eastAsia="Times New Roman" w:hAnsi="Calibri" w:cs="Calibri"/>
                <w:color w:val="000000"/>
                <w:lang w:eastAsia="fr-FR"/>
              </w:rPr>
            </w:pPr>
            <w:r w:rsidRPr="0039067A">
              <w:rPr>
                <w:rFonts w:ascii="Calibri" w:eastAsia="Times New Roman" w:hAnsi="Calibri" w:cs="Calibri"/>
                <w:color w:val="000000"/>
                <w:lang w:eastAsia="fr-FR"/>
              </w:rPr>
              <w:t>VAR CP</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39067A" w:rsidRPr="0039067A" w:rsidRDefault="0039067A" w:rsidP="0039067A">
            <w:pPr>
              <w:spacing w:before="0" w:beforeAutospacing="0" w:after="0" w:afterAutospacing="0"/>
              <w:rPr>
                <w:rFonts w:ascii="Calibri" w:eastAsia="Times New Roman" w:hAnsi="Calibri" w:cs="Calibri"/>
                <w:color w:val="000000"/>
                <w:lang w:eastAsia="fr-FR"/>
              </w:rPr>
            </w:pPr>
            <w:r w:rsidRPr="0039067A">
              <w:rPr>
                <w:rFonts w:ascii="Calibri" w:eastAsia="Times New Roman" w:hAnsi="Calibri" w:cs="Calibri"/>
                <w:color w:val="000000"/>
                <w:lang w:eastAsia="fr-FR"/>
              </w:rPr>
              <w:t>VAR REL CP</w:t>
            </w:r>
          </w:p>
        </w:tc>
      </w:tr>
      <w:tr w:rsidR="0039067A" w:rsidRPr="0039067A" w:rsidTr="0039067A">
        <w:trPr>
          <w:trHeight w:val="300"/>
          <w:jc w:val="center"/>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jc w:val="left"/>
              <w:rPr>
                <w:rFonts w:ascii="TimesNewRoman" w:eastAsia="Times New Roman" w:hAnsi="TimesNewRoman" w:cs="Calibri"/>
                <w:color w:val="000000"/>
                <w:sz w:val="24"/>
                <w:szCs w:val="20"/>
                <w:lang w:eastAsia="fr-FR"/>
              </w:rPr>
            </w:pPr>
            <w:r w:rsidRPr="0039067A">
              <w:rPr>
                <w:rFonts w:ascii="TimesNewRoman" w:eastAsia="Times New Roman" w:hAnsi="TimesNewRoman" w:cs="Calibri"/>
                <w:color w:val="000000"/>
                <w:sz w:val="24"/>
                <w:szCs w:val="20"/>
                <w:lang w:eastAsia="fr-FR"/>
              </w:rPr>
              <w:t xml:space="preserve">Moyenne </w:t>
            </w:r>
          </w:p>
        </w:tc>
        <w:tc>
          <w:tcPr>
            <w:tcW w:w="1559" w:type="dxa"/>
            <w:tcBorders>
              <w:top w:val="nil"/>
              <w:left w:val="nil"/>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rPr>
                <w:rFonts w:ascii="Calibri" w:eastAsia="Times New Roman" w:hAnsi="Calibri" w:cs="Calibri"/>
                <w:color w:val="000000"/>
                <w:lang w:eastAsia="fr-FR"/>
              </w:rPr>
            </w:pPr>
            <w:r w:rsidRPr="0039067A">
              <w:rPr>
                <w:rFonts w:ascii="Calibri" w:eastAsia="Times New Roman" w:hAnsi="Calibri" w:cs="Calibri"/>
                <w:color w:val="000000"/>
                <w:lang w:eastAsia="fr-FR"/>
              </w:rPr>
              <w:t>26 812,28</w:t>
            </w:r>
          </w:p>
        </w:tc>
        <w:tc>
          <w:tcPr>
            <w:tcW w:w="1665" w:type="dxa"/>
            <w:tcBorders>
              <w:top w:val="nil"/>
              <w:left w:val="nil"/>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rPr>
                <w:rFonts w:ascii="Calibri" w:eastAsia="Times New Roman" w:hAnsi="Calibri" w:cs="Calibri"/>
                <w:color w:val="000000"/>
                <w:lang w:eastAsia="fr-FR"/>
              </w:rPr>
            </w:pPr>
            <w:r w:rsidRPr="0039067A">
              <w:rPr>
                <w:rFonts w:ascii="Calibri" w:eastAsia="Times New Roman" w:hAnsi="Calibri" w:cs="Calibri"/>
                <w:color w:val="000000"/>
                <w:lang w:eastAsia="fr-FR"/>
              </w:rPr>
              <w:t>17 682,72</w:t>
            </w:r>
          </w:p>
        </w:tc>
        <w:tc>
          <w:tcPr>
            <w:tcW w:w="1270" w:type="dxa"/>
            <w:tcBorders>
              <w:top w:val="nil"/>
              <w:left w:val="nil"/>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rPr>
                <w:rFonts w:ascii="Calibri" w:eastAsia="Times New Roman" w:hAnsi="Calibri" w:cs="Calibri"/>
                <w:color w:val="000000"/>
                <w:lang w:eastAsia="fr-FR"/>
              </w:rPr>
            </w:pPr>
            <w:r w:rsidRPr="0039067A">
              <w:rPr>
                <w:rFonts w:ascii="Calibri" w:eastAsia="Times New Roman" w:hAnsi="Calibri" w:cs="Calibri"/>
                <w:color w:val="000000"/>
                <w:lang w:eastAsia="fr-FR"/>
              </w:rPr>
              <w:t>-9 129,57</w:t>
            </w:r>
          </w:p>
        </w:tc>
        <w:tc>
          <w:tcPr>
            <w:tcW w:w="1176" w:type="dxa"/>
            <w:tcBorders>
              <w:top w:val="nil"/>
              <w:left w:val="nil"/>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rPr>
                <w:rFonts w:ascii="Calibri" w:eastAsia="Times New Roman" w:hAnsi="Calibri" w:cs="Calibri"/>
                <w:color w:val="000000"/>
                <w:lang w:eastAsia="fr-FR"/>
              </w:rPr>
            </w:pPr>
            <w:r w:rsidRPr="0039067A">
              <w:rPr>
                <w:rFonts w:ascii="Calibri" w:eastAsia="Times New Roman" w:hAnsi="Calibri" w:cs="Calibri"/>
                <w:color w:val="000000"/>
                <w:lang w:eastAsia="fr-FR"/>
              </w:rPr>
              <w:t>-16%</w:t>
            </w:r>
          </w:p>
        </w:tc>
      </w:tr>
      <w:tr w:rsidR="0039067A" w:rsidRPr="0039067A" w:rsidTr="0039067A">
        <w:trPr>
          <w:trHeight w:val="300"/>
          <w:jc w:val="center"/>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jc w:val="left"/>
              <w:rPr>
                <w:rFonts w:ascii="TimesNewRoman" w:eastAsia="Times New Roman" w:hAnsi="TimesNewRoman" w:cs="Calibri"/>
                <w:color w:val="000000"/>
                <w:sz w:val="24"/>
                <w:szCs w:val="20"/>
                <w:lang w:eastAsia="fr-FR"/>
              </w:rPr>
            </w:pPr>
            <w:r w:rsidRPr="0039067A">
              <w:rPr>
                <w:rFonts w:ascii="TimesNewRoman" w:eastAsia="Times New Roman" w:hAnsi="TimesNewRoman" w:cs="Calibri"/>
                <w:color w:val="000000"/>
                <w:sz w:val="24"/>
                <w:szCs w:val="20"/>
                <w:lang w:eastAsia="fr-FR"/>
              </w:rPr>
              <w:t xml:space="preserve">Médiane </w:t>
            </w:r>
          </w:p>
        </w:tc>
        <w:tc>
          <w:tcPr>
            <w:tcW w:w="1559" w:type="dxa"/>
            <w:tcBorders>
              <w:top w:val="nil"/>
              <w:left w:val="nil"/>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rPr>
                <w:rFonts w:ascii="Calibri" w:eastAsia="Times New Roman" w:hAnsi="Calibri" w:cs="Calibri"/>
                <w:color w:val="000000"/>
                <w:lang w:eastAsia="fr-FR"/>
              </w:rPr>
            </w:pPr>
            <w:r w:rsidRPr="0039067A">
              <w:rPr>
                <w:rFonts w:ascii="Calibri" w:eastAsia="Times New Roman" w:hAnsi="Calibri" w:cs="Calibri"/>
                <w:color w:val="000000"/>
                <w:lang w:eastAsia="fr-FR"/>
              </w:rPr>
              <w:t>1 914,03</w:t>
            </w:r>
          </w:p>
        </w:tc>
        <w:tc>
          <w:tcPr>
            <w:tcW w:w="1665" w:type="dxa"/>
            <w:tcBorders>
              <w:top w:val="nil"/>
              <w:left w:val="nil"/>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rPr>
                <w:rFonts w:ascii="Calibri" w:eastAsia="Times New Roman" w:hAnsi="Calibri" w:cs="Calibri"/>
                <w:color w:val="000000"/>
                <w:lang w:eastAsia="fr-FR"/>
              </w:rPr>
            </w:pPr>
            <w:r w:rsidRPr="0039067A">
              <w:rPr>
                <w:rFonts w:ascii="Calibri" w:eastAsia="Times New Roman" w:hAnsi="Calibri" w:cs="Calibri"/>
                <w:color w:val="000000"/>
                <w:lang w:eastAsia="fr-FR"/>
              </w:rPr>
              <w:t>1 486,50</w:t>
            </w:r>
          </w:p>
        </w:tc>
        <w:tc>
          <w:tcPr>
            <w:tcW w:w="1270" w:type="dxa"/>
            <w:tcBorders>
              <w:top w:val="nil"/>
              <w:left w:val="nil"/>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rPr>
                <w:rFonts w:ascii="Calibri" w:eastAsia="Times New Roman" w:hAnsi="Calibri" w:cs="Calibri"/>
                <w:color w:val="000000"/>
                <w:lang w:eastAsia="fr-FR"/>
              </w:rPr>
            </w:pPr>
            <w:r w:rsidRPr="0039067A">
              <w:rPr>
                <w:rFonts w:ascii="Calibri" w:eastAsia="Times New Roman" w:hAnsi="Calibri" w:cs="Calibri"/>
                <w:color w:val="000000"/>
                <w:lang w:eastAsia="fr-FR"/>
              </w:rPr>
              <w:t>-33,58</w:t>
            </w:r>
          </w:p>
        </w:tc>
        <w:tc>
          <w:tcPr>
            <w:tcW w:w="1176" w:type="dxa"/>
            <w:tcBorders>
              <w:top w:val="nil"/>
              <w:left w:val="nil"/>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rPr>
                <w:rFonts w:ascii="Calibri" w:eastAsia="Times New Roman" w:hAnsi="Calibri" w:cs="Calibri"/>
                <w:color w:val="000000"/>
                <w:lang w:eastAsia="fr-FR"/>
              </w:rPr>
            </w:pPr>
            <w:r w:rsidRPr="0039067A">
              <w:rPr>
                <w:rFonts w:ascii="Calibri" w:eastAsia="Times New Roman" w:hAnsi="Calibri" w:cs="Calibri"/>
                <w:color w:val="000000"/>
                <w:lang w:eastAsia="fr-FR"/>
              </w:rPr>
              <w:t>-1%</w:t>
            </w:r>
          </w:p>
        </w:tc>
      </w:tr>
      <w:tr w:rsidR="0039067A" w:rsidRPr="0039067A" w:rsidTr="0039067A">
        <w:trPr>
          <w:trHeight w:val="300"/>
          <w:jc w:val="center"/>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jc w:val="left"/>
              <w:rPr>
                <w:rFonts w:ascii="TimesNewRoman" w:eastAsia="Times New Roman" w:hAnsi="TimesNewRoman" w:cs="Calibri"/>
                <w:color w:val="000000"/>
                <w:sz w:val="24"/>
                <w:szCs w:val="20"/>
                <w:lang w:eastAsia="fr-FR"/>
              </w:rPr>
            </w:pPr>
            <w:r w:rsidRPr="0039067A">
              <w:rPr>
                <w:rFonts w:ascii="TimesNewRoman" w:eastAsia="Times New Roman" w:hAnsi="TimesNewRoman" w:cs="Calibri"/>
                <w:color w:val="000000"/>
                <w:sz w:val="24"/>
                <w:szCs w:val="20"/>
                <w:lang w:eastAsia="fr-FR"/>
              </w:rPr>
              <w:t xml:space="preserve">Ecart-type (n) </w:t>
            </w:r>
          </w:p>
        </w:tc>
        <w:tc>
          <w:tcPr>
            <w:tcW w:w="1559" w:type="dxa"/>
            <w:tcBorders>
              <w:top w:val="nil"/>
              <w:left w:val="nil"/>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rPr>
                <w:rFonts w:ascii="Calibri" w:eastAsia="Times New Roman" w:hAnsi="Calibri" w:cs="Calibri"/>
                <w:color w:val="000000"/>
                <w:lang w:eastAsia="fr-FR"/>
              </w:rPr>
            </w:pPr>
            <w:r w:rsidRPr="0039067A">
              <w:rPr>
                <w:rFonts w:ascii="Calibri" w:eastAsia="Times New Roman" w:hAnsi="Calibri" w:cs="Calibri"/>
                <w:color w:val="000000"/>
                <w:lang w:eastAsia="fr-FR"/>
              </w:rPr>
              <w:t>67 077,05</w:t>
            </w:r>
          </w:p>
        </w:tc>
        <w:tc>
          <w:tcPr>
            <w:tcW w:w="1665" w:type="dxa"/>
            <w:tcBorders>
              <w:top w:val="nil"/>
              <w:left w:val="nil"/>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rPr>
                <w:rFonts w:ascii="Calibri" w:eastAsia="Times New Roman" w:hAnsi="Calibri" w:cs="Calibri"/>
                <w:color w:val="000000"/>
                <w:lang w:eastAsia="fr-FR"/>
              </w:rPr>
            </w:pPr>
            <w:r w:rsidRPr="0039067A">
              <w:rPr>
                <w:rFonts w:ascii="Calibri" w:eastAsia="Times New Roman" w:hAnsi="Calibri" w:cs="Calibri"/>
                <w:color w:val="000000"/>
                <w:lang w:eastAsia="fr-FR"/>
              </w:rPr>
              <w:t>37 425,22</w:t>
            </w:r>
          </w:p>
        </w:tc>
        <w:tc>
          <w:tcPr>
            <w:tcW w:w="1270" w:type="dxa"/>
            <w:tcBorders>
              <w:top w:val="nil"/>
              <w:left w:val="nil"/>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rPr>
                <w:rFonts w:ascii="Calibri" w:eastAsia="Times New Roman" w:hAnsi="Calibri" w:cs="Calibri"/>
                <w:color w:val="000000"/>
                <w:lang w:eastAsia="fr-FR"/>
              </w:rPr>
            </w:pPr>
            <w:r w:rsidRPr="0039067A">
              <w:rPr>
                <w:rFonts w:ascii="Calibri" w:eastAsia="Times New Roman" w:hAnsi="Calibri" w:cs="Calibri"/>
                <w:color w:val="000000"/>
                <w:lang w:eastAsia="fr-FR"/>
              </w:rPr>
              <w:t>32 036,03</w:t>
            </w:r>
          </w:p>
        </w:tc>
        <w:tc>
          <w:tcPr>
            <w:tcW w:w="1176" w:type="dxa"/>
            <w:tcBorders>
              <w:top w:val="nil"/>
              <w:left w:val="nil"/>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rPr>
                <w:rFonts w:ascii="Calibri" w:eastAsia="Times New Roman" w:hAnsi="Calibri" w:cs="Calibri"/>
                <w:color w:val="000000"/>
                <w:lang w:eastAsia="fr-FR"/>
              </w:rPr>
            </w:pPr>
            <w:r w:rsidRPr="0039067A">
              <w:rPr>
                <w:rFonts w:ascii="Calibri" w:eastAsia="Times New Roman" w:hAnsi="Calibri" w:cs="Calibri"/>
                <w:color w:val="000000"/>
                <w:lang w:eastAsia="fr-FR"/>
              </w:rPr>
              <w:t>78%</w:t>
            </w:r>
          </w:p>
        </w:tc>
      </w:tr>
      <w:tr w:rsidR="0039067A" w:rsidRPr="0039067A" w:rsidTr="0039067A">
        <w:trPr>
          <w:trHeight w:val="300"/>
          <w:jc w:val="center"/>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jc w:val="left"/>
              <w:rPr>
                <w:rFonts w:ascii="TimesNewRoman" w:eastAsia="Times New Roman" w:hAnsi="TimesNewRoman" w:cs="Calibri"/>
                <w:color w:val="000000"/>
                <w:sz w:val="24"/>
                <w:szCs w:val="20"/>
                <w:lang w:eastAsia="fr-FR"/>
              </w:rPr>
            </w:pPr>
            <w:r w:rsidRPr="0039067A">
              <w:rPr>
                <w:rFonts w:ascii="TimesNewRoman" w:eastAsia="Times New Roman" w:hAnsi="TimesNewRoman" w:cs="Calibri"/>
                <w:color w:val="000000"/>
                <w:sz w:val="24"/>
                <w:szCs w:val="20"/>
                <w:lang w:eastAsia="fr-FR"/>
              </w:rPr>
              <w:t xml:space="preserve">Minimum </w:t>
            </w:r>
          </w:p>
        </w:tc>
        <w:tc>
          <w:tcPr>
            <w:tcW w:w="1559" w:type="dxa"/>
            <w:tcBorders>
              <w:top w:val="nil"/>
              <w:left w:val="nil"/>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rPr>
                <w:rFonts w:ascii="Calibri" w:eastAsia="Times New Roman" w:hAnsi="Calibri" w:cs="Calibri"/>
                <w:color w:val="000000"/>
                <w:lang w:eastAsia="fr-FR"/>
              </w:rPr>
            </w:pPr>
            <w:r w:rsidRPr="0039067A">
              <w:rPr>
                <w:rFonts w:ascii="Calibri" w:eastAsia="Times New Roman" w:hAnsi="Calibri" w:cs="Calibri"/>
                <w:color w:val="000000"/>
                <w:lang w:eastAsia="fr-FR"/>
              </w:rPr>
              <w:t>42,63</w:t>
            </w:r>
          </w:p>
        </w:tc>
        <w:tc>
          <w:tcPr>
            <w:tcW w:w="1665" w:type="dxa"/>
            <w:tcBorders>
              <w:top w:val="nil"/>
              <w:left w:val="nil"/>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rPr>
                <w:rFonts w:ascii="Calibri" w:eastAsia="Times New Roman" w:hAnsi="Calibri" w:cs="Calibri"/>
                <w:color w:val="000000"/>
                <w:lang w:eastAsia="fr-FR"/>
              </w:rPr>
            </w:pPr>
            <w:r w:rsidRPr="0039067A">
              <w:rPr>
                <w:rFonts w:ascii="Calibri" w:eastAsia="Times New Roman" w:hAnsi="Calibri" w:cs="Calibri"/>
                <w:color w:val="000000"/>
                <w:lang w:eastAsia="fr-FR"/>
              </w:rPr>
              <w:t>-244,81</w:t>
            </w:r>
          </w:p>
        </w:tc>
        <w:tc>
          <w:tcPr>
            <w:tcW w:w="1270" w:type="dxa"/>
            <w:tcBorders>
              <w:top w:val="nil"/>
              <w:left w:val="nil"/>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rPr>
                <w:rFonts w:ascii="Calibri" w:eastAsia="Times New Roman" w:hAnsi="Calibri" w:cs="Calibri"/>
                <w:color w:val="000000"/>
                <w:lang w:eastAsia="fr-FR"/>
              </w:rPr>
            </w:pPr>
            <w:r w:rsidRPr="0039067A">
              <w:rPr>
                <w:rFonts w:ascii="Calibri" w:eastAsia="Times New Roman" w:hAnsi="Calibri" w:cs="Calibri"/>
                <w:color w:val="000000"/>
                <w:lang w:eastAsia="fr-FR"/>
              </w:rPr>
              <w:t>-178 746,57</w:t>
            </w:r>
          </w:p>
        </w:tc>
        <w:tc>
          <w:tcPr>
            <w:tcW w:w="1176" w:type="dxa"/>
            <w:tcBorders>
              <w:top w:val="nil"/>
              <w:left w:val="nil"/>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rPr>
                <w:rFonts w:ascii="Calibri" w:eastAsia="Times New Roman" w:hAnsi="Calibri" w:cs="Calibri"/>
                <w:color w:val="000000"/>
                <w:lang w:eastAsia="fr-FR"/>
              </w:rPr>
            </w:pPr>
            <w:r w:rsidRPr="0039067A">
              <w:rPr>
                <w:rFonts w:ascii="Calibri" w:eastAsia="Times New Roman" w:hAnsi="Calibri" w:cs="Calibri"/>
                <w:color w:val="000000"/>
                <w:lang w:eastAsia="fr-FR"/>
              </w:rPr>
              <w:t>-380%</w:t>
            </w:r>
          </w:p>
        </w:tc>
      </w:tr>
      <w:tr w:rsidR="0039067A" w:rsidRPr="0039067A" w:rsidTr="0039067A">
        <w:trPr>
          <w:trHeight w:val="300"/>
          <w:jc w:val="center"/>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jc w:val="left"/>
              <w:rPr>
                <w:rFonts w:ascii="TimesNewRoman" w:eastAsia="Times New Roman" w:hAnsi="TimesNewRoman" w:cs="Calibri"/>
                <w:color w:val="000000"/>
                <w:sz w:val="24"/>
                <w:szCs w:val="20"/>
                <w:lang w:eastAsia="fr-FR"/>
              </w:rPr>
            </w:pPr>
            <w:r w:rsidRPr="0039067A">
              <w:rPr>
                <w:rFonts w:ascii="TimesNewRoman" w:eastAsia="Times New Roman" w:hAnsi="TimesNewRoman" w:cs="Calibri"/>
                <w:color w:val="000000"/>
                <w:sz w:val="24"/>
                <w:szCs w:val="20"/>
                <w:lang w:eastAsia="fr-FR"/>
              </w:rPr>
              <w:t xml:space="preserve">Maximum </w:t>
            </w:r>
          </w:p>
        </w:tc>
        <w:tc>
          <w:tcPr>
            <w:tcW w:w="1559" w:type="dxa"/>
            <w:tcBorders>
              <w:top w:val="nil"/>
              <w:left w:val="nil"/>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rPr>
                <w:rFonts w:ascii="Calibri" w:eastAsia="Times New Roman" w:hAnsi="Calibri" w:cs="Calibri"/>
                <w:color w:val="000000"/>
                <w:lang w:eastAsia="fr-FR"/>
              </w:rPr>
            </w:pPr>
            <w:r w:rsidRPr="0039067A">
              <w:rPr>
                <w:rFonts w:ascii="Calibri" w:eastAsia="Times New Roman" w:hAnsi="Calibri" w:cs="Calibri"/>
                <w:color w:val="000000"/>
                <w:lang w:eastAsia="fr-FR"/>
              </w:rPr>
              <w:t>374 345,82</w:t>
            </w:r>
          </w:p>
        </w:tc>
        <w:tc>
          <w:tcPr>
            <w:tcW w:w="1665" w:type="dxa"/>
            <w:tcBorders>
              <w:top w:val="nil"/>
              <w:left w:val="nil"/>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rPr>
                <w:rFonts w:ascii="Calibri" w:eastAsia="Times New Roman" w:hAnsi="Calibri" w:cs="Calibri"/>
                <w:color w:val="000000"/>
                <w:lang w:eastAsia="fr-FR"/>
              </w:rPr>
            </w:pPr>
            <w:r w:rsidRPr="0039067A">
              <w:rPr>
                <w:rFonts w:ascii="Calibri" w:eastAsia="Times New Roman" w:hAnsi="Calibri" w:cs="Calibri"/>
                <w:color w:val="000000"/>
                <w:lang w:eastAsia="fr-FR"/>
              </w:rPr>
              <w:t>195 599,25</w:t>
            </w:r>
          </w:p>
        </w:tc>
        <w:tc>
          <w:tcPr>
            <w:tcW w:w="1270" w:type="dxa"/>
            <w:tcBorders>
              <w:top w:val="nil"/>
              <w:left w:val="nil"/>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rPr>
                <w:rFonts w:ascii="Calibri" w:eastAsia="Times New Roman" w:hAnsi="Calibri" w:cs="Calibri"/>
                <w:color w:val="000000"/>
                <w:lang w:eastAsia="fr-FR"/>
              </w:rPr>
            </w:pPr>
            <w:r w:rsidRPr="0039067A">
              <w:rPr>
                <w:rFonts w:ascii="Calibri" w:eastAsia="Times New Roman" w:hAnsi="Calibri" w:cs="Calibri"/>
                <w:color w:val="000000"/>
                <w:lang w:eastAsia="fr-FR"/>
              </w:rPr>
              <w:t>1 627,41</w:t>
            </w:r>
          </w:p>
        </w:tc>
        <w:tc>
          <w:tcPr>
            <w:tcW w:w="1176" w:type="dxa"/>
            <w:tcBorders>
              <w:top w:val="nil"/>
              <w:left w:val="nil"/>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rPr>
                <w:rFonts w:ascii="Calibri" w:eastAsia="Times New Roman" w:hAnsi="Calibri" w:cs="Calibri"/>
                <w:color w:val="000000"/>
                <w:lang w:eastAsia="fr-FR"/>
              </w:rPr>
            </w:pPr>
            <w:r w:rsidRPr="0039067A">
              <w:rPr>
                <w:rFonts w:ascii="Calibri" w:eastAsia="Times New Roman" w:hAnsi="Calibri" w:cs="Calibri"/>
                <w:color w:val="000000"/>
                <w:lang w:eastAsia="fr-FR"/>
              </w:rPr>
              <w:t>62%</w:t>
            </w:r>
          </w:p>
        </w:tc>
      </w:tr>
      <w:tr w:rsidR="0039067A" w:rsidRPr="0039067A" w:rsidTr="0039067A">
        <w:trPr>
          <w:trHeight w:val="300"/>
          <w:jc w:val="center"/>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jc w:val="left"/>
              <w:rPr>
                <w:rFonts w:ascii="TimesNewRoman" w:eastAsia="Times New Roman" w:hAnsi="TimesNewRoman" w:cs="Calibri"/>
                <w:color w:val="000000"/>
                <w:sz w:val="24"/>
                <w:szCs w:val="20"/>
                <w:lang w:eastAsia="fr-FR"/>
              </w:rPr>
            </w:pPr>
            <w:r w:rsidRPr="0039067A">
              <w:rPr>
                <w:rFonts w:ascii="TimesNewRoman" w:eastAsia="Times New Roman" w:hAnsi="TimesNewRoman" w:cs="Calibri"/>
                <w:color w:val="000000"/>
                <w:sz w:val="24"/>
                <w:szCs w:val="20"/>
                <w:lang w:eastAsia="fr-FR"/>
              </w:rPr>
              <w:t xml:space="preserve">1er Quartile </w:t>
            </w:r>
          </w:p>
        </w:tc>
        <w:tc>
          <w:tcPr>
            <w:tcW w:w="1559" w:type="dxa"/>
            <w:tcBorders>
              <w:top w:val="nil"/>
              <w:left w:val="nil"/>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rPr>
                <w:rFonts w:ascii="Calibri" w:eastAsia="Times New Roman" w:hAnsi="Calibri" w:cs="Calibri"/>
                <w:color w:val="000000"/>
                <w:lang w:eastAsia="fr-FR"/>
              </w:rPr>
            </w:pPr>
            <w:r w:rsidRPr="0039067A">
              <w:rPr>
                <w:rFonts w:ascii="Calibri" w:eastAsia="Times New Roman" w:hAnsi="Calibri" w:cs="Calibri"/>
                <w:color w:val="000000"/>
                <w:lang w:eastAsia="fr-FR"/>
              </w:rPr>
              <w:t>399,68</w:t>
            </w:r>
          </w:p>
        </w:tc>
        <w:tc>
          <w:tcPr>
            <w:tcW w:w="1665" w:type="dxa"/>
            <w:tcBorders>
              <w:top w:val="nil"/>
              <w:left w:val="nil"/>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rPr>
                <w:rFonts w:ascii="Calibri" w:eastAsia="Times New Roman" w:hAnsi="Calibri" w:cs="Calibri"/>
                <w:color w:val="000000"/>
                <w:lang w:eastAsia="fr-FR"/>
              </w:rPr>
            </w:pPr>
            <w:r w:rsidRPr="0039067A">
              <w:rPr>
                <w:rFonts w:ascii="Calibri" w:eastAsia="Times New Roman" w:hAnsi="Calibri" w:cs="Calibri"/>
                <w:color w:val="000000"/>
                <w:lang w:eastAsia="fr-FR"/>
              </w:rPr>
              <w:t>563,41</w:t>
            </w:r>
          </w:p>
        </w:tc>
        <w:tc>
          <w:tcPr>
            <w:tcW w:w="1270" w:type="dxa"/>
            <w:tcBorders>
              <w:top w:val="nil"/>
              <w:left w:val="nil"/>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rPr>
                <w:rFonts w:ascii="Calibri" w:eastAsia="Times New Roman" w:hAnsi="Calibri" w:cs="Calibri"/>
                <w:color w:val="000000"/>
                <w:lang w:eastAsia="fr-FR"/>
              </w:rPr>
            </w:pPr>
            <w:r w:rsidRPr="0039067A">
              <w:rPr>
                <w:rFonts w:ascii="Calibri" w:eastAsia="Times New Roman" w:hAnsi="Calibri" w:cs="Calibri"/>
                <w:color w:val="000000"/>
                <w:lang w:eastAsia="fr-FR"/>
              </w:rPr>
              <w:t>-658,09</w:t>
            </w:r>
          </w:p>
        </w:tc>
        <w:tc>
          <w:tcPr>
            <w:tcW w:w="1176" w:type="dxa"/>
            <w:tcBorders>
              <w:top w:val="nil"/>
              <w:left w:val="nil"/>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rPr>
                <w:rFonts w:ascii="Calibri" w:eastAsia="Times New Roman" w:hAnsi="Calibri" w:cs="Calibri"/>
                <w:color w:val="000000"/>
                <w:lang w:eastAsia="fr-FR"/>
              </w:rPr>
            </w:pPr>
            <w:r w:rsidRPr="0039067A">
              <w:rPr>
                <w:rFonts w:ascii="Calibri" w:eastAsia="Times New Roman" w:hAnsi="Calibri" w:cs="Calibri"/>
                <w:color w:val="000000"/>
                <w:lang w:eastAsia="fr-FR"/>
              </w:rPr>
              <w:t>-33%</w:t>
            </w:r>
          </w:p>
        </w:tc>
      </w:tr>
      <w:tr w:rsidR="0039067A" w:rsidRPr="0039067A" w:rsidTr="0039067A">
        <w:trPr>
          <w:trHeight w:val="300"/>
          <w:jc w:val="center"/>
        </w:trPr>
        <w:tc>
          <w:tcPr>
            <w:tcW w:w="1787" w:type="dxa"/>
            <w:tcBorders>
              <w:top w:val="nil"/>
              <w:left w:val="single" w:sz="4" w:space="0" w:color="auto"/>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jc w:val="left"/>
              <w:rPr>
                <w:rFonts w:ascii="TimesNewRoman" w:eastAsia="Times New Roman" w:hAnsi="TimesNewRoman" w:cs="Calibri"/>
                <w:color w:val="000000"/>
                <w:sz w:val="24"/>
                <w:szCs w:val="20"/>
                <w:lang w:eastAsia="fr-FR"/>
              </w:rPr>
            </w:pPr>
            <w:r w:rsidRPr="0039067A">
              <w:rPr>
                <w:rFonts w:ascii="TimesNewRoman" w:eastAsia="Times New Roman" w:hAnsi="TimesNewRoman" w:cs="Calibri"/>
                <w:color w:val="000000"/>
                <w:sz w:val="24"/>
                <w:szCs w:val="20"/>
                <w:lang w:eastAsia="fr-FR"/>
              </w:rPr>
              <w:t>3ème Quartile</w:t>
            </w:r>
          </w:p>
        </w:tc>
        <w:tc>
          <w:tcPr>
            <w:tcW w:w="1559" w:type="dxa"/>
            <w:tcBorders>
              <w:top w:val="nil"/>
              <w:left w:val="nil"/>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rPr>
                <w:rFonts w:ascii="Calibri" w:eastAsia="Times New Roman" w:hAnsi="Calibri" w:cs="Calibri"/>
                <w:color w:val="000000"/>
                <w:lang w:eastAsia="fr-FR"/>
              </w:rPr>
            </w:pPr>
            <w:r w:rsidRPr="0039067A">
              <w:rPr>
                <w:rFonts w:ascii="Calibri" w:eastAsia="Times New Roman" w:hAnsi="Calibri" w:cs="Calibri"/>
                <w:color w:val="000000"/>
                <w:lang w:eastAsia="fr-FR"/>
              </w:rPr>
              <w:t>24 414,79</w:t>
            </w:r>
          </w:p>
        </w:tc>
        <w:tc>
          <w:tcPr>
            <w:tcW w:w="1665" w:type="dxa"/>
            <w:tcBorders>
              <w:top w:val="nil"/>
              <w:left w:val="nil"/>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rPr>
                <w:rFonts w:ascii="Calibri" w:eastAsia="Times New Roman" w:hAnsi="Calibri" w:cs="Calibri"/>
                <w:color w:val="000000"/>
                <w:lang w:eastAsia="fr-FR"/>
              </w:rPr>
            </w:pPr>
            <w:r w:rsidRPr="0039067A">
              <w:rPr>
                <w:rFonts w:ascii="Calibri" w:eastAsia="Times New Roman" w:hAnsi="Calibri" w:cs="Calibri"/>
                <w:color w:val="000000"/>
                <w:lang w:eastAsia="fr-FR"/>
              </w:rPr>
              <w:t>19 057,09</w:t>
            </w:r>
          </w:p>
        </w:tc>
        <w:tc>
          <w:tcPr>
            <w:tcW w:w="1270" w:type="dxa"/>
            <w:tcBorders>
              <w:top w:val="nil"/>
              <w:left w:val="nil"/>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rPr>
                <w:rFonts w:ascii="Calibri" w:eastAsia="Times New Roman" w:hAnsi="Calibri" w:cs="Calibri"/>
                <w:color w:val="000000"/>
                <w:lang w:eastAsia="fr-FR"/>
              </w:rPr>
            </w:pPr>
            <w:r w:rsidRPr="0039067A">
              <w:rPr>
                <w:rFonts w:ascii="Calibri" w:eastAsia="Times New Roman" w:hAnsi="Calibri" w:cs="Calibri"/>
                <w:color w:val="000000"/>
                <w:lang w:eastAsia="fr-FR"/>
              </w:rPr>
              <w:t>91,45</w:t>
            </w:r>
          </w:p>
        </w:tc>
        <w:tc>
          <w:tcPr>
            <w:tcW w:w="1176" w:type="dxa"/>
            <w:tcBorders>
              <w:top w:val="nil"/>
              <w:left w:val="nil"/>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rPr>
                <w:rFonts w:ascii="Calibri" w:eastAsia="Times New Roman" w:hAnsi="Calibri" w:cs="Calibri"/>
                <w:color w:val="000000"/>
                <w:lang w:eastAsia="fr-FR"/>
              </w:rPr>
            </w:pPr>
            <w:r w:rsidRPr="0039067A">
              <w:rPr>
                <w:rFonts w:ascii="Calibri" w:eastAsia="Times New Roman" w:hAnsi="Calibri" w:cs="Calibri"/>
                <w:color w:val="000000"/>
                <w:lang w:eastAsia="fr-FR"/>
              </w:rPr>
              <w:t>27%</w:t>
            </w:r>
          </w:p>
        </w:tc>
      </w:tr>
    </w:tbl>
    <w:p w:rsidR="0039067A" w:rsidRPr="0039067A" w:rsidRDefault="0039067A" w:rsidP="0039067A">
      <w:pPr>
        <w:spacing w:before="120" w:beforeAutospacing="0" w:after="60" w:afterAutospacing="0" w:line="276" w:lineRule="auto"/>
        <w:ind w:firstLine="357"/>
        <w:jc w:val="both"/>
        <w:rPr>
          <w:rFonts w:ascii="Times New Roman" w:eastAsia="Calibri" w:hAnsi="Times New Roman" w:cs="Times New Roman"/>
          <w:i/>
          <w:szCs w:val="24"/>
        </w:rPr>
      </w:pPr>
      <w:r w:rsidRPr="0039067A">
        <w:rPr>
          <w:rFonts w:ascii="Times New Roman" w:eastAsia="Calibri" w:hAnsi="Times New Roman" w:cs="Times New Roman"/>
          <w:i/>
          <w:szCs w:val="24"/>
        </w:rPr>
        <w:t>Sources : établis sur la base des données financières des sociétés de l’échantillon</w:t>
      </w:r>
    </w:p>
    <w:p w:rsidR="0039067A" w:rsidRPr="0039067A" w:rsidRDefault="0039067A" w:rsidP="0039067A">
      <w:pPr>
        <w:spacing w:before="0" w:beforeAutospacing="0" w:after="60" w:afterAutospacing="0" w:line="276" w:lineRule="auto"/>
        <w:ind w:firstLine="357"/>
        <w:jc w:val="both"/>
        <w:rPr>
          <w:rFonts w:ascii="Times New Roman" w:eastAsia="Calibri" w:hAnsi="Times New Roman" w:cs="Times New Roman"/>
          <w:sz w:val="24"/>
          <w:szCs w:val="24"/>
        </w:rPr>
      </w:pPr>
      <w:r w:rsidRPr="0039067A">
        <w:rPr>
          <w:rFonts w:ascii="Times New Roman" w:eastAsia="Calibri" w:hAnsi="Times New Roman" w:cs="Times New Roman"/>
          <w:sz w:val="24"/>
          <w:szCs w:val="24"/>
        </w:rPr>
        <w:t>D’après le tableau, il apparaît un impact moyen négatif de la transition sur les capitaux propres aussi bien en termes de montants absolus qu’en termes de variation relative, soit une diminution moyenne de - 9 129.6 Millions de dinars équivalente à        -16% des capitaux propres PCN.</w:t>
      </w:r>
      <w:r w:rsidRPr="0039067A">
        <w:rPr>
          <w:rFonts w:ascii="TimesNewRoman" w:eastAsia="Calibri" w:hAnsi="TimesNewRoman" w:cs="TimesNewRoman"/>
          <w:color w:val="0C74E6"/>
          <w:sz w:val="24"/>
          <w:szCs w:val="24"/>
        </w:rPr>
        <w:t xml:space="preserve"> </w:t>
      </w:r>
      <w:r w:rsidRPr="0039067A">
        <w:rPr>
          <w:rFonts w:ascii="Times New Roman" w:eastAsia="Calibri" w:hAnsi="Times New Roman" w:cs="Times New Roman"/>
          <w:sz w:val="24"/>
          <w:szCs w:val="24"/>
        </w:rPr>
        <w:t xml:space="preserve">Egalement, la médiane montre que 50% des sociétés ont eu un impact négatif inférieur ou égal à - 33.6 Millions de dinars. Par contre, l’impact relatif moyen estimé par la médiane est faible soit -1% des capitaux propres PCN. </w:t>
      </w:r>
    </w:p>
    <w:p w:rsidR="0039067A" w:rsidRPr="0039067A" w:rsidRDefault="0039067A" w:rsidP="0039067A">
      <w:pPr>
        <w:spacing w:before="0" w:beforeAutospacing="0" w:after="60" w:afterAutospacing="0" w:line="276" w:lineRule="auto"/>
        <w:ind w:firstLine="357"/>
        <w:jc w:val="both"/>
        <w:rPr>
          <w:rFonts w:ascii="Times New Roman" w:eastAsia="Calibri" w:hAnsi="Times New Roman" w:cs="Times New Roman"/>
          <w:sz w:val="24"/>
          <w:szCs w:val="24"/>
        </w:rPr>
      </w:pPr>
      <w:r w:rsidRPr="0039067A">
        <w:rPr>
          <w:rFonts w:ascii="Times New Roman" w:eastAsia="Calibri" w:hAnsi="Times New Roman" w:cs="Times New Roman"/>
          <w:sz w:val="24"/>
          <w:szCs w:val="24"/>
        </w:rPr>
        <w:t xml:space="preserve">En outre, les quartiles montrent que 25% des sociétés ont eu un impact relatif inférieur à - 33% des capitaux propres PCN contre 25% qui ont enregistré un impact relatif supérieur à 27%. Il est nécessaire de noter aussi la très forte dispersion de l’impact relatif : la valeur maximum est de 62% et la valeur minimum est de -380%, soit une division par plus de 6 des capitaux propres. La dispersion est en effet très forte puisque l’écart type est de 78%. </w:t>
      </w:r>
    </w:p>
    <w:p w:rsidR="0039067A" w:rsidRPr="0039067A" w:rsidRDefault="0039067A" w:rsidP="0039067A">
      <w:pPr>
        <w:spacing w:before="0" w:beforeAutospacing="0" w:after="60" w:afterAutospacing="0" w:line="276" w:lineRule="auto"/>
        <w:ind w:firstLine="360"/>
        <w:jc w:val="both"/>
        <w:rPr>
          <w:rFonts w:ascii="Times New Roman" w:eastAsia="Calibri" w:hAnsi="Times New Roman" w:cs="Times New Roman"/>
          <w:sz w:val="24"/>
          <w:szCs w:val="24"/>
        </w:rPr>
      </w:pPr>
      <w:r w:rsidRPr="0039067A">
        <w:rPr>
          <w:rFonts w:ascii="Times New Roman" w:eastAsia="Calibri" w:hAnsi="Times New Roman" w:cs="Times New Roman"/>
          <w:sz w:val="24"/>
          <w:szCs w:val="24"/>
        </w:rPr>
        <w:t>Le diagramme de la variation relative des capitaux propres est présenté comme suit :</w:t>
      </w:r>
    </w:p>
    <w:p w:rsidR="00550D4B" w:rsidRDefault="00550D4B" w:rsidP="0039067A">
      <w:pPr>
        <w:spacing w:before="0" w:beforeAutospacing="0" w:after="60" w:afterAutospacing="0" w:line="276" w:lineRule="auto"/>
        <w:ind w:firstLine="360"/>
        <w:rPr>
          <w:rFonts w:ascii="Times New Roman" w:eastAsia="Calibri" w:hAnsi="Times New Roman" w:cs="Times New Roman"/>
          <w:b/>
          <w:sz w:val="24"/>
          <w:szCs w:val="24"/>
        </w:rPr>
      </w:pPr>
    </w:p>
    <w:p w:rsidR="00550D4B" w:rsidRDefault="00550D4B" w:rsidP="0039067A">
      <w:pPr>
        <w:spacing w:before="0" w:beforeAutospacing="0" w:after="60" w:afterAutospacing="0" w:line="276" w:lineRule="auto"/>
        <w:ind w:firstLine="360"/>
        <w:rPr>
          <w:rFonts w:ascii="Times New Roman" w:eastAsia="Calibri" w:hAnsi="Times New Roman" w:cs="Times New Roman"/>
          <w:b/>
          <w:sz w:val="24"/>
          <w:szCs w:val="24"/>
        </w:rPr>
      </w:pPr>
    </w:p>
    <w:p w:rsidR="00550D4B" w:rsidRDefault="00550D4B" w:rsidP="0039067A">
      <w:pPr>
        <w:spacing w:before="0" w:beforeAutospacing="0" w:after="60" w:afterAutospacing="0" w:line="276" w:lineRule="auto"/>
        <w:ind w:firstLine="360"/>
        <w:rPr>
          <w:rFonts w:ascii="Times New Roman" w:eastAsia="Calibri" w:hAnsi="Times New Roman" w:cs="Times New Roman"/>
          <w:b/>
          <w:sz w:val="24"/>
          <w:szCs w:val="24"/>
        </w:rPr>
      </w:pPr>
    </w:p>
    <w:p w:rsidR="00550D4B" w:rsidRDefault="00550D4B" w:rsidP="0039067A">
      <w:pPr>
        <w:spacing w:before="0" w:beforeAutospacing="0" w:after="60" w:afterAutospacing="0" w:line="276" w:lineRule="auto"/>
        <w:ind w:firstLine="360"/>
        <w:rPr>
          <w:rFonts w:ascii="Times New Roman" w:eastAsia="Calibri" w:hAnsi="Times New Roman" w:cs="Times New Roman"/>
          <w:b/>
          <w:sz w:val="24"/>
          <w:szCs w:val="24"/>
        </w:rPr>
      </w:pPr>
    </w:p>
    <w:p w:rsidR="0039067A" w:rsidRPr="0039067A" w:rsidRDefault="0039067A" w:rsidP="0039067A">
      <w:pPr>
        <w:spacing w:before="0" w:beforeAutospacing="0" w:after="60" w:afterAutospacing="0" w:line="276" w:lineRule="auto"/>
        <w:ind w:firstLine="360"/>
        <w:rPr>
          <w:rFonts w:ascii="Times New Roman" w:eastAsia="Calibri" w:hAnsi="Times New Roman" w:cs="Times New Roman"/>
          <w:b/>
          <w:sz w:val="24"/>
          <w:szCs w:val="24"/>
        </w:rPr>
      </w:pPr>
      <w:r w:rsidRPr="0039067A">
        <w:rPr>
          <w:rFonts w:ascii="Times New Roman" w:eastAsia="Calibri" w:hAnsi="Times New Roman" w:cs="Times New Roman"/>
          <w:b/>
          <w:sz w:val="24"/>
          <w:szCs w:val="24"/>
        </w:rPr>
        <w:lastRenderedPageBreak/>
        <w:t>Diagramme (1) : Variation relative des capitaux propres</w:t>
      </w:r>
    </w:p>
    <w:p w:rsidR="0039067A" w:rsidRPr="0039067A" w:rsidRDefault="0039067A" w:rsidP="0039067A">
      <w:pPr>
        <w:spacing w:before="120" w:beforeAutospacing="0" w:after="120" w:afterAutospacing="0" w:line="276" w:lineRule="auto"/>
        <w:ind w:firstLine="360"/>
        <w:rPr>
          <w:rFonts w:ascii="Times New Roman" w:eastAsia="Calibri" w:hAnsi="Times New Roman" w:cs="Times New Roman"/>
          <w:sz w:val="24"/>
          <w:szCs w:val="24"/>
        </w:rPr>
      </w:pPr>
      <w:r w:rsidRPr="0039067A">
        <w:rPr>
          <w:rFonts w:ascii="Times New Roman" w:eastAsia="Calibri" w:hAnsi="Times New Roman" w:cs="Times New Roman"/>
          <w:noProof/>
          <w:sz w:val="24"/>
          <w:szCs w:val="24"/>
          <w:lang w:eastAsia="fr-FR"/>
        </w:rPr>
        <w:drawing>
          <wp:inline distT="0" distB="0" distL="0" distR="0" wp14:anchorId="00692DCC" wp14:editId="5E0E9930">
            <wp:extent cx="4048125" cy="1838325"/>
            <wp:effectExtent l="19050" t="0" r="9525" b="0"/>
            <wp:docPr id="4"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39067A" w:rsidRPr="0039067A" w:rsidRDefault="0039067A" w:rsidP="0039067A">
      <w:pPr>
        <w:spacing w:before="120" w:beforeAutospacing="0" w:after="60" w:afterAutospacing="0" w:line="276" w:lineRule="auto"/>
        <w:ind w:firstLine="357"/>
        <w:jc w:val="both"/>
        <w:rPr>
          <w:rFonts w:ascii="Times New Roman" w:eastAsia="Calibri" w:hAnsi="Times New Roman" w:cs="Times New Roman"/>
          <w:i/>
          <w:szCs w:val="24"/>
        </w:rPr>
      </w:pPr>
      <w:r w:rsidRPr="0039067A">
        <w:rPr>
          <w:rFonts w:ascii="Times New Roman" w:eastAsia="Calibri" w:hAnsi="Times New Roman" w:cs="Times New Roman"/>
          <w:i/>
          <w:szCs w:val="24"/>
        </w:rPr>
        <w:t>Sources : établis sur la base des données financières des sociétés de l’échantillon</w:t>
      </w:r>
    </w:p>
    <w:p w:rsidR="0039067A" w:rsidRPr="0039067A" w:rsidRDefault="0039067A" w:rsidP="0039067A">
      <w:pPr>
        <w:spacing w:before="60" w:beforeAutospacing="0" w:after="0" w:afterAutospacing="0" w:line="276" w:lineRule="auto"/>
        <w:ind w:firstLine="357"/>
        <w:jc w:val="both"/>
        <w:rPr>
          <w:rFonts w:ascii="Times New Roman" w:eastAsia="Calibri" w:hAnsi="Times New Roman" w:cs="Times New Roman"/>
          <w:sz w:val="24"/>
          <w:szCs w:val="24"/>
        </w:rPr>
      </w:pPr>
      <w:r w:rsidRPr="0039067A">
        <w:rPr>
          <w:rFonts w:ascii="Times New Roman" w:eastAsia="Calibri" w:hAnsi="Times New Roman" w:cs="Times New Roman"/>
          <w:sz w:val="24"/>
          <w:szCs w:val="24"/>
        </w:rPr>
        <w:t xml:space="preserve">Les résultats du test de </w:t>
      </w:r>
      <w:proofErr w:type="spellStart"/>
      <w:r w:rsidRPr="0039067A">
        <w:rPr>
          <w:rFonts w:ascii="Times New Roman" w:eastAsia="Calibri" w:hAnsi="Times New Roman" w:cs="Times New Roman"/>
          <w:sz w:val="24"/>
          <w:szCs w:val="24"/>
        </w:rPr>
        <w:t>Wilcoxon</w:t>
      </w:r>
      <w:proofErr w:type="spellEnd"/>
      <w:r w:rsidRPr="0039067A">
        <w:rPr>
          <w:rFonts w:ascii="Times New Roman" w:eastAsia="Calibri" w:hAnsi="Times New Roman" w:cs="Times New Roman"/>
          <w:sz w:val="24"/>
          <w:szCs w:val="24"/>
        </w:rPr>
        <w:t xml:space="preserve"> montrent que 19 sociétés sur 33 font état d’un impact négatif et 14 d’un impact positif (voir le tableau ci-après). Ceci nous amène à constater un impact globalement défavorable en termes de valorisation des capitaux propres. Afin, de confirmer ce constat, l’hypothèse suivante était testée (test unilatéral à </w:t>
      </w:r>
      <w:proofErr w:type="gramStart"/>
      <w:r w:rsidRPr="0039067A">
        <w:rPr>
          <w:rFonts w:ascii="Times New Roman" w:eastAsia="Calibri" w:hAnsi="Times New Roman" w:cs="Times New Roman"/>
          <w:sz w:val="24"/>
          <w:szCs w:val="24"/>
        </w:rPr>
        <w:t>gauche</w:t>
      </w:r>
      <w:proofErr w:type="gramEnd"/>
      <w:r w:rsidRPr="0039067A">
        <w:rPr>
          <w:rFonts w:ascii="Times New Roman" w:eastAsia="Calibri" w:hAnsi="Times New Roman" w:cs="Times New Roman"/>
          <w:sz w:val="24"/>
          <w:szCs w:val="24"/>
        </w:rPr>
        <w:t xml:space="preserve">) : </w:t>
      </w:r>
    </w:p>
    <w:p w:rsidR="0039067A" w:rsidRPr="0039067A" w:rsidRDefault="0039067A" w:rsidP="0039067A">
      <w:pPr>
        <w:spacing w:before="60" w:beforeAutospacing="0" w:after="0" w:afterAutospacing="0" w:line="276" w:lineRule="auto"/>
        <w:jc w:val="both"/>
        <w:rPr>
          <w:rFonts w:ascii="Times New Roman" w:eastAsia="Calibri" w:hAnsi="Times New Roman" w:cs="Times New Roman"/>
          <w:sz w:val="24"/>
          <w:szCs w:val="24"/>
        </w:rPr>
      </w:pPr>
      <w:r w:rsidRPr="0039067A">
        <w:rPr>
          <w:rFonts w:ascii="Times New Roman" w:eastAsia="Calibri" w:hAnsi="Times New Roman" w:cs="Times New Roman"/>
          <w:sz w:val="24"/>
          <w:szCs w:val="24"/>
        </w:rPr>
        <w:t>H</w:t>
      </w:r>
      <w:r w:rsidRPr="0039067A">
        <w:rPr>
          <w:rFonts w:ascii="Times New Roman" w:eastAsia="Calibri" w:hAnsi="Times New Roman" w:cs="Times New Roman"/>
          <w:sz w:val="16"/>
          <w:szCs w:val="24"/>
        </w:rPr>
        <w:t>1 </w:t>
      </w:r>
      <w:r w:rsidRPr="0039067A">
        <w:rPr>
          <w:rFonts w:ascii="Times New Roman" w:eastAsia="Calibri" w:hAnsi="Times New Roman" w:cs="Times New Roman"/>
          <w:sz w:val="24"/>
          <w:szCs w:val="24"/>
        </w:rPr>
        <w:t>: les valeurs des CP PCN sont en général supérieures à celles des CP SCF.</w:t>
      </w:r>
    </w:p>
    <w:p w:rsidR="0039067A" w:rsidRPr="0039067A" w:rsidRDefault="0039067A" w:rsidP="0039067A">
      <w:pPr>
        <w:spacing w:before="60" w:beforeAutospacing="0" w:after="0" w:afterAutospacing="0" w:line="276" w:lineRule="auto"/>
        <w:jc w:val="both"/>
        <w:rPr>
          <w:rFonts w:ascii="Times New Roman" w:eastAsia="Calibri" w:hAnsi="Times New Roman" w:cs="Times New Roman"/>
          <w:sz w:val="24"/>
          <w:szCs w:val="24"/>
        </w:rPr>
      </w:pPr>
      <w:r w:rsidRPr="0039067A">
        <w:rPr>
          <w:rFonts w:ascii="Times New Roman" w:eastAsia="Calibri" w:hAnsi="Times New Roman" w:cs="Times New Roman"/>
          <w:sz w:val="24"/>
          <w:szCs w:val="24"/>
        </w:rPr>
        <w:t>Contre H</w:t>
      </w:r>
      <w:r w:rsidRPr="0039067A">
        <w:rPr>
          <w:rFonts w:ascii="Times New Roman" w:eastAsia="Calibri" w:hAnsi="Times New Roman" w:cs="Times New Roman"/>
          <w:sz w:val="16"/>
          <w:szCs w:val="24"/>
        </w:rPr>
        <w:t>0 </w:t>
      </w:r>
      <w:r w:rsidRPr="0039067A">
        <w:rPr>
          <w:rFonts w:ascii="Times New Roman" w:eastAsia="Calibri" w:hAnsi="Times New Roman" w:cs="Times New Roman"/>
          <w:sz w:val="24"/>
          <w:szCs w:val="24"/>
        </w:rPr>
        <w:t>: les capitaux propres PCN sont identiques ou inférieurs aux capitaux propres SCF.</w:t>
      </w:r>
    </w:p>
    <w:p w:rsidR="0039067A" w:rsidRPr="0039067A" w:rsidRDefault="0039067A" w:rsidP="0039067A">
      <w:pPr>
        <w:spacing w:before="60" w:beforeAutospacing="0" w:after="0" w:afterAutospacing="0" w:line="276" w:lineRule="auto"/>
        <w:jc w:val="both"/>
        <w:rPr>
          <w:rFonts w:ascii="Times New Roman" w:eastAsia="Calibri" w:hAnsi="Times New Roman" w:cs="Times New Roman"/>
          <w:sz w:val="24"/>
          <w:szCs w:val="24"/>
        </w:rPr>
      </w:pPr>
      <w:r w:rsidRPr="0039067A">
        <w:rPr>
          <w:rFonts w:ascii="Times New Roman" w:eastAsia="Calibri" w:hAnsi="Times New Roman" w:cs="Times New Roman"/>
          <w:sz w:val="24"/>
          <w:szCs w:val="24"/>
        </w:rPr>
        <w:t xml:space="preserve">Les résultats de ce test sont présentés dans le tableau ci-après. </w:t>
      </w:r>
    </w:p>
    <w:p w:rsidR="0039067A" w:rsidRPr="0039067A" w:rsidRDefault="0039067A" w:rsidP="0039067A">
      <w:pPr>
        <w:tabs>
          <w:tab w:val="left" w:pos="4860"/>
        </w:tabs>
        <w:spacing w:before="60" w:beforeAutospacing="0" w:after="0" w:afterAutospacing="0" w:line="276" w:lineRule="auto"/>
        <w:ind w:firstLine="357"/>
        <w:rPr>
          <w:rFonts w:ascii="Times New Roman" w:eastAsia="Calibri" w:hAnsi="Times New Roman" w:cs="Times New Roman"/>
          <w:b/>
          <w:sz w:val="24"/>
          <w:szCs w:val="24"/>
        </w:rPr>
      </w:pPr>
      <w:r w:rsidRPr="0039067A">
        <w:rPr>
          <w:rFonts w:ascii="Times New Roman" w:eastAsia="Calibri" w:hAnsi="Times New Roman" w:cs="Times New Roman"/>
          <w:b/>
          <w:sz w:val="24"/>
          <w:szCs w:val="24"/>
        </w:rPr>
        <w:t xml:space="preserve">Tableau (6) : Résultats du test de </w:t>
      </w:r>
      <w:proofErr w:type="spellStart"/>
      <w:r w:rsidRPr="0039067A">
        <w:rPr>
          <w:rFonts w:ascii="Times New Roman" w:eastAsia="Calibri" w:hAnsi="Times New Roman" w:cs="Times New Roman"/>
          <w:b/>
          <w:sz w:val="24"/>
          <w:szCs w:val="24"/>
        </w:rPr>
        <w:t>Wilcoxon</w:t>
      </w:r>
      <w:proofErr w:type="spellEnd"/>
      <w:r w:rsidRPr="0039067A">
        <w:rPr>
          <w:rFonts w:ascii="Times New Roman" w:eastAsia="Calibri" w:hAnsi="Times New Roman" w:cs="Times New Roman"/>
          <w:b/>
          <w:sz w:val="24"/>
          <w:szCs w:val="24"/>
        </w:rPr>
        <w:t xml:space="preserve"> par rapport à la variation des CP</w:t>
      </w:r>
    </w:p>
    <w:tbl>
      <w:tblPr>
        <w:tblW w:w="7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1"/>
        <w:gridCol w:w="989"/>
        <w:gridCol w:w="996"/>
        <w:gridCol w:w="1419"/>
      </w:tblGrid>
      <w:tr w:rsidR="0039067A" w:rsidRPr="0039067A" w:rsidTr="0039067A">
        <w:trPr>
          <w:trHeight w:val="461"/>
          <w:jc w:val="center"/>
        </w:trPr>
        <w:tc>
          <w:tcPr>
            <w:tcW w:w="4261" w:type="dxa"/>
            <w:shd w:val="clear" w:color="auto" w:fill="auto"/>
            <w:vAlign w:val="center"/>
          </w:tcPr>
          <w:p w:rsidR="0039067A" w:rsidRPr="0039067A" w:rsidRDefault="0039067A" w:rsidP="0039067A">
            <w:pPr>
              <w:autoSpaceDE w:val="0"/>
              <w:autoSpaceDN w:val="0"/>
              <w:adjustRightInd w:val="0"/>
              <w:spacing w:before="0" w:beforeAutospacing="0" w:after="0" w:afterAutospacing="0"/>
              <w:rPr>
                <w:rFonts w:ascii="Times New Roman" w:eastAsia="Calibri" w:hAnsi="Times New Roman" w:cs="Times New Roman"/>
                <w:szCs w:val="20"/>
              </w:rPr>
            </w:pPr>
            <w:r w:rsidRPr="0039067A">
              <w:rPr>
                <w:rFonts w:ascii="Times New Roman" w:eastAsia="Calibri" w:hAnsi="Times New Roman" w:cs="Times New Roman"/>
                <w:szCs w:val="20"/>
              </w:rPr>
              <w:t>capitaux propres SCF - capitaux propres PCN</w:t>
            </w:r>
          </w:p>
        </w:tc>
        <w:tc>
          <w:tcPr>
            <w:tcW w:w="989" w:type="dxa"/>
            <w:shd w:val="clear" w:color="auto" w:fill="auto"/>
            <w:vAlign w:val="center"/>
          </w:tcPr>
          <w:p w:rsidR="0039067A" w:rsidRPr="0039067A" w:rsidRDefault="0039067A" w:rsidP="0039067A">
            <w:pPr>
              <w:autoSpaceDE w:val="0"/>
              <w:autoSpaceDN w:val="0"/>
              <w:adjustRightInd w:val="0"/>
              <w:spacing w:before="0" w:beforeAutospacing="0" w:after="0" w:afterAutospacing="0"/>
              <w:rPr>
                <w:rFonts w:ascii="Times New Roman" w:eastAsia="Calibri" w:hAnsi="Times New Roman" w:cs="Times New Roman"/>
                <w:szCs w:val="20"/>
                <w:lang w:val="en-US"/>
              </w:rPr>
            </w:pPr>
            <w:r w:rsidRPr="0039067A">
              <w:rPr>
                <w:rFonts w:ascii="Times New Roman" w:eastAsia="Calibri" w:hAnsi="Times New Roman" w:cs="Times New Roman"/>
                <w:szCs w:val="20"/>
                <w:lang w:val="en-US"/>
              </w:rPr>
              <w:t>N</w:t>
            </w:r>
          </w:p>
        </w:tc>
        <w:tc>
          <w:tcPr>
            <w:tcW w:w="996" w:type="dxa"/>
            <w:shd w:val="clear" w:color="auto" w:fill="auto"/>
            <w:vAlign w:val="center"/>
          </w:tcPr>
          <w:p w:rsidR="0039067A" w:rsidRPr="0039067A" w:rsidRDefault="0039067A" w:rsidP="0039067A">
            <w:pPr>
              <w:autoSpaceDE w:val="0"/>
              <w:autoSpaceDN w:val="0"/>
              <w:adjustRightInd w:val="0"/>
              <w:spacing w:before="0" w:beforeAutospacing="0" w:after="0" w:afterAutospacing="0"/>
              <w:rPr>
                <w:rFonts w:ascii="Times New Roman" w:eastAsia="Calibri" w:hAnsi="Times New Roman" w:cs="Times New Roman"/>
                <w:szCs w:val="20"/>
                <w:lang w:val="en-US"/>
              </w:rPr>
            </w:pPr>
            <w:r w:rsidRPr="0039067A">
              <w:rPr>
                <w:rFonts w:ascii="Times New Roman" w:eastAsia="Calibri" w:hAnsi="Times New Roman" w:cs="Times New Roman"/>
                <w:szCs w:val="20"/>
                <w:lang w:val="en-US"/>
              </w:rPr>
              <w:t xml:space="preserve">Rang </w:t>
            </w:r>
            <w:r w:rsidRPr="0039067A">
              <w:rPr>
                <w:rFonts w:ascii="Times New Roman" w:eastAsia="Calibri" w:hAnsi="Times New Roman" w:cs="Times New Roman"/>
                <w:szCs w:val="20"/>
              </w:rPr>
              <w:t>moyen</w:t>
            </w:r>
          </w:p>
        </w:tc>
        <w:tc>
          <w:tcPr>
            <w:tcW w:w="1419" w:type="dxa"/>
            <w:shd w:val="clear" w:color="auto" w:fill="auto"/>
            <w:vAlign w:val="center"/>
          </w:tcPr>
          <w:p w:rsidR="0039067A" w:rsidRPr="0039067A" w:rsidRDefault="0039067A" w:rsidP="0039067A">
            <w:pPr>
              <w:autoSpaceDE w:val="0"/>
              <w:autoSpaceDN w:val="0"/>
              <w:adjustRightInd w:val="0"/>
              <w:spacing w:before="0" w:beforeAutospacing="0" w:after="0" w:afterAutospacing="0"/>
              <w:rPr>
                <w:rFonts w:ascii="Times New Roman" w:eastAsia="Calibri" w:hAnsi="Times New Roman" w:cs="Times New Roman"/>
                <w:szCs w:val="20"/>
                <w:lang w:val="en-US"/>
              </w:rPr>
            </w:pPr>
            <w:r w:rsidRPr="0039067A">
              <w:rPr>
                <w:rFonts w:ascii="Times New Roman" w:eastAsia="Calibri" w:hAnsi="Times New Roman" w:cs="Times New Roman"/>
                <w:szCs w:val="20"/>
                <w:lang w:val="en-US"/>
              </w:rPr>
              <w:t xml:space="preserve">Somme des </w:t>
            </w:r>
            <w:r w:rsidRPr="0039067A">
              <w:rPr>
                <w:rFonts w:ascii="Times New Roman" w:eastAsia="Calibri" w:hAnsi="Times New Roman" w:cs="Times New Roman"/>
                <w:szCs w:val="20"/>
              </w:rPr>
              <w:t>rangs</w:t>
            </w:r>
          </w:p>
        </w:tc>
      </w:tr>
      <w:tr w:rsidR="0039067A" w:rsidRPr="0039067A" w:rsidTr="0039067A">
        <w:trPr>
          <w:jc w:val="center"/>
        </w:trPr>
        <w:tc>
          <w:tcPr>
            <w:tcW w:w="4261" w:type="dxa"/>
            <w:shd w:val="clear" w:color="auto" w:fill="auto"/>
            <w:vAlign w:val="center"/>
          </w:tcPr>
          <w:p w:rsidR="0039067A" w:rsidRPr="0039067A" w:rsidRDefault="0039067A" w:rsidP="0039067A">
            <w:pPr>
              <w:autoSpaceDE w:val="0"/>
              <w:autoSpaceDN w:val="0"/>
              <w:adjustRightInd w:val="0"/>
              <w:spacing w:before="0" w:beforeAutospacing="0" w:after="0" w:afterAutospacing="0"/>
              <w:jc w:val="both"/>
              <w:rPr>
                <w:rFonts w:ascii="Times New Roman" w:eastAsia="Calibri" w:hAnsi="Times New Roman" w:cs="Times New Roman"/>
                <w:sz w:val="24"/>
                <w:szCs w:val="20"/>
                <w:lang w:val="en-US"/>
              </w:rPr>
            </w:pPr>
            <w:r w:rsidRPr="0039067A">
              <w:rPr>
                <w:rFonts w:ascii="Times New Roman" w:eastAsia="Calibri" w:hAnsi="Times New Roman" w:cs="Times New Roman"/>
                <w:sz w:val="24"/>
                <w:szCs w:val="20"/>
              </w:rPr>
              <w:t>Rangs</w:t>
            </w:r>
            <w:r w:rsidRPr="0039067A">
              <w:rPr>
                <w:rFonts w:ascii="Times New Roman" w:eastAsia="Calibri" w:hAnsi="Times New Roman" w:cs="Times New Roman"/>
                <w:sz w:val="24"/>
                <w:szCs w:val="20"/>
                <w:lang w:val="en-US"/>
              </w:rPr>
              <w:t xml:space="preserve"> </w:t>
            </w:r>
            <w:r w:rsidRPr="0039067A">
              <w:rPr>
                <w:rFonts w:ascii="Times New Roman" w:eastAsia="Calibri" w:hAnsi="Times New Roman" w:cs="Times New Roman"/>
                <w:sz w:val="24"/>
                <w:szCs w:val="20"/>
              </w:rPr>
              <w:t>négatifs</w:t>
            </w:r>
          </w:p>
        </w:tc>
        <w:tc>
          <w:tcPr>
            <w:tcW w:w="989" w:type="dxa"/>
            <w:shd w:val="clear" w:color="auto" w:fill="auto"/>
            <w:vAlign w:val="center"/>
          </w:tcPr>
          <w:p w:rsidR="0039067A" w:rsidRPr="0039067A" w:rsidRDefault="0039067A" w:rsidP="0039067A">
            <w:pPr>
              <w:autoSpaceDE w:val="0"/>
              <w:autoSpaceDN w:val="0"/>
              <w:adjustRightInd w:val="0"/>
              <w:spacing w:before="0" w:beforeAutospacing="0" w:after="0" w:afterAutospacing="0"/>
              <w:rPr>
                <w:rFonts w:ascii="Calibri" w:eastAsia="Calibri" w:hAnsi="Calibri" w:cs="Times New Roman"/>
                <w:szCs w:val="20"/>
                <w:lang w:val="en-US"/>
              </w:rPr>
            </w:pPr>
            <w:r w:rsidRPr="0039067A">
              <w:rPr>
                <w:rFonts w:ascii="Calibri" w:eastAsia="Calibri" w:hAnsi="Calibri" w:cs="Times New Roman"/>
                <w:szCs w:val="20"/>
                <w:lang w:val="en-US"/>
              </w:rPr>
              <w:t>19 a</w:t>
            </w:r>
          </w:p>
        </w:tc>
        <w:tc>
          <w:tcPr>
            <w:tcW w:w="996" w:type="dxa"/>
            <w:shd w:val="clear" w:color="auto" w:fill="auto"/>
            <w:vAlign w:val="center"/>
          </w:tcPr>
          <w:p w:rsidR="0039067A" w:rsidRPr="0039067A" w:rsidRDefault="0039067A" w:rsidP="0039067A">
            <w:pPr>
              <w:autoSpaceDE w:val="0"/>
              <w:autoSpaceDN w:val="0"/>
              <w:adjustRightInd w:val="0"/>
              <w:spacing w:before="0" w:beforeAutospacing="0" w:after="0" w:afterAutospacing="0"/>
              <w:rPr>
                <w:rFonts w:ascii="Calibri" w:eastAsia="Calibri" w:hAnsi="Calibri" w:cs="Times New Roman"/>
                <w:szCs w:val="20"/>
                <w:lang w:val="en-US"/>
              </w:rPr>
            </w:pPr>
            <w:r w:rsidRPr="0039067A">
              <w:rPr>
                <w:rFonts w:ascii="Calibri" w:eastAsia="Calibri" w:hAnsi="Calibri" w:cs="Times New Roman"/>
                <w:szCs w:val="20"/>
                <w:lang w:val="en-US"/>
              </w:rPr>
              <w:t>19,68</w:t>
            </w:r>
          </w:p>
        </w:tc>
        <w:tc>
          <w:tcPr>
            <w:tcW w:w="1419" w:type="dxa"/>
            <w:shd w:val="clear" w:color="auto" w:fill="auto"/>
            <w:vAlign w:val="center"/>
          </w:tcPr>
          <w:p w:rsidR="0039067A" w:rsidRPr="0039067A" w:rsidRDefault="0039067A" w:rsidP="0039067A">
            <w:pPr>
              <w:autoSpaceDE w:val="0"/>
              <w:autoSpaceDN w:val="0"/>
              <w:adjustRightInd w:val="0"/>
              <w:spacing w:before="0" w:beforeAutospacing="0" w:after="0" w:afterAutospacing="0"/>
              <w:rPr>
                <w:rFonts w:ascii="Calibri" w:eastAsia="Calibri" w:hAnsi="Calibri" w:cs="Times New Roman"/>
                <w:szCs w:val="20"/>
                <w:lang w:val="en-US"/>
              </w:rPr>
            </w:pPr>
            <w:r w:rsidRPr="0039067A">
              <w:rPr>
                <w:rFonts w:ascii="Calibri" w:eastAsia="Calibri" w:hAnsi="Calibri" w:cs="Times New Roman"/>
                <w:szCs w:val="20"/>
                <w:lang w:val="en-US"/>
              </w:rPr>
              <w:t>374,00</w:t>
            </w:r>
          </w:p>
        </w:tc>
      </w:tr>
      <w:tr w:rsidR="0039067A" w:rsidRPr="0039067A" w:rsidTr="0039067A">
        <w:trPr>
          <w:jc w:val="center"/>
        </w:trPr>
        <w:tc>
          <w:tcPr>
            <w:tcW w:w="4261" w:type="dxa"/>
            <w:shd w:val="clear" w:color="auto" w:fill="auto"/>
            <w:vAlign w:val="center"/>
          </w:tcPr>
          <w:p w:rsidR="0039067A" w:rsidRPr="0039067A" w:rsidRDefault="0039067A" w:rsidP="0039067A">
            <w:pPr>
              <w:autoSpaceDE w:val="0"/>
              <w:autoSpaceDN w:val="0"/>
              <w:adjustRightInd w:val="0"/>
              <w:spacing w:before="0" w:beforeAutospacing="0" w:after="0" w:afterAutospacing="0"/>
              <w:jc w:val="both"/>
              <w:rPr>
                <w:rFonts w:ascii="Times New Roman" w:eastAsia="Calibri" w:hAnsi="Times New Roman" w:cs="Times New Roman"/>
                <w:sz w:val="24"/>
                <w:szCs w:val="20"/>
                <w:lang w:val="en-US"/>
              </w:rPr>
            </w:pPr>
            <w:r w:rsidRPr="0039067A">
              <w:rPr>
                <w:rFonts w:ascii="Times New Roman" w:eastAsia="Calibri" w:hAnsi="Times New Roman" w:cs="Times New Roman"/>
                <w:sz w:val="24"/>
                <w:szCs w:val="20"/>
              </w:rPr>
              <w:t>Rangs positifs</w:t>
            </w:r>
          </w:p>
        </w:tc>
        <w:tc>
          <w:tcPr>
            <w:tcW w:w="989" w:type="dxa"/>
            <w:shd w:val="clear" w:color="auto" w:fill="auto"/>
            <w:vAlign w:val="center"/>
          </w:tcPr>
          <w:p w:rsidR="0039067A" w:rsidRPr="0039067A" w:rsidRDefault="0039067A" w:rsidP="0039067A">
            <w:pPr>
              <w:autoSpaceDE w:val="0"/>
              <w:autoSpaceDN w:val="0"/>
              <w:adjustRightInd w:val="0"/>
              <w:spacing w:before="0" w:beforeAutospacing="0" w:after="0" w:afterAutospacing="0"/>
              <w:rPr>
                <w:rFonts w:ascii="Calibri" w:eastAsia="Calibri" w:hAnsi="Calibri" w:cs="Times New Roman"/>
                <w:szCs w:val="20"/>
                <w:lang w:val="en-US"/>
              </w:rPr>
            </w:pPr>
            <w:r w:rsidRPr="0039067A">
              <w:rPr>
                <w:rFonts w:ascii="Calibri" w:eastAsia="Calibri" w:hAnsi="Calibri" w:cs="Times New Roman"/>
                <w:szCs w:val="20"/>
                <w:lang w:val="en-US"/>
              </w:rPr>
              <w:t>14 b</w:t>
            </w:r>
          </w:p>
        </w:tc>
        <w:tc>
          <w:tcPr>
            <w:tcW w:w="996" w:type="dxa"/>
            <w:shd w:val="clear" w:color="auto" w:fill="auto"/>
            <w:vAlign w:val="center"/>
          </w:tcPr>
          <w:p w:rsidR="0039067A" w:rsidRPr="0039067A" w:rsidRDefault="0039067A" w:rsidP="0039067A">
            <w:pPr>
              <w:autoSpaceDE w:val="0"/>
              <w:autoSpaceDN w:val="0"/>
              <w:adjustRightInd w:val="0"/>
              <w:spacing w:before="0" w:beforeAutospacing="0" w:after="0" w:afterAutospacing="0"/>
              <w:rPr>
                <w:rFonts w:ascii="Calibri" w:eastAsia="Calibri" w:hAnsi="Calibri" w:cs="Times New Roman"/>
                <w:szCs w:val="20"/>
                <w:lang w:val="en-US"/>
              </w:rPr>
            </w:pPr>
            <w:r w:rsidRPr="0039067A">
              <w:rPr>
                <w:rFonts w:ascii="Calibri" w:eastAsia="Calibri" w:hAnsi="Calibri" w:cs="Times New Roman"/>
                <w:szCs w:val="20"/>
                <w:lang w:val="en-US"/>
              </w:rPr>
              <w:t>13,36</w:t>
            </w:r>
          </w:p>
        </w:tc>
        <w:tc>
          <w:tcPr>
            <w:tcW w:w="1419" w:type="dxa"/>
            <w:shd w:val="clear" w:color="auto" w:fill="auto"/>
            <w:vAlign w:val="center"/>
          </w:tcPr>
          <w:p w:rsidR="0039067A" w:rsidRPr="0039067A" w:rsidRDefault="0039067A" w:rsidP="0039067A">
            <w:pPr>
              <w:autoSpaceDE w:val="0"/>
              <w:autoSpaceDN w:val="0"/>
              <w:adjustRightInd w:val="0"/>
              <w:spacing w:before="0" w:beforeAutospacing="0" w:after="0" w:afterAutospacing="0"/>
              <w:rPr>
                <w:rFonts w:ascii="Calibri" w:eastAsia="Calibri" w:hAnsi="Calibri" w:cs="Times New Roman"/>
                <w:szCs w:val="20"/>
                <w:lang w:val="en-US"/>
              </w:rPr>
            </w:pPr>
            <w:r w:rsidRPr="0039067A">
              <w:rPr>
                <w:rFonts w:ascii="Calibri" w:eastAsia="Calibri" w:hAnsi="Calibri" w:cs="Times New Roman"/>
                <w:szCs w:val="20"/>
                <w:lang w:val="en-US"/>
              </w:rPr>
              <w:t>187,00</w:t>
            </w:r>
          </w:p>
        </w:tc>
      </w:tr>
      <w:tr w:rsidR="0039067A" w:rsidRPr="0039067A" w:rsidTr="0039067A">
        <w:trPr>
          <w:jc w:val="center"/>
        </w:trPr>
        <w:tc>
          <w:tcPr>
            <w:tcW w:w="4261" w:type="dxa"/>
            <w:tcBorders>
              <w:bottom w:val="single" w:sz="4" w:space="0" w:color="auto"/>
            </w:tcBorders>
            <w:shd w:val="clear" w:color="auto" w:fill="auto"/>
            <w:vAlign w:val="center"/>
          </w:tcPr>
          <w:p w:rsidR="0039067A" w:rsidRPr="0039067A" w:rsidRDefault="0039067A" w:rsidP="0039067A">
            <w:pPr>
              <w:autoSpaceDE w:val="0"/>
              <w:autoSpaceDN w:val="0"/>
              <w:adjustRightInd w:val="0"/>
              <w:spacing w:before="0" w:beforeAutospacing="0" w:after="0" w:afterAutospacing="0"/>
              <w:jc w:val="both"/>
              <w:rPr>
                <w:rFonts w:ascii="Times New Roman" w:eastAsia="Calibri" w:hAnsi="Times New Roman" w:cs="Times New Roman"/>
                <w:sz w:val="24"/>
                <w:szCs w:val="20"/>
                <w:lang w:val="en-US"/>
              </w:rPr>
            </w:pPr>
            <w:r w:rsidRPr="0039067A">
              <w:rPr>
                <w:rFonts w:ascii="Times New Roman" w:eastAsia="Calibri" w:hAnsi="Times New Roman" w:cs="Times New Roman"/>
                <w:sz w:val="24"/>
                <w:szCs w:val="20"/>
                <w:lang w:val="en-US"/>
              </w:rPr>
              <w:t xml:space="preserve">Ex </w:t>
            </w:r>
            <w:r w:rsidRPr="0039067A">
              <w:rPr>
                <w:rFonts w:ascii="Times New Roman" w:eastAsia="Calibri" w:hAnsi="Times New Roman" w:cs="Times New Roman"/>
                <w:sz w:val="24"/>
                <w:szCs w:val="20"/>
              </w:rPr>
              <w:t>aequo</w:t>
            </w:r>
          </w:p>
        </w:tc>
        <w:tc>
          <w:tcPr>
            <w:tcW w:w="989" w:type="dxa"/>
            <w:tcBorders>
              <w:bottom w:val="single" w:sz="4" w:space="0" w:color="auto"/>
            </w:tcBorders>
            <w:shd w:val="clear" w:color="auto" w:fill="auto"/>
            <w:vAlign w:val="center"/>
          </w:tcPr>
          <w:p w:rsidR="0039067A" w:rsidRPr="0039067A" w:rsidRDefault="0039067A" w:rsidP="0039067A">
            <w:pPr>
              <w:autoSpaceDE w:val="0"/>
              <w:autoSpaceDN w:val="0"/>
              <w:adjustRightInd w:val="0"/>
              <w:spacing w:before="0" w:beforeAutospacing="0" w:after="0" w:afterAutospacing="0"/>
              <w:rPr>
                <w:rFonts w:ascii="Calibri" w:eastAsia="Calibri" w:hAnsi="Calibri" w:cs="Times New Roman"/>
                <w:szCs w:val="20"/>
                <w:lang w:val="en-US"/>
              </w:rPr>
            </w:pPr>
            <w:r w:rsidRPr="0039067A">
              <w:rPr>
                <w:rFonts w:ascii="Calibri" w:eastAsia="Calibri" w:hAnsi="Calibri" w:cs="Times New Roman"/>
                <w:szCs w:val="20"/>
                <w:lang w:val="en-US"/>
              </w:rPr>
              <w:t>0 c</w:t>
            </w:r>
          </w:p>
        </w:tc>
        <w:tc>
          <w:tcPr>
            <w:tcW w:w="996" w:type="dxa"/>
            <w:shd w:val="clear" w:color="auto" w:fill="auto"/>
            <w:vAlign w:val="center"/>
          </w:tcPr>
          <w:p w:rsidR="0039067A" w:rsidRPr="0039067A" w:rsidRDefault="0039067A" w:rsidP="0039067A">
            <w:pPr>
              <w:autoSpaceDE w:val="0"/>
              <w:autoSpaceDN w:val="0"/>
              <w:adjustRightInd w:val="0"/>
              <w:spacing w:before="0" w:beforeAutospacing="0" w:after="0" w:afterAutospacing="0"/>
              <w:rPr>
                <w:rFonts w:ascii="Calibri" w:eastAsia="Calibri" w:hAnsi="Calibri" w:cs="Times New Roman"/>
                <w:szCs w:val="20"/>
                <w:lang w:val="en-US"/>
              </w:rPr>
            </w:pPr>
          </w:p>
        </w:tc>
        <w:tc>
          <w:tcPr>
            <w:tcW w:w="1419" w:type="dxa"/>
            <w:shd w:val="clear" w:color="auto" w:fill="auto"/>
            <w:vAlign w:val="center"/>
          </w:tcPr>
          <w:p w:rsidR="0039067A" w:rsidRPr="0039067A" w:rsidRDefault="0039067A" w:rsidP="0039067A">
            <w:pPr>
              <w:autoSpaceDE w:val="0"/>
              <w:autoSpaceDN w:val="0"/>
              <w:adjustRightInd w:val="0"/>
              <w:spacing w:before="0" w:beforeAutospacing="0" w:after="0" w:afterAutospacing="0"/>
              <w:rPr>
                <w:rFonts w:ascii="Calibri" w:eastAsia="Calibri" w:hAnsi="Calibri" w:cs="Times New Roman"/>
                <w:szCs w:val="20"/>
                <w:lang w:val="en-US"/>
              </w:rPr>
            </w:pPr>
          </w:p>
        </w:tc>
      </w:tr>
      <w:tr w:rsidR="0039067A" w:rsidRPr="0039067A" w:rsidTr="0039067A">
        <w:trPr>
          <w:jc w:val="center"/>
        </w:trPr>
        <w:tc>
          <w:tcPr>
            <w:tcW w:w="4261" w:type="dxa"/>
            <w:shd w:val="clear" w:color="auto" w:fill="auto"/>
            <w:vAlign w:val="center"/>
          </w:tcPr>
          <w:p w:rsidR="0039067A" w:rsidRPr="0039067A" w:rsidRDefault="0039067A" w:rsidP="0039067A">
            <w:pPr>
              <w:autoSpaceDE w:val="0"/>
              <w:autoSpaceDN w:val="0"/>
              <w:adjustRightInd w:val="0"/>
              <w:spacing w:before="0" w:beforeAutospacing="0" w:after="0" w:afterAutospacing="0"/>
              <w:ind w:left="708"/>
              <w:jc w:val="right"/>
              <w:rPr>
                <w:rFonts w:ascii="Times New Roman" w:eastAsia="Calibri" w:hAnsi="Times New Roman" w:cs="Times New Roman"/>
                <w:sz w:val="24"/>
                <w:szCs w:val="20"/>
                <w:lang w:val="en-US"/>
              </w:rPr>
            </w:pPr>
            <w:r w:rsidRPr="0039067A">
              <w:rPr>
                <w:rFonts w:ascii="Times New Roman" w:eastAsia="Calibri" w:hAnsi="Times New Roman" w:cs="Times New Roman"/>
                <w:sz w:val="24"/>
                <w:szCs w:val="20"/>
                <w:lang w:val="en-US"/>
              </w:rPr>
              <w:t>Total</w:t>
            </w:r>
          </w:p>
        </w:tc>
        <w:tc>
          <w:tcPr>
            <w:tcW w:w="989" w:type="dxa"/>
            <w:shd w:val="clear" w:color="auto" w:fill="auto"/>
            <w:vAlign w:val="center"/>
          </w:tcPr>
          <w:p w:rsidR="0039067A" w:rsidRPr="0039067A" w:rsidRDefault="0039067A" w:rsidP="0039067A">
            <w:pPr>
              <w:autoSpaceDE w:val="0"/>
              <w:autoSpaceDN w:val="0"/>
              <w:adjustRightInd w:val="0"/>
              <w:spacing w:before="0" w:beforeAutospacing="0" w:after="0" w:afterAutospacing="0"/>
              <w:rPr>
                <w:rFonts w:ascii="Calibri" w:eastAsia="Calibri" w:hAnsi="Calibri" w:cs="Times New Roman"/>
                <w:szCs w:val="20"/>
                <w:lang w:val="en-US"/>
              </w:rPr>
            </w:pPr>
            <w:r w:rsidRPr="0039067A">
              <w:rPr>
                <w:rFonts w:ascii="Calibri" w:eastAsia="Calibri" w:hAnsi="Calibri" w:cs="Times New Roman"/>
                <w:szCs w:val="20"/>
                <w:lang w:val="en-US"/>
              </w:rPr>
              <w:t>33</w:t>
            </w:r>
          </w:p>
        </w:tc>
        <w:tc>
          <w:tcPr>
            <w:tcW w:w="996" w:type="dxa"/>
            <w:shd w:val="clear" w:color="auto" w:fill="auto"/>
            <w:vAlign w:val="center"/>
          </w:tcPr>
          <w:p w:rsidR="0039067A" w:rsidRPr="0039067A" w:rsidRDefault="0039067A" w:rsidP="0039067A">
            <w:pPr>
              <w:autoSpaceDE w:val="0"/>
              <w:autoSpaceDN w:val="0"/>
              <w:adjustRightInd w:val="0"/>
              <w:spacing w:before="0" w:beforeAutospacing="0" w:after="0" w:afterAutospacing="0"/>
              <w:rPr>
                <w:rFonts w:ascii="Calibri" w:eastAsia="Calibri" w:hAnsi="Calibri" w:cs="Times New Roman"/>
                <w:szCs w:val="20"/>
                <w:lang w:val="en-US"/>
              </w:rPr>
            </w:pPr>
          </w:p>
        </w:tc>
        <w:tc>
          <w:tcPr>
            <w:tcW w:w="1419" w:type="dxa"/>
            <w:shd w:val="clear" w:color="auto" w:fill="auto"/>
            <w:vAlign w:val="center"/>
          </w:tcPr>
          <w:p w:rsidR="0039067A" w:rsidRPr="0039067A" w:rsidRDefault="0039067A" w:rsidP="0039067A">
            <w:pPr>
              <w:autoSpaceDE w:val="0"/>
              <w:autoSpaceDN w:val="0"/>
              <w:adjustRightInd w:val="0"/>
              <w:spacing w:before="0" w:beforeAutospacing="0" w:after="0" w:afterAutospacing="0"/>
              <w:rPr>
                <w:rFonts w:ascii="Calibri" w:eastAsia="Calibri" w:hAnsi="Calibri" w:cs="Times New Roman"/>
                <w:szCs w:val="20"/>
                <w:lang w:val="en-US"/>
              </w:rPr>
            </w:pPr>
          </w:p>
        </w:tc>
      </w:tr>
      <w:tr w:rsidR="0039067A" w:rsidRPr="0039067A" w:rsidTr="0039067A">
        <w:trPr>
          <w:trHeight w:val="173"/>
          <w:jc w:val="center"/>
        </w:trPr>
        <w:tc>
          <w:tcPr>
            <w:tcW w:w="4261" w:type="dxa"/>
            <w:shd w:val="clear" w:color="auto" w:fill="auto"/>
            <w:vAlign w:val="center"/>
          </w:tcPr>
          <w:p w:rsidR="0039067A" w:rsidRPr="0039067A" w:rsidRDefault="0039067A" w:rsidP="0039067A">
            <w:pPr>
              <w:autoSpaceDE w:val="0"/>
              <w:autoSpaceDN w:val="0"/>
              <w:adjustRightInd w:val="0"/>
              <w:spacing w:before="0" w:beforeAutospacing="0" w:after="0" w:afterAutospacing="0"/>
              <w:rPr>
                <w:rFonts w:ascii="Times New Roman" w:eastAsia="Calibri" w:hAnsi="Times New Roman" w:cs="Times New Roman"/>
                <w:sz w:val="24"/>
                <w:szCs w:val="20"/>
                <w:lang w:val="en-US"/>
              </w:rPr>
            </w:pPr>
            <w:r w:rsidRPr="0039067A">
              <w:rPr>
                <w:rFonts w:ascii="Times New Roman" w:eastAsia="Calibri" w:hAnsi="Times New Roman" w:cs="Times New Roman"/>
                <w:sz w:val="24"/>
                <w:szCs w:val="20"/>
                <w:lang w:val="en-US"/>
              </w:rPr>
              <w:t>Z</w:t>
            </w:r>
          </w:p>
        </w:tc>
        <w:tc>
          <w:tcPr>
            <w:tcW w:w="989" w:type="dxa"/>
            <w:shd w:val="clear" w:color="auto" w:fill="auto"/>
            <w:vAlign w:val="center"/>
          </w:tcPr>
          <w:p w:rsidR="0039067A" w:rsidRPr="0039067A" w:rsidRDefault="0039067A" w:rsidP="0039067A">
            <w:pPr>
              <w:autoSpaceDE w:val="0"/>
              <w:autoSpaceDN w:val="0"/>
              <w:adjustRightInd w:val="0"/>
              <w:spacing w:before="0" w:beforeAutospacing="0" w:after="0" w:afterAutospacing="0"/>
              <w:rPr>
                <w:rFonts w:ascii="Calibri" w:eastAsia="Calibri" w:hAnsi="Calibri" w:cs="Times New Roman"/>
                <w:szCs w:val="20"/>
                <w:lang w:val="en-US"/>
              </w:rPr>
            </w:pPr>
            <w:r w:rsidRPr="0039067A">
              <w:rPr>
                <w:rFonts w:ascii="Calibri" w:eastAsia="Calibri" w:hAnsi="Calibri" w:cs="Times New Roman"/>
                <w:szCs w:val="20"/>
                <w:lang w:val="en-US"/>
              </w:rPr>
              <w:t>-1,671 d</w:t>
            </w:r>
          </w:p>
        </w:tc>
        <w:tc>
          <w:tcPr>
            <w:tcW w:w="996" w:type="dxa"/>
            <w:shd w:val="clear" w:color="auto" w:fill="auto"/>
            <w:vAlign w:val="center"/>
          </w:tcPr>
          <w:p w:rsidR="0039067A" w:rsidRPr="0039067A" w:rsidRDefault="0039067A" w:rsidP="0039067A">
            <w:pPr>
              <w:autoSpaceDE w:val="0"/>
              <w:autoSpaceDN w:val="0"/>
              <w:adjustRightInd w:val="0"/>
              <w:spacing w:before="0" w:beforeAutospacing="0" w:after="0" w:afterAutospacing="0"/>
              <w:rPr>
                <w:rFonts w:ascii="Calibri" w:eastAsia="Calibri" w:hAnsi="Calibri" w:cs="Times New Roman"/>
                <w:szCs w:val="20"/>
                <w:lang w:val="en-US"/>
              </w:rPr>
            </w:pPr>
          </w:p>
        </w:tc>
        <w:tc>
          <w:tcPr>
            <w:tcW w:w="1419" w:type="dxa"/>
            <w:shd w:val="clear" w:color="auto" w:fill="auto"/>
            <w:vAlign w:val="center"/>
          </w:tcPr>
          <w:p w:rsidR="0039067A" w:rsidRPr="0039067A" w:rsidRDefault="0039067A" w:rsidP="0039067A">
            <w:pPr>
              <w:autoSpaceDE w:val="0"/>
              <w:autoSpaceDN w:val="0"/>
              <w:adjustRightInd w:val="0"/>
              <w:spacing w:before="0" w:beforeAutospacing="0" w:after="0" w:afterAutospacing="0"/>
              <w:rPr>
                <w:rFonts w:ascii="Calibri" w:eastAsia="Calibri" w:hAnsi="Calibri" w:cs="Times New Roman"/>
                <w:szCs w:val="20"/>
                <w:lang w:val="en-US"/>
              </w:rPr>
            </w:pPr>
          </w:p>
        </w:tc>
      </w:tr>
      <w:tr w:rsidR="0039067A" w:rsidRPr="0039067A" w:rsidTr="0039067A">
        <w:trPr>
          <w:jc w:val="center"/>
        </w:trPr>
        <w:tc>
          <w:tcPr>
            <w:tcW w:w="4261" w:type="dxa"/>
            <w:vAlign w:val="center"/>
          </w:tcPr>
          <w:p w:rsidR="0039067A" w:rsidRPr="0039067A" w:rsidRDefault="0039067A" w:rsidP="0039067A">
            <w:pPr>
              <w:autoSpaceDE w:val="0"/>
              <w:autoSpaceDN w:val="0"/>
              <w:adjustRightInd w:val="0"/>
              <w:spacing w:before="0" w:beforeAutospacing="0" w:after="0" w:afterAutospacing="0"/>
              <w:jc w:val="both"/>
              <w:rPr>
                <w:rFonts w:ascii="Times New Roman" w:eastAsia="Calibri" w:hAnsi="Times New Roman" w:cs="Times New Roman"/>
                <w:sz w:val="24"/>
                <w:szCs w:val="20"/>
                <w:lang w:val="en-US"/>
              </w:rPr>
            </w:pPr>
            <w:r w:rsidRPr="0039067A">
              <w:rPr>
                <w:rFonts w:ascii="Times New Roman" w:eastAsia="Calibri" w:hAnsi="Times New Roman" w:cs="Times New Roman"/>
                <w:sz w:val="24"/>
                <w:szCs w:val="20"/>
                <w:lang w:val="en-US"/>
              </w:rPr>
              <w:t xml:space="preserve">Signification </w:t>
            </w:r>
            <w:r w:rsidRPr="0039067A">
              <w:rPr>
                <w:rFonts w:ascii="Times New Roman" w:eastAsia="Calibri" w:hAnsi="Times New Roman" w:cs="Times New Roman"/>
                <w:sz w:val="24"/>
                <w:szCs w:val="20"/>
              </w:rPr>
              <w:t>asymptotique</w:t>
            </w:r>
            <w:r w:rsidRPr="0039067A">
              <w:rPr>
                <w:rFonts w:ascii="Times New Roman" w:eastAsia="Calibri" w:hAnsi="Times New Roman" w:cs="Times New Roman"/>
                <w:sz w:val="24"/>
                <w:szCs w:val="20"/>
                <w:lang w:val="en-US"/>
              </w:rPr>
              <w:t xml:space="preserve"> (</w:t>
            </w:r>
            <w:r w:rsidRPr="0039067A">
              <w:rPr>
                <w:rFonts w:ascii="Times New Roman" w:eastAsia="Calibri" w:hAnsi="Times New Roman" w:cs="Times New Roman"/>
                <w:sz w:val="24"/>
                <w:szCs w:val="20"/>
              </w:rPr>
              <w:t>bilatérale</w:t>
            </w:r>
            <w:r w:rsidRPr="0039067A">
              <w:rPr>
                <w:rFonts w:ascii="Times New Roman" w:eastAsia="Calibri" w:hAnsi="Times New Roman" w:cs="Times New Roman"/>
                <w:sz w:val="24"/>
                <w:szCs w:val="20"/>
                <w:lang w:val="en-US"/>
              </w:rPr>
              <w:t>)</w:t>
            </w:r>
          </w:p>
        </w:tc>
        <w:tc>
          <w:tcPr>
            <w:tcW w:w="989" w:type="dxa"/>
            <w:vAlign w:val="center"/>
          </w:tcPr>
          <w:p w:rsidR="0039067A" w:rsidRPr="0039067A" w:rsidRDefault="0039067A" w:rsidP="0039067A">
            <w:pPr>
              <w:autoSpaceDE w:val="0"/>
              <w:autoSpaceDN w:val="0"/>
              <w:adjustRightInd w:val="0"/>
              <w:spacing w:before="0" w:beforeAutospacing="0" w:after="0" w:afterAutospacing="0"/>
              <w:rPr>
                <w:rFonts w:ascii="Calibri" w:eastAsia="Calibri" w:hAnsi="Calibri" w:cs="Times New Roman"/>
                <w:szCs w:val="20"/>
                <w:lang w:val="en-US"/>
              </w:rPr>
            </w:pPr>
            <w:r w:rsidRPr="0039067A">
              <w:rPr>
                <w:rFonts w:ascii="Calibri" w:eastAsia="Calibri" w:hAnsi="Calibri" w:cs="Times New Roman"/>
                <w:szCs w:val="20"/>
                <w:lang w:val="en-US"/>
              </w:rPr>
              <w:t xml:space="preserve">0,095 </w:t>
            </w:r>
          </w:p>
        </w:tc>
        <w:tc>
          <w:tcPr>
            <w:tcW w:w="996" w:type="dxa"/>
            <w:vAlign w:val="center"/>
          </w:tcPr>
          <w:p w:rsidR="0039067A" w:rsidRPr="0039067A" w:rsidRDefault="0039067A" w:rsidP="0039067A">
            <w:pPr>
              <w:autoSpaceDE w:val="0"/>
              <w:autoSpaceDN w:val="0"/>
              <w:adjustRightInd w:val="0"/>
              <w:spacing w:before="0" w:beforeAutospacing="0" w:after="0" w:afterAutospacing="0"/>
              <w:rPr>
                <w:rFonts w:ascii="Calibri" w:eastAsia="Calibri" w:hAnsi="Calibri" w:cs="Times New Roman"/>
                <w:szCs w:val="20"/>
                <w:lang w:val="en-US"/>
              </w:rPr>
            </w:pPr>
          </w:p>
        </w:tc>
        <w:tc>
          <w:tcPr>
            <w:tcW w:w="1419" w:type="dxa"/>
            <w:vAlign w:val="center"/>
          </w:tcPr>
          <w:p w:rsidR="0039067A" w:rsidRPr="0039067A" w:rsidRDefault="0039067A" w:rsidP="0039067A">
            <w:pPr>
              <w:autoSpaceDE w:val="0"/>
              <w:autoSpaceDN w:val="0"/>
              <w:adjustRightInd w:val="0"/>
              <w:spacing w:before="0" w:beforeAutospacing="0" w:after="0" w:afterAutospacing="0"/>
              <w:rPr>
                <w:rFonts w:ascii="Calibri" w:eastAsia="Calibri" w:hAnsi="Calibri" w:cs="Times New Roman"/>
                <w:szCs w:val="20"/>
                <w:lang w:val="en-US"/>
              </w:rPr>
            </w:pPr>
          </w:p>
        </w:tc>
      </w:tr>
    </w:tbl>
    <w:p w:rsidR="0039067A" w:rsidRPr="0039067A" w:rsidRDefault="0039067A" w:rsidP="0039067A">
      <w:pPr>
        <w:autoSpaceDE w:val="0"/>
        <w:autoSpaceDN w:val="0"/>
        <w:adjustRightInd w:val="0"/>
        <w:spacing w:before="120" w:beforeAutospacing="0" w:after="0" w:afterAutospacing="0"/>
        <w:ind w:firstLine="708"/>
        <w:jc w:val="left"/>
        <w:rPr>
          <w:rFonts w:ascii="Times New Roman" w:eastAsia="Calibri" w:hAnsi="Times New Roman" w:cs="Times New Roman"/>
          <w:szCs w:val="20"/>
        </w:rPr>
      </w:pPr>
      <w:proofErr w:type="spellStart"/>
      <w:proofErr w:type="gramStart"/>
      <w:r w:rsidRPr="0039067A">
        <w:rPr>
          <w:rFonts w:ascii="Times New Roman" w:eastAsia="Calibri" w:hAnsi="Times New Roman" w:cs="Times New Roman"/>
          <w:b/>
          <w:szCs w:val="20"/>
        </w:rPr>
        <w:t>a</w:t>
      </w:r>
      <w:proofErr w:type="spellEnd"/>
      <w:proofErr w:type="gramEnd"/>
      <w:r w:rsidRPr="0039067A">
        <w:rPr>
          <w:rFonts w:ascii="Times New Roman" w:eastAsia="Calibri" w:hAnsi="Times New Roman" w:cs="Times New Roman"/>
          <w:szCs w:val="20"/>
        </w:rPr>
        <w:t xml:space="preserve">  capitaux propres SCF &lt; capitaux propres PCN</w:t>
      </w:r>
    </w:p>
    <w:p w:rsidR="0039067A" w:rsidRPr="0039067A" w:rsidRDefault="0039067A" w:rsidP="0039067A">
      <w:pPr>
        <w:autoSpaceDE w:val="0"/>
        <w:autoSpaceDN w:val="0"/>
        <w:adjustRightInd w:val="0"/>
        <w:spacing w:before="0" w:beforeAutospacing="0" w:after="0" w:afterAutospacing="0"/>
        <w:ind w:firstLine="708"/>
        <w:jc w:val="left"/>
        <w:rPr>
          <w:rFonts w:ascii="Times New Roman" w:eastAsia="Calibri" w:hAnsi="Times New Roman" w:cs="Times New Roman"/>
          <w:szCs w:val="20"/>
        </w:rPr>
      </w:pPr>
      <w:r w:rsidRPr="0039067A">
        <w:rPr>
          <w:rFonts w:ascii="Times New Roman" w:eastAsia="Calibri" w:hAnsi="Times New Roman" w:cs="Times New Roman"/>
          <w:b/>
          <w:szCs w:val="20"/>
        </w:rPr>
        <w:t>b</w:t>
      </w:r>
      <w:r w:rsidRPr="0039067A">
        <w:rPr>
          <w:rFonts w:ascii="Times New Roman" w:eastAsia="Calibri" w:hAnsi="Times New Roman" w:cs="Times New Roman"/>
          <w:szCs w:val="20"/>
        </w:rPr>
        <w:t xml:space="preserve">  capitaux propres SCF &gt; capitaux propres PCN</w:t>
      </w:r>
    </w:p>
    <w:p w:rsidR="0039067A" w:rsidRPr="0039067A" w:rsidRDefault="0039067A" w:rsidP="0039067A">
      <w:pPr>
        <w:autoSpaceDE w:val="0"/>
        <w:autoSpaceDN w:val="0"/>
        <w:adjustRightInd w:val="0"/>
        <w:spacing w:before="0" w:beforeAutospacing="0" w:after="0" w:afterAutospacing="0"/>
        <w:ind w:firstLine="708"/>
        <w:jc w:val="left"/>
        <w:rPr>
          <w:rFonts w:ascii="Times New Roman" w:eastAsia="Calibri" w:hAnsi="Times New Roman" w:cs="Times New Roman"/>
          <w:szCs w:val="20"/>
        </w:rPr>
      </w:pPr>
      <w:proofErr w:type="gramStart"/>
      <w:r w:rsidRPr="0039067A">
        <w:rPr>
          <w:rFonts w:ascii="Times New Roman" w:eastAsia="Calibri" w:hAnsi="Times New Roman" w:cs="Times New Roman"/>
          <w:b/>
          <w:szCs w:val="20"/>
        </w:rPr>
        <w:t>c</w:t>
      </w:r>
      <w:proofErr w:type="gramEnd"/>
      <w:r w:rsidRPr="0039067A">
        <w:rPr>
          <w:rFonts w:ascii="Times New Roman" w:eastAsia="Calibri" w:hAnsi="Times New Roman" w:cs="Times New Roman"/>
          <w:szCs w:val="20"/>
        </w:rPr>
        <w:t xml:space="preserve">  capitaux propres PCN = capitaux propres SCF</w:t>
      </w:r>
    </w:p>
    <w:p w:rsidR="0039067A" w:rsidRPr="0039067A" w:rsidRDefault="0039067A" w:rsidP="0039067A">
      <w:pPr>
        <w:autoSpaceDE w:val="0"/>
        <w:autoSpaceDN w:val="0"/>
        <w:adjustRightInd w:val="0"/>
        <w:spacing w:before="60" w:beforeAutospacing="0" w:after="0" w:afterAutospacing="0"/>
        <w:ind w:firstLine="708"/>
        <w:jc w:val="left"/>
        <w:rPr>
          <w:rFonts w:ascii="Times New Roman" w:eastAsia="Calibri" w:hAnsi="Times New Roman" w:cs="Times New Roman"/>
          <w:szCs w:val="20"/>
        </w:rPr>
      </w:pPr>
      <w:proofErr w:type="gramStart"/>
      <w:r w:rsidRPr="0039067A">
        <w:rPr>
          <w:rFonts w:ascii="Times New Roman" w:eastAsia="Calibri" w:hAnsi="Times New Roman" w:cs="Times New Roman"/>
          <w:b/>
          <w:szCs w:val="20"/>
        </w:rPr>
        <w:t>d</w:t>
      </w:r>
      <w:proofErr w:type="gramEnd"/>
      <w:r w:rsidRPr="0039067A">
        <w:rPr>
          <w:rFonts w:ascii="Times New Roman" w:eastAsia="Calibri" w:hAnsi="Times New Roman" w:cs="Times New Roman"/>
          <w:szCs w:val="20"/>
        </w:rPr>
        <w:t xml:space="preserve"> Basée sur les rangs positifs.</w:t>
      </w:r>
    </w:p>
    <w:p w:rsidR="0039067A" w:rsidRPr="0039067A" w:rsidRDefault="0039067A" w:rsidP="0039067A">
      <w:pPr>
        <w:spacing w:before="120" w:beforeAutospacing="0" w:after="60" w:afterAutospacing="0" w:line="276" w:lineRule="auto"/>
        <w:ind w:firstLine="357"/>
        <w:jc w:val="both"/>
        <w:rPr>
          <w:rFonts w:ascii="Times New Roman" w:eastAsia="Calibri" w:hAnsi="Times New Roman" w:cs="Times New Roman"/>
          <w:i/>
          <w:szCs w:val="24"/>
        </w:rPr>
      </w:pPr>
      <w:r w:rsidRPr="0039067A">
        <w:rPr>
          <w:rFonts w:ascii="Times New Roman" w:eastAsia="Calibri" w:hAnsi="Times New Roman" w:cs="Times New Roman"/>
          <w:i/>
          <w:szCs w:val="24"/>
        </w:rPr>
        <w:t>Sources : établis sur la base des données financières des sociétés de l’échantillon</w:t>
      </w:r>
    </w:p>
    <w:p w:rsidR="0039067A" w:rsidRPr="0039067A" w:rsidRDefault="0039067A" w:rsidP="0039067A">
      <w:pPr>
        <w:spacing w:before="60" w:beforeAutospacing="0" w:after="0" w:afterAutospacing="0" w:line="276" w:lineRule="auto"/>
        <w:jc w:val="both"/>
        <w:rPr>
          <w:rFonts w:ascii="Times New Roman" w:eastAsia="Calibri" w:hAnsi="Times New Roman" w:cs="Times New Roman"/>
          <w:sz w:val="24"/>
          <w:szCs w:val="24"/>
        </w:rPr>
      </w:pPr>
      <w:r w:rsidRPr="0039067A">
        <w:rPr>
          <w:rFonts w:ascii="Times New Roman" w:eastAsia="Calibri" w:hAnsi="Times New Roman" w:cs="Times New Roman"/>
          <w:sz w:val="24"/>
          <w:szCs w:val="24"/>
        </w:rPr>
        <w:t xml:space="preserve">Dans le cas </w:t>
      </w:r>
      <w:r w:rsidRPr="0039067A">
        <w:rPr>
          <w:rFonts w:ascii="Times New Roman" w:eastAsia="Calibri" w:hAnsi="Times New Roman" w:cs="Times New Roman"/>
          <w:bCs/>
          <w:sz w:val="24"/>
          <w:szCs w:val="24"/>
        </w:rPr>
        <w:t>unilatéral à gauche,</w:t>
      </w:r>
      <w:r w:rsidRPr="0039067A">
        <w:rPr>
          <w:rFonts w:ascii="Times New Roman" w:eastAsia="Calibri" w:hAnsi="Times New Roman" w:cs="Times New Roman"/>
          <w:sz w:val="24"/>
          <w:szCs w:val="24"/>
        </w:rPr>
        <w:t xml:space="preserve"> la valeur critique du test </w:t>
      </w:r>
      <w:r w:rsidRPr="0039067A">
        <w:rPr>
          <w:rFonts w:ascii="Times New Roman" w:eastAsia="Calibri" w:hAnsi="Times New Roman" w:cs="Times New Roman"/>
          <w:i/>
          <w:sz w:val="24"/>
          <w:szCs w:val="24"/>
        </w:rPr>
        <w:t xml:space="preserve">P value </w:t>
      </w:r>
      <w:r w:rsidRPr="0039067A">
        <w:rPr>
          <w:rFonts w:ascii="Times New Roman" w:eastAsia="Calibri" w:hAnsi="Times New Roman" w:cs="Times New Roman"/>
          <w:sz w:val="24"/>
          <w:szCs w:val="24"/>
        </w:rPr>
        <w:t xml:space="preserve"> est égale à : </w:t>
      </w:r>
    </w:p>
    <w:p w:rsidR="0039067A" w:rsidRPr="0039067A" w:rsidRDefault="0039067A" w:rsidP="0039067A">
      <w:pPr>
        <w:spacing w:before="60" w:beforeAutospacing="0" w:after="0" w:afterAutospacing="0" w:line="276" w:lineRule="auto"/>
        <w:rPr>
          <w:rFonts w:ascii="Times New Roman" w:eastAsia="Calibri" w:hAnsi="Times New Roman" w:cs="Times New Roman"/>
          <w:i/>
          <w:sz w:val="24"/>
          <w:szCs w:val="24"/>
        </w:rPr>
      </w:pPr>
      <w:r w:rsidRPr="0039067A">
        <w:rPr>
          <w:rFonts w:ascii="Times New Roman" w:eastAsia="Calibri" w:hAnsi="Times New Roman" w:cs="Times New Roman"/>
          <w:sz w:val="24"/>
          <w:szCs w:val="24"/>
        </w:rPr>
        <w:t>[1- (</w:t>
      </w:r>
      <w:r w:rsidRPr="0039067A">
        <w:rPr>
          <w:rFonts w:ascii="Times New Roman" w:eastAsia="Calibri" w:hAnsi="Times New Roman" w:cs="Times New Roman"/>
          <w:i/>
          <w:sz w:val="24"/>
          <w:szCs w:val="24"/>
        </w:rPr>
        <w:t>P value</w:t>
      </w:r>
      <w:r w:rsidRPr="0039067A">
        <w:rPr>
          <w:rFonts w:ascii="Times New Roman" w:eastAsia="Calibri" w:hAnsi="Times New Roman" w:cs="Times New Roman"/>
          <w:sz w:val="24"/>
          <w:szCs w:val="24"/>
        </w:rPr>
        <w:t xml:space="preserve"> du test </w:t>
      </w:r>
      <w:r w:rsidRPr="0039067A">
        <w:rPr>
          <w:rFonts w:ascii="Times New Roman" w:eastAsia="Calibri" w:hAnsi="Times New Roman" w:cs="Times New Roman"/>
          <w:sz w:val="24"/>
          <w:szCs w:val="20"/>
        </w:rPr>
        <w:t>bilatérale* ½)],</w:t>
      </w:r>
    </w:p>
    <w:p w:rsidR="0039067A" w:rsidRPr="0039067A" w:rsidRDefault="0039067A" w:rsidP="0039067A">
      <w:pPr>
        <w:spacing w:before="60" w:beforeAutospacing="0" w:after="0" w:afterAutospacing="0" w:line="276" w:lineRule="auto"/>
        <w:ind w:firstLine="360"/>
        <w:jc w:val="both"/>
        <w:rPr>
          <w:rFonts w:ascii="Times New Roman" w:eastAsia="Calibri" w:hAnsi="Times New Roman" w:cs="Times New Roman"/>
          <w:sz w:val="24"/>
          <w:szCs w:val="24"/>
        </w:rPr>
      </w:pPr>
      <w:r w:rsidRPr="0039067A">
        <w:rPr>
          <w:rFonts w:ascii="Times New Roman" w:eastAsia="Calibri" w:hAnsi="Times New Roman" w:cs="Times New Roman"/>
          <w:sz w:val="24"/>
          <w:szCs w:val="24"/>
        </w:rPr>
        <w:t>Suivant les résultats du tableau précédent,</w:t>
      </w:r>
      <w:r w:rsidRPr="0039067A">
        <w:rPr>
          <w:rFonts w:ascii="Times New Roman" w:eastAsia="Calibri" w:hAnsi="Times New Roman" w:cs="Times New Roman"/>
          <w:i/>
          <w:sz w:val="24"/>
          <w:szCs w:val="24"/>
        </w:rPr>
        <w:t xml:space="preserve"> P value =0.9525</w:t>
      </w:r>
      <w:r w:rsidRPr="0039067A">
        <w:rPr>
          <w:rFonts w:ascii="Times New Roman" w:eastAsia="Calibri" w:hAnsi="Times New Roman" w:cs="Times New Roman"/>
          <w:sz w:val="24"/>
          <w:szCs w:val="24"/>
        </w:rPr>
        <w:t xml:space="preserve"> = P (Z &lt; 1,671) (ou </w:t>
      </w:r>
      <w:proofErr w:type="gramStart"/>
      <w:r w:rsidRPr="0039067A">
        <w:rPr>
          <w:rFonts w:ascii="Times New Roman" w:eastAsia="Calibri" w:hAnsi="Times New Roman" w:cs="Times New Roman"/>
          <w:sz w:val="24"/>
          <w:szCs w:val="24"/>
        </w:rPr>
        <w:t>P(</w:t>
      </w:r>
      <w:proofErr w:type="gramEnd"/>
      <w:r w:rsidRPr="0039067A">
        <w:rPr>
          <w:rFonts w:ascii="Times New Roman" w:eastAsia="Calibri" w:hAnsi="Times New Roman" w:cs="Times New Roman"/>
          <w:sz w:val="24"/>
          <w:szCs w:val="24"/>
        </w:rPr>
        <w:t>Z&gt; -1,671)), donc l’hypothèse H</w:t>
      </w:r>
      <w:r w:rsidRPr="0039067A">
        <w:rPr>
          <w:rFonts w:ascii="Times New Roman" w:eastAsia="Calibri" w:hAnsi="Times New Roman" w:cs="Times New Roman"/>
          <w:sz w:val="16"/>
          <w:szCs w:val="24"/>
        </w:rPr>
        <w:t>1</w:t>
      </w:r>
      <w:r w:rsidRPr="0039067A">
        <w:rPr>
          <w:rFonts w:ascii="Times New Roman" w:eastAsia="Calibri" w:hAnsi="Times New Roman" w:cs="Times New Roman"/>
          <w:sz w:val="24"/>
          <w:szCs w:val="24"/>
        </w:rPr>
        <w:t xml:space="preserve"> est retenue. En effet, le rang moyen négatif est </w:t>
      </w:r>
      <w:r w:rsidRPr="0039067A">
        <w:rPr>
          <w:rFonts w:ascii="Times New Roman" w:eastAsia="Calibri" w:hAnsi="Times New Roman" w:cs="Times New Roman"/>
          <w:sz w:val="24"/>
          <w:szCs w:val="24"/>
        </w:rPr>
        <w:lastRenderedPageBreak/>
        <w:t>supérieur au rang moyen positif, qui correspond au c</w:t>
      </w:r>
      <w:r w:rsidRPr="0039067A">
        <w:rPr>
          <w:rFonts w:ascii="Times New Roman" w:eastAsia="Calibri" w:hAnsi="Times New Roman" w:cs="Times New Roman"/>
          <w:bCs/>
          <w:sz w:val="24"/>
          <w:szCs w:val="24"/>
        </w:rPr>
        <w:t>as unilatéral à gauche</w:t>
      </w:r>
      <w:r w:rsidRPr="0039067A">
        <w:rPr>
          <w:rFonts w:ascii="Times New Roman" w:eastAsia="Calibri" w:hAnsi="Times New Roman" w:cs="Times New Roman"/>
          <w:sz w:val="24"/>
          <w:szCs w:val="24"/>
        </w:rPr>
        <w:t xml:space="preserve">. Ce qui interprète un impact global défavorable de la transition sur les capitaux propres.  </w:t>
      </w:r>
    </w:p>
    <w:p w:rsidR="0039067A" w:rsidRPr="0039067A" w:rsidRDefault="0039067A" w:rsidP="0039067A">
      <w:pPr>
        <w:spacing w:before="60" w:beforeAutospacing="0" w:after="0" w:afterAutospacing="0" w:line="276" w:lineRule="auto"/>
        <w:ind w:firstLine="360"/>
        <w:jc w:val="both"/>
        <w:rPr>
          <w:rFonts w:ascii="Times New Roman" w:eastAsia="Calibri" w:hAnsi="Times New Roman" w:cs="Times New Roman"/>
          <w:sz w:val="24"/>
          <w:szCs w:val="24"/>
        </w:rPr>
      </w:pPr>
      <w:r w:rsidRPr="0039067A">
        <w:rPr>
          <w:rFonts w:ascii="Times New Roman" w:eastAsia="Calibri" w:hAnsi="Times New Roman" w:cs="Times New Roman"/>
          <w:sz w:val="24"/>
          <w:szCs w:val="24"/>
        </w:rPr>
        <w:t xml:space="preserve">   De ce fait, et afin d’analyser l’origine de cet impact global, une étude plus fine était menée et qui consistait à étudier l’impact de chacune des normes du SCF sur les capitaux propres des sociétés. Cette analyse était effectuée sur 11 sociétés de notre échantillon, dont les données étaient disponibles.  </w:t>
      </w:r>
    </w:p>
    <w:p w:rsidR="0039067A" w:rsidRPr="0039067A" w:rsidRDefault="0039067A" w:rsidP="0039067A">
      <w:pPr>
        <w:spacing w:before="60" w:beforeAutospacing="0" w:after="0" w:afterAutospacing="0" w:line="276" w:lineRule="auto"/>
        <w:ind w:firstLine="357"/>
        <w:jc w:val="both"/>
        <w:rPr>
          <w:rFonts w:ascii="Times New Roman" w:eastAsia="Calibri" w:hAnsi="Times New Roman" w:cs="Times New Roman"/>
          <w:sz w:val="24"/>
          <w:szCs w:val="24"/>
        </w:rPr>
      </w:pPr>
      <w:r w:rsidRPr="0039067A">
        <w:rPr>
          <w:rFonts w:ascii="Times New Roman" w:eastAsia="Calibri" w:hAnsi="Times New Roman" w:cs="Times New Roman"/>
          <w:sz w:val="24"/>
          <w:szCs w:val="24"/>
        </w:rPr>
        <w:t>Les résultats de l’analyse sont résumés dans le tableau ci-après.</w:t>
      </w:r>
    </w:p>
    <w:p w:rsidR="0039067A" w:rsidRPr="0039067A" w:rsidRDefault="0039067A" w:rsidP="0039067A">
      <w:pPr>
        <w:spacing w:before="60" w:beforeAutospacing="0" w:after="0" w:afterAutospacing="0" w:line="276" w:lineRule="auto"/>
        <w:ind w:firstLine="357"/>
        <w:jc w:val="both"/>
        <w:rPr>
          <w:rFonts w:ascii="Times New Roman" w:eastAsia="Calibri" w:hAnsi="Times New Roman" w:cs="Times New Roman"/>
          <w:b/>
          <w:sz w:val="24"/>
          <w:szCs w:val="24"/>
        </w:rPr>
      </w:pPr>
      <w:r w:rsidRPr="0039067A">
        <w:rPr>
          <w:rFonts w:ascii="Times New Roman" w:eastAsia="Calibri" w:hAnsi="Times New Roman" w:cs="Times New Roman"/>
          <w:b/>
          <w:sz w:val="24"/>
          <w:szCs w:val="24"/>
        </w:rPr>
        <w:t>Tableau (7) : analyse de l’impact du SCF sur les capitaux propres</w:t>
      </w:r>
    </w:p>
    <w:tbl>
      <w:tblPr>
        <w:tblW w:w="8803" w:type="dxa"/>
        <w:jc w:val="center"/>
        <w:tblInd w:w="56" w:type="dxa"/>
        <w:tblCellMar>
          <w:left w:w="70" w:type="dxa"/>
          <w:right w:w="70" w:type="dxa"/>
        </w:tblCellMar>
        <w:tblLook w:val="04A0" w:firstRow="1" w:lastRow="0" w:firstColumn="1" w:lastColumn="0" w:noHBand="0" w:noVBand="1"/>
      </w:tblPr>
      <w:tblGrid>
        <w:gridCol w:w="4550"/>
        <w:gridCol w:w="1560"/>
        <w:gridCol w:w="1417"/>
        <w:gridCol w:w="1276"/>
      </w:tblGrid>
      <w:tr w:rsidR="0039067A" w:rsidRPr="0039067A" w:rsidTr="0039067A">
        <w:trPr>
          <w:trHeight w:val="283"/>
          <w:jc w:val="center"/>
        </w:trPr>
        <w:tc>
          <w:tcPr>
            <w:tcW w:w="4550" w:type="dxa"/>
            <w:tcBorders>
              <w:top w:val="nil"/>
              <w:left w:val="nil"/>
              <w:bottom w:val="nil"/>
              <w:right w:val="nil"/>
            </w:tcBorders>
            <w:shd w:val="clear" w:color="auto" w:fill="auto"/>
            <w:noWrap/>
            <w:vAlign w:val="bottom"/>
            <w:hideMark/>
          </w:tcPr>
          <w:p w:rsidR="0039067A" w:rsidRPr="0039067A" w:rsidRDefault="0039067A" w:rsidP="0039067A">
            <w:pPr>
              <w:spacing w:before="0" w:beforeAutospacing="0" w:after="0" w:afterAutospacing="0"/>
              <w:jc w:val="left"/>
              <w:rPr>
                <w:rFonts w:ascii="Calibri" w:eastAsia="Times New Roman" w:hAnsi="Calibri" w:cs="Calibri"/>
                <w:color w:val="000000"/>
                <w:lang w:eastAsia="fr-FR"/>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067A" w:rsidRPr="0039067A" w:rsidRDefault="0039067A" w:rsidP="0039067A">
            <w:pPr>
              <w:spacing w:before="0" w:beforeAutospacing="0" w:after="0" w:afterAutospacing="0"/>
              <w:rPr>
                <w:rFonts w:ascii="Times New Roman" w:eastAsia="Times New Roman" w:hAnsi="Times New Roman" w:cs="Times New Roman"/>
                <w:color w:val="000000"/>
                <w:sz w:val="21"/>
                <w:szCs w:val="21"/>
                <w:lang w:eastAsia="fr-FR"/>
              </w:rPr>
            </w:pPr>
            <w:r w:rsidRPr="0039067A">
              <w:rPr>
                <w:rFonts w:ascii="Times New Roman" w:eastAsia="Times New Roman" w:hAnsi="Times New Roman" w:cs="Times New Roman"/>
                <w:color w:val="000000"/>
                <w:sz w:val="21"/>
                <w:szCs w:val="21"/>
                <w:lang w:eastAsia="fr-FR"/>
              </w:rPr>
              <w:t>Impacts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9067A" w:rsidRPr="0039067A" w:rsidRDefault="0039067A" w:rsidP="0039067A">
            <w:pPr>
              <w:spacing w:before="0" w:beforeAutospacing="0" w:after="0" w:afterAutospacing="0"/>
              <w:rPr>
                <w:rFonts w:ascii="Times New Roman" w:eastAsia="Times New Roman" w:hAnsi="Times New Roman" w:cs="Times New Roman"/>
                <w:color w:val="000000"/>
                <w:sz w:val="21"/>
                <w:szCs w:val="21"/>
                <w:lang w:eastAsia="fr-FR"/>
              </w:rPr>
            </w:pPr>
            <w:r w:rsidRPr="0039067A">
              <w:rPr>
                <w:rFonts w:ascii="Times New Roman" w:eastAsia="Times New Roman" w:hAnsi="Times New Roman" w:cs="Times New Roman"/>
                <w:color w:val="000000"/>
                <w:sz w:val="21"/>
                <w:szCs w:val="21"/>
                <w:lang w:eastAsia="fr-FR"/>
              </w:rPr>
              <w:t>Impact en % des CP PCN</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9067A" w:rsidRPr="0039067A" w:rsidRDefault="0039067A" w:rsidP="0039067A">
            <w:pPr>
              <w:spacing w:before="0" w:beforeAutospacing="0" w:after="0" w:afterAutospacing="0"/>
              <w:rPr>
                <w:rFonts w:ascii="Times New Roman" w:eastAsia="Times New Roman" w:hAnsi="Times New Roman" w:cs="Times New Roman"/>
                <w:color w:val="000000"/>
                <w:sz w:val="21"/>
                <w:szCs w:val="21"/>
                <w:lang w:eastAsia="fr-FR"/>
              </w:rPr>
            </w:pPr>
            <w:r w:rsidRPr="0039067A">
              <w:rPr>
                <w:rFonts w:ascii="Times New Roman" w:eastAsia="Times New Roman" w:hAnsi="Times New Roman" w:cs="Times New Roman"/>
                <w:color w:val="000000"/>
                <w:sz w:val="21"/>
                <w:szCs w:val="21"/>
                <w:lang w:eastAsia="fr-FR"/>
              </w:rPr>
              <w:t>% de variation</w:t>
            </w:r>
          </w:p>
        </w:tc>
      </w:tr>
      <w:tr w:rsidR="0039067A" w:rsidRPr="0039067A" w:rsidTr="0039067A">
        <w:trPr>
          <w:trHeight w:val="219"/>
          <w:jc w:val="center"/>
        </w:trPr>
        <w:tc>
          <w:tcPr>
            <w:tcW w:w="4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jc w:val="left"/>
              <w:rPr>
                <w:rFonts w:ascii="Times New Roman" w:eastAsia="Times New Roman" w:hAnsi="Times New Roman" w:cs="Times New Roman"/>
                <w:color w:val="000000"/>
                <w:lang w:eastAsia="fr-FR"/>
              </w:rPr>
            </w:pPr>
            <w:r w:rsidRPr="0039067A">
              <w:rPr>
                <w:rFonts w:ascii="Times New Roman" w:eastAsia="Times New Roman" w:hAnsi="Times New Roman" w:cs="Times New Roman"/>
                <w:color w:val="000000"/>
                <w:lang w:eastAsia="fr-FR"/>
              </w:rPr>
              <w:t>Capitaux propres PCN</w:t>
            </w:r>
          </w:p>
        </w:tc>
        <w:tc>
          <w:tcPr>
            <w:tcW w:w="1560" w:type="dxa"/>
            <w:tcBorders>
              <w:top w:val="nil"/>
              <w:left w:val="nil"/>
              <w:bottom w:val="single" w:sz="4" w:space="0" w:color="auto"/>
              <w:right w:val="single" w:sz="4" w:space="0" w:color="auto"/>
            </w:tcBorders>
            <w:shd w:val="clear" w:color="auto" w:fill="auto"/>
            <w:noWrap/>
            <w:vAlign w:val="center"/>
            <w:hideMark/>
          </w:tcPr>
          <w:p w:rsidR="0039067A" w:rsidRPr="0039067A" w:rsidRDefault="0039067A" w:rsidP="0039067A">
            <w:pPr>
              <w:spacing w:before="0" w:beforeAutospacing="0" w:after="0" w:afterAutospacing="0"/>
              <w:rPr>
                <w:rFonts w:ascii="Calibri" w:eastAsia="Times New Roman" w:hAnsi="Calibri" w:cs="Calibri"/>
                <w:color w:val="000000"/>
                <w:lang w:eastAsia="fr-FR"/>
              </w:rPr>
            </w:pPr>
            <w:r w:rsidRPr="0039067A">
              <w:rPr>
                <w:rFonts w:ascii="Calibri" w:eastAsia="Times New Roman" w:hAnsi="Calibri" w:cs="Calibri"/>
                <w:color w:val="000000"/>
                <w:lang w:eastAsia="fr-FR"/>
              </w:rPr>
              <w:t>632 426,80</w:t>
            </w:r>
          </w:p>
        </w:tc>
        <w:tc>
          <w:tcPr>
            <w:tcW w:w="1417" w:type="dxa"/>
            <w:tcBorders>
              <w:top w:val="nil"/>
              <w:left w:val="nil"/>
              <w:bottom w:val="single" w:sz="4" w:space="0" w:color="auto"/>
              <w:right w:val="single" w:sz="4" w:space="0" w:color="auto"/>
            </w:tcBorders>
            <w:shd w:val="clear" w:color="auto" w:fill="auto"/>
            <w:noWrap/>
            <w:vAlign w:val="center"/>
            <w:hideMark/>
          </w:tcPr>
          <w:p w:rsidR="0039067A" w:rsidRPr="0039067A" w:rsidRDefault="0039067A" w:rsidP="0039067A">
            <w:pPr>
              <w:spacing w:before="0" w:beforeAutospacing="0" w:after="0" w:afterAutospacing="0"/>
              <w:rPr>
                <w:rFonts w:ascii="Calibri" w:eastAsia="Times New Roman" w:hAnsi="Calibri" w:cs="Calibri"/>
                <w:color w:val="000000"/>
                <w:lang w:eastAsia="fr-FR"/>
              </w:rPr>
            </w:pPr>
            <w:r w:rsidRPr="0039067A">
              <w:rPr>
                <w:rFonts w:ascii="Calibri" w:eastAsia="Times New Roman" w:hAnsi="Calibri" w:cs="Calibri"/>
                <w:color w:val="000000"/>
                <w:lang w:eastAsia="fr-FR"/>
              </w:rPr>
              <w:t>100%</w:t>
            </w:r>
          </w:p>
        </w:tc>
        <w:tc>
          <w:tcPr>
            <w:tcW w:w="1276" w:type="dxa"/>
            <w:tcBorders>
              <w:top w:val="nil"/>
              <w:left w:val="nil"/>
              <w:bottom w:val="single" w:sz="4" w:space="0" w:color="auto"/>
              <w:right w:val="single" w:sz="4" w:space="0" w:color="auto"/>
            </w:tcBorders>
            <w:shd w:val="clear" w:color="auto" w:fill="auto"/>
            <w:noWrap/>
            <w:vAlign w:val="center"/>
            <w:hideMark/>
          </w:tcPr>
          <w:p w:rsidR="0039067A" w:rsidRPr="0039067A" w:rsidRDefault="0039067A" w:rsidP="0039067A">
            <w:pPr>
              <w:spacing w:before="0" w:beforeAutospacing="0" w:after="0" w:afterAutospacing="0"/>
              <w:rPr>
                <w:rFonts w:ascii="Calibri" w:eastAsia="Times New Roman" w:hAnsi="Calibri" w:cs="Calibri"/>
                <w:color w:val="000000"/>
                <w:lang w:eastAsia="fr-FR"/>
              </w:rPr>
            </w:pPr>
            <w:r w:rsidRPr="0039067A">
              <w:rPr>
                <w:rFonts w:ascii="Calibri" w:eastAsia="Times New Roman" w:hAnsi="Calibri" w:cs="Calibri"/>
                <w:color w:val="000000"/>
                <w:lang w:eastAsia="fr-FR"/>
              </w:rPr>
              <w:t> </w:t>
            </w:r>
          </w:p>
        </w:tc>
      </w:tr>
      <w:tr w:rsidR="0039067A" w:rsidRPr="0039067A" w:rsidTr="0039067A">
        <w:trPr>
          <w:trHeight w:val="223"/>
          <w:jc w:val="center"/>
        </w:trPr>
        <w:tc>
          <w:tcPr>
            <w:tcW w:w="4550" w:type="dxa"/>
            <w:tcBorders>
              <w:top w:val="nil"/>
              <w:left w:val="single" w:sz="4" w:space="0" w:color="auto"/>
              <w:bottom w:val="single" w:sz="4" w:space="0" w:color="auto"/>
              <w:right w:val="single" w:sz="4" w:space="0" w:color="auto"/>
            </w:tcBorders>
            <w:shd w:val="clear" w:color="auto" w:fill="auto"/>
            <w:vAlign w:val="center"/>
            <w:hideMark/>
          </w:tcPr>
          <w:p w:rsidR="0039067A" w:rsidRPr="0039067A" w:rsidRDefault="0039067A" w:rsidP="0039067A">
            <w:pPr>
              <w:spacing w:before="0" w:beforeAutospacing="0" w:after="0" w:afterAutospacing="0"/>
              <w:jc w:val="left"/>
              <w:rPr>
                <w:rFonts w:ascii="Times New Roman" w:eastAsia="Times New Roman" w:hAnsi="Times New Roman" w:cs="Times New Roman"/>
                <w:color w:val="000000"/>
                <w:lang w:eastAsia="fr-FR"/>
              </w:rPr>
            </w:pPr>
            <w:r w:rsidRPr="0039067A">
              <w:rPr>
                <w:rFonts w:ascii="Times New Roman" w:eastAsia="Times New Roman" w:hAnsi="Times New Roman" w:cs="Times New Roman"/>
                <w:color w:val="000000"/>
                <w:lang w:eastAsia="fr-FR"/>
              </w:rPr>
              <w:t xml:space="preserve">Rubriques reclassées en passif non courant </w:t>
            </w:r>
          </w:p>
        </w:tc>
        <w:tc>
          <w:tcPr>
            <w:tcW w:w="1560" w:type="dxa"/>
            <w:tcBorders>
              <w:top w:val="nil"/>
              <w:left w:val="nil"/>
              <w:bottom w:val="single" w:sz="4" w:space="0" w:color="auto"/>
              <w:right w:val="single" w:sz="4" w:space="0" w:color="auto"/>
            </w:tcBorders>
            <w:shd w:val="clear" w:color="auto" w:fill="auto"/>
            <w:noWrap/>
            <w:vAlign w:val="center"/>
            <w:hideMark/>
          </w:tcPr>
          <w:p w:rsidR="0039067A" w:rsidRPr="0039067A" w:rsidRDefault="0039067A" w:rsidP="0039067A">
            <w:pPr>
              <w:spacing w:before="0" w:beforeAutospacing="0" w:after="0" w:afterAutospacing="0"/>
              <w:rPr>
                <w:rFonts w:ascii="Calibri" w:eastAsia="Times New Roman" w:hAnsi="Calibri" w:cs="Calibri"/>
                <w:color w:val="000000"/>
                <w:lang w:eastAsia="fr-FR"/>
              </w:rPr>
            </w:pPr>
            <w:r w:rsidRPr="0039067A">
              <w:rPr>
                <w:rFonts w:ascii="Calibri" w:eastAsia="Times New Roman" w:hAnsi="Calibri" w:cs="Calibri"/>
                <w:color w:val="000000"/>
                <w:lang w:eastAsia="fr-FR"/>
              </w:rPr>
              <w:t>-268 131,24</w:t>
            </w:r>
          </w:p>
        </w:tc>
        <w:tc>
          <w:tcPr>
            <w:tcW w:w="1417" w:type="dxa"/>
            <w:tcBorders>
              <w:top w:val="nil"/>
              <w:left w:val="nil"/>
              <w:bottom w:val="single" w:sz="4" w:space="0" w:color="auto"/>
              <w:right w:val="single" w:sz="4" w:space="0" w:color="auto"/>
            </w:tcBorders>
            <w:shd w:val="clear" w:color="auto" w:fill="auto"/>
            <w:noWrap/>
            <w:vAlign w:val="center"/>
            <w:hideMark/>
          </w:tcPr>
          <w:p w:rsidR="0039067A" w:rsidRPr="0039067A" w:rsidRDefault="0039067A" w:rsidP="0039067A">
            <w:pPr>
              <w:spacing w:before="0" w:beforeAutospacing="0" w:after="0" w:afterAutospacing="0"/>
              <w:rPr>
                <w:rFonts w:ascii="Calibri" w:eastAsia="Times New Roman" w:hAnsi="Calibri" w:cs="Calibri"/>
                <w:color w:val="000000"/>
                <w:lang w:eastAsia="fr-FR"/>
              </w:rPr>
            </w:pPr>
            <w:r w:rsidRPr="0039067A">
              <w:rPr>
                <w:rFonts w:ascii="Calibri" w:eastAsia="Times New Roman" w:hAnsi="Calibri" w:cs="Calibri"/>
                <w:color w:val="000000"/>
                <w:lang w:eastAsia="fr-FR"/>
              </w:rPr>
              <w:t>-42,40%</w:t>
            </w:r>
          </w:p>
        </w:tc>
        <w:tc>
          <w:tcPr>
            <w:tcW w:w="1276" w:type="dxa"/>
            <w:tcBorders>
              <w:top w:val="nil"/>
              <w:left w:val="nil"/>
              <w:bottom w:val="single" w:sz="4" w:space="0" w:color="auto"/>
              <w:right w:val="single" w:sz="4" w:space="0" w:color="auto"/>
            </w:tcBorders>
            <w:shd w:val="clear" w:color="auto" w:fill="auto"/>
            <w:noWrap/>
            <w:vAlign w:val="center"/>
            <w:hideMark/>
          </w:tcPr>
          <w:p w:rsidR="0039067A" w:rsidRPr="0039067A" w:rsidRDefault="0039067A" w:rsidP="0039067A">
            <w:pPr>
              <w:spacing w:before="0" w:beforeAutospacing="0" w:after="0" w:afterAutospacing="0"/>
              <w:rPr>
                <w:rFonts w:ascii="Calibri" w:eastAsia="Times New Roman" w:hAnsi="Calibri" w:cs="Calibri"/>
                <w:color w:val="000000"/>
                <w:lang w:eastAsia="fr-FR"/>
              </w:rPr>
            </w:pPr>
            <w:r w:rsidRPr="0039067A">
              <w:rPr>
                <w:rFonts w:ascii="Calibri" w:eastAsia="Times New Roman" w:hAnsi="Calibri" w:cs="Calibri"/>
                <w:color w:val="000000"/>
                <w:lang w:eastAsia="fr-FR"/>
              </w:rPr>
              <w:t>-99,95%</w:t>
            </w:r>
          </w:p>
        </w:tc>
      </w:tr>
      <w:tr w:rsidR="0039067A" w:rsidRPr="0039067A" w:rsidTr="0039067A">
        <w:trPr>
          <w:trHeight w:val="171"/>
          <w:jc w:val="center"/>
        </w:trPr>
        <w:tc>
          <w:tcPr>
            <w:tcW w:w="4550" w:type="dxa"/>
            <w:tcBorders>
              <w:top w:val="nil"/>
              <w:left w:val="single" w:sz="4" w:space="0" w:color="auto"/>
              <w:bottom w:val="single" w:sz="4" w:space="0" w:color="auto"/>
              <w:right w:val="single" w:sz="4" w:space="0" w:color="auto"/>
            </w:tcBorders>
            <w:shd w:val="clear" w:color="auto" w:fill="auto"/>
            <w:vAlign w:val="center"/>
            <w:hideMark/>
          </w:tcPr>
          <w:p w:rsidR="0039067A" w:rsidRPr="0039067A" w:rsidRDefault="0039067A" w:rsidP="0039067A">
            <w:pPr>
              <w:spacing w:before="0" w:beforeAutospacing="0" w:after="0" w:afterAutospacing="0"/>
              <w:jc w:val="left"/>
              <w:rPr>
                <w:rFonts w:ascii="Times New Roman" w:eastAsia="Times New Roman" w:hAnsi="Times New Roman" w:cs="Times New Roman"/>
                <w:color w:val="000000"/>
                <w:lang w:eastAsia="fr-FR"/>
              </w:rPr>
            </w:pPr>
            <w:r w:rsidRPr="0039067A">
              <w:rPr>
                <w:rFonts w:ascii="Times New Roman" w:eastAsia="Times New Roman" w:hAnsi="Times New Roman" w:cs="Times New Roman"/>
                <w:color w:val="000000"/>
                <w:lang w:eastAsia="fr-FR"/>
              </w:rPr>
              <w:t>Subvention non justifiées en SCF</w:t>
            </w:r>
          </w:p>
        </w:tc>
        <w:tc>
          <w:tcPr>
            <w:tcW w:w="1560" w:type="dxa"/>
            <w:tcBorders>
              <w:top w:val="nil"/>
              <w:left w:val="nil"/>
              <w:bottom w:val="single" w:sz="4" w:space="0" w:color="auto"/>
              <w:right w:val="single" w:sz="4" w:space="0" w:color="auto"/>
            </w:tcBorders>
            <w:shd w:val="clear" w:color="auto" w:fill="auto"/>
            <w:noWrap/>
            <w:vAlign w:val="center"/>
            <w:hideMark/>
          </w:tcPr>
          <w:p w:rsidR="0039067A" w:rsidRPr="0039067A" w:rsidRDefault="0039067A" w:rsidP="0039067A">
            <w:pPr>
              <w:spacing w:before="0" w:beforeAutospacing="0" w:after="0" w:afterAutospacing="0"/>
              <w:rPr>
                <w:rFonts w:ascii="Calibri" w:eastAsia="Times New Roman" w:hAnsi="Calibri" w:cs="Calibri"/>
                <w:color w:val="000000"/>
                <w:lang w:eastAsia="fr-FR"/>
              </w:rPr>
            </w:pPr>
            <w:r w:rsidRPr="0039067A">
              <w:rPr>
                <w:rFonts w:ascii="Calibri" w:eastAsia="Times New Roman" w:hAnsi="Calibri" w:cs="Calibri"/>
                <w:color w:val="000000"/>
                <w:lang w:eastAsia="fr-FR"/>
              </w:rPr>
              <w:t>-2 864,05</w:t>
            </w:r>
          </w:p>
        </w:tc>
        <w:tc>
          <w:tcPr>
            <w:tcW w:w="1417" w:type="dxa"/>
            <w:tcBorders>
              <w:top w:val="nil"/>
              <w:left w:val="nil"/>
              <w:bottom w:val="single" w:sz="4" w:space="0" w:color="auto"/>
              <w:right w:val="single" w:sz="4" w:space="0" w:color="auto"/>
            </w:tcBorders>
            <w:shd w:val="clear" w:color="auto" w:fill="auto"/>
            <w:noWrap/>
            <w:vAlign w:val="center"/>
            <w:hideMark/>
          </w:tcPr>
          <w:p w:rsidR="0039067A" w:rsidRPr="0039067A" w:rsidRDefault="0039067A" w:rsidP="0039067A">
            <w:pPr>
              <w:spacing w:before="0" w:beforeAutospacing="0" w:after="0" w:afterAutospacing="0"/>
              <w:rPr>
                <w:rFonts w:ascii="Calibri" w:eastAsia="Times New Roman" w:hAnsi="Calibri" w:cs="Calibri"/>
                <w:color w:val="000000"/>
                <w:lang w:eastAsia="fr-FR"/>
              </w:rPr>
            </w:pPr>
            <w:r w:rsidRPr="0039067A">
              <w:rPr>
                <w:rFonts w:ascii="Calibri" w:eastAsia="Times New Roman" w:hAnsi="Calibri" w:cs="Calibri"/>
                <w:color w:val="000000"/>
                <w:lang w:eastAsia="fr-FR"/>
              </w:rPr>
              <w:t>-0,45%</w:t>
            </w:r>
          </w:p>
        </w:tc>
        <w:tc>
          <w:tcPr>
            <w:tcW w:w="1276" w:type="dxa"/>
            <w:tcBorders>
              <w:top w:val="nil"/>
              <w:left w:val="nil"/>
              <w:bottom w:val="single" w:sz="4" w:space="0" w:color="auto"/>
              <w:right w:val="single" w:sz="4" w:space="0" w:color="auto"/>
            </w:tcBorders>
            <w:shd w:val="clear" w:color="auto" w:fill="auto"/>
            <w:noWrap/>
            <w:vAlign w:val="center"/>
            <w:hideMark/>
          </w:tcPr>
          <w:p w:rsidR="0039067A" w:rsidRPr="0039067A" w:rsidRDefault="0039067A" w:rsidP="0039067A">
            <w:pPr>
              <w:spacing w:before="0" w:beforeAutospacing="0" w:after="0" w:afterAutospacing="0"/>
              <w:rPr>
                <w:rFonts w:ascii="Calibri" w:eastAsia="Times New Roman" w:hAnsi="Calibri" w:cs="Calibri"/>
                <w:color w:val="000000"/>
                <w:lang w:eastAsia="fr-FR"/>
              </w:rPr>
            </w:pPr>
            <w:r w:rsidRPr="0039067A">
              <w:rPr>
                <w:rFonts w:ascii="Calibri" w:eastAsia="Times New Roman" w:hAnsi="Calibri" w:cs="Calibri"/>
                <w:color w:val="000000"/>
                <w:lang w:eastAsia="fr-FR"/>
              </w:rPr>
              <w:t>-1,07%</w:t>
            </w:r>
          </w:p>
        </w:tc>
      </w:tr>
      <w:tr w:rsidR="0039067A" w:rsidRPr="0039067A" w:rsidTr="0039067A">
        <w:trPr>
          <w:trHeight w:val="147"/>
          <w:jc w:val="center"/>
        </w:trPr>
        <w:tc>
          <w:tcPr>
            <w:tcW w:w="4550" w:type="dxa"/>
            <w:tcBorders>
              <w:top w:val="nil"/>
              <w:left w:val="single" w:sz="4" w:space="0" w:color="auto"/>
              <w:bottom w:val="single" w:sz="4" w:space="0" w:color="auto"/>
              <w:right w:val="single" w:sz="4" w:space="0" w:color="auto"/>
            </w:tcBorders>
            <w:shd w:val="clear" w:color="auto" w:fill="auto"/>
            <w:vAlign w:val="bottom"/>
            <w:hideMark/>
          </w:tcPr>
          <w:p w:rsidR="0039067A" w:rsidRPr="0039067A" w:rsidRDefault="0039067A" w:rsidP="0039067A">
            <w:pPr>
              <w:spacing w:before="0" w:beforeAutospacing="0" w:after="0" w:afterAutospacing="0"/>
              <w:jc w:val="left"/>
              <w:rPr>
                <w:rFonts w:ascii="Times New Roman" w:eastAsia="Times New Roman" w:hAnsi="Times New Roman" w:cs="Times New Roman"/>
                <w:color w:val="000000"/>
                <w:lang w:eastAsia="fr-FR"/>
              </w:rPr>
            </w:pPr>
            <w:r w:rsidRPr="0039067A">
              <w:rPr>
                <w:rFonts w:ascii="Times New Roman" w:eastAsia="Times New Roman" w:hAnsi="Times New Roman" w:cs="Times New Roman"/>
                <w:color w:val="000000"/>
                <w:lang w:eastAsia="fr-FR"/>
              </w:rPr>
              <w:t>Variation de l'écart de réévaluation</w:t>
            </w:r>
          </w:p>
        </w:tc>
        <w:tc>
          <w:tcPr>
            <w:tcW w:w="1560" w:type="dxa"/>
            <w:tcBorders>
              <w:top w:val="nil"/>
              <w:left w:val="nil"/>
              <w:bottom w:val="single" w:sz="4" w:space="0" w:color="auto"/>
              <w:right w:val="single" w:sz="4" w:space="0" w:color="auto"/>
            </w:tcBorders>
            <w:shd w:val="clear" w:color="auto" w:fill="auto"/>
            <w:noWrap/>
            <w:vAlign w:val="center"/>
            <w:hideMark/>
          </w:tcPr>
          <w:p w:rsidR="0039067A" w:rsidRPr="0039067A" w:rsidRDefault="0039067A" w:rsidP="0039067A">
            <w:pPr>
              <w:spacing w:before="0" w:beforeAutospacing="0" w:after="0" w:afterAutospacing="0"/>
              <w:rPr>
                <w:rFonts w:ascii="Calibri" w:eastAsia="Times New Roman" w:hAnsi="Calibri" w:cs="Calibri"/>
                <w:color w:val="000000"/>
                <w:lang w:eastAsia="fr-FR"/>
              </w:rPr>
            </w:pPr>
            <w:r w:rsidRPr="0039067A">
              <w:rPr>
                <w:rFonts w:ascii="Calibri" w:eastAsia="Times New Roman" w:hAnsi="Calibri" w:cs="Calibri"/>
                <w:color w:val="000000"/>
                <w:lang w:eastAsia="fr-FR"/>
              </w:rPr>
              <w:t>-1 912,10</w:t>
            </w:r>
          </w:p>
        </w:tc>
        <w:tc>
          <w:tcPr>
            <w:tcW w:w="1417" w:type="dxa"/>
            <w:tcBorders>
              <w:top w:val="nil"/>
              <w:left w:val="nil"/>
              <w:bottom w:val="single" w:sz="4" w:space="0" w:color="auto"/>
              <w:right w:val="single" w:sz="4" w:space="0" w:color="auto"/>
            </w:tcBorders>
            <w:shd w:val="clear" w:color="auto" w:fill="auto"/>
            <w:noWrap/>
            <w:vAlign w:val="center"/>
            <w:hideMark/>
          </w:tcPr>
          <w:p w:rsidR="0039067A" w:rsidRPr="0039067A" w:rsidRDefault="0039067A" w:rsidP="0039067A">
            <w:pPr>
              <w:spacing w:before="0" w:beforeAutospacing="0" w:after="0" w:afterAutospacing="0"/>
              <w:rPr>
                <w:rFonts w:ascii="Calibri" w:eastAsia="Times New Roman" w:hAnsi="Calibri" w:cs="Calibri"/>
                <w:color w:val="000000"/>
                <w:lang w:eastAsia="fr-FR"/>
              </w:rPr>
            </w:pPr>
            <w:r w:rsidRPr="0039067A">
              <w:rPr>
                <w:rFonts w:ascii="Calibri" w:eastAsia="Times New Roman" w:hAnsi="Calibri" w:cs="Calibri"/>
                <w:color w:val="000000"/>
                <w:lang w:eastAsia="fr-FR"/>
              </w:rPr>
              <w:t>-0,30%</w:t>
            </w:r>
          </w:p>
        </w:tc>
        <w:tc>
          <w:tcPr>
            <w:tcW w:w="1276" w:type="dxa"/>
            <w:tcBorders>
              <w:top w:val="nil"/>
              <w:left w:val="nil"/>
              <w:bottom w:val="single" w:sz="4" w:space="0" w:color="auto"/>
              <w:right w:val="single" w:sz="4" w:space="0" w:color="auto"/>
            </w:tcBorders>
            <w:shd w:val="clear" w:color="auto" w:fill="auto"/>
            <w:noWrap/>
            <w:vAlign w:val="center"/>
            <w:hideMark/>
          </w:tcPr>
          <w:p w:rsidR="0039067A" w:rsidRPr="0039067A" w:rsidRDefault="0039067A" w:rsidP="0039067A">
            <w:pPr>
              <w:spacing w:before="0" w:beforeAutospacing="0" w:after="0" w:afterAutospacing="0"/>
              <w:rPr>
                <w:rFonts w:ascii="Calibri" w:eastAsia="Times New Roman" w:hAnsi="Calibri" w:cs="Calibri"/>
                <w:color w:val="000000"/>
                <w:lang w:eastAsia="fr-FR"/>
              </w:rPr>
            </w:pPr>
            <w:r w:rsidRPr="0039067A">
              <w:rPr>
                <w:rFonts w:ascii="Calibri" w:eastAsia="Times New Roman" w:hAnsi="Calibri" w:cs="Calibri"/>
                <w:color w:val="000000"/>
                <w:lang w:eastAsia="fr-FR"/>
              </w:rPr>
              <w:t>-0,71%</w:t>
            </w:r>
          </w:p>
        </w:tc>
      </w:tr>
      <w:tr w:rsidR="0039067A" w:rsidRPr="0039067A" w:rsidTr="0039067A">
        <w:trPr>
          <w:trHeight w:val="70"/>
          <w:jc w:val="center"/>
        </w:trPr>
        <w:tc>
          <w:tcPr>
            <w:tcW w:w="4550" w:type="dxa"/>
            <w:tcBorders>
              <w:top w:val="nil"/>
              <w:left w:val="single" w:sz="4" w:space="0" w:color="auto"/>
              <w:bottom w:val="single" w:sz="4" w:space="0" w:color="auto"/>
              <w:right w:val="single" w:sz="4" w:space="0" w:color="auto"/>
            </w:tcBorders>
            <w:shd w:val="clear" w:color="auto" w:fill="auto"/>
            <w:vAlign w:val="bottom"/>
            <w:hideMark/>
          </w:tcPr>
          <w:p w:rsidR="0039067A" w:rsidRPr="0039067A" w:rsidRDefault="0039067A" w:rsidP="0039067A">
            <w:pPr>
              <w:spacing w:before="0" w:beforeAutospacing="0" w:after="0" w:afterAutospacing="0"/>
              <w:jc w:val="left"/>
              <w:rPr>
                <w:rFonts w:ascii="Times New Roman" w:eastAsia="Times New Roman" w:hAnsi="Times New Roman" w:cs="Times New Roman"/>
                <w:color w:val="000000"/>
                <w:lang w:eastAsia="fr-FR"/>
              </w:rPr>
            </w:pPr>
            <w:r w:rsidRPr="0039067A">
              <w:rPr>
                <w:rFonts w:ascii="Times New Roman" w:eastAsia="Times New Roman" w:hAnsi="Times New Roman" w:cs="Times New Roman"/>
                <w:color w:val="000000"/>
                <w:lang w:eastAsia="fr-FR"/>
              </w:rPr>
              <w:t>Changement de méthodes et d’estimation (115)</w:t>
            </w:r>
          </w:p>
        </w:tc>
        <w:tc>
          <w:tcPr>
            <w:tcW w:w="1560" w:type="dxa"/>
            <w:tcBorders>
              <w:top w:val="nil"/>
              <w:left w:val="nil"/>
              <w:bottom w:val="single" w:sz="4" w:space="0" w:color="auto"/>
              <w:right w:val="single" w:sz="4" w:space="0" w:color="auto"/>
            </w:tcBorders>
            <w:shd w:val="clear" w:color="auto" w:fill="auto"/>
            <w:noWrap/>
            <w:vAlign w:val="center"/>
            <w:hideMark/>
          </w:tcPr>
          <w:p w:rsidR="0039067A" w:rsidRPr="0039067A" w:rsidRDefault="0039067A" w:rsidP="0039067A">
            <w:pPr>
              <w:spacing w:before="0" w:beforeAutospacing="0" w:after="0" w:afterAutospacing="0"/>
              <w:rPr>
                <w:rFonts w:ascii="Calibri" w:eastAsia="Times New Roman" w:hAnsi="Calibri" w:cs="Calibri"/>
                <w:color w:val="000000"/>
                <w:lang w:eastAsia="fr-FR"/>
              </w:rPr>
            </w:pPr>
            <w:r w:rsidRPr="0039067A">
              <w:rPr>
                <w:rFonts w:ascii="Calibri" w:eastAsia="Times New Roman" w:hAnsi="Calibri" w:cs="Calibri"/>
                <w:color w:val="000000"/>
                <w:lang w:eastAsia="fr-FR"/>
              </w:rPr>
              <w:t>-2 664,36</w:t>
            </w:r>
          </w:p>
        </w:tc>
        <w:tc>
          <w:tcPr>
            <w:tcW w:w="1417" w:type="dxa"/>
            <w:tcBorders>
              <w:top w:val="nil"/>
              <w:left w:val="nil"/>
              <w:bottom w:val="single" w:sz="4" w:space="0" w:color="auto"/>
              <w:right w:val="single" w:sz="4" w:space="0" w:color="auto"/>
            </w:tcBorders>
            <w:shd w:val="clear" w:color="auto" w:fill="auto"/>
            <w:noWrap/>
            <w:vAlign w:val="center"/>
            <w:hideMark/>
          </w:tcPr>
          <w:p w:rsidR="0039067A" w:rsidRPr="0039067A" w:rsidRDefault="0039067A" w:rsidP="0039067A">
            <w:pPr>
              <w:spacing w:before="0" w:beforeAutospacing="0" w:after="0" w:afterAutospacing="0"/>
              <w:rPr>
                <w:rFonts w:ascii="Calibri" w:eastAsia="Times New Roman" w:hAnsi="Calibri" w:cs="Calibri"/>
                <w:color w:val="000000"/>
                <w:lang w:eastAsia="fr-FR"/>
              </w:rPr>
            </w:pPr>
            <w:r w:rsidRPr="0039067A">
              <w:rPr>
                <w:rFonts w:ascii="Calibri" w:eastAsia="Times New Roman" w:hAnsi="Calibri" w:cs="Calibri"/>
                <w:color w:val="000000"/>
                <w:lang w:eastAsia="fr-FR"/>
              </w:rPr>
              <w:t>-0,42%</w:t>
            </w:r>
          </w:p>
        </w:tc>
        <w:tc>
          <w:tcPr>
            <w:tcW w:w="1276" w:type="dxa"/>
            <w:tcBorders>
              <w:top w:val="nil"/>
              <w:left w:val="nil"/>
              <w:bottom w:val="single" w:sz="4" w:space="0" w:color="auto"/>
              <w:right w:val="single" w:sz="4" w:space="0" w:color="auto"/>
            </w:tcBorders>
            <w:shd w:val="clear" w:color="auto" w:fill="auto"/>
            <w:noWrap/>
            <w:vAlign w:val="center"/>
            <w:hideMark/>
          </w:tcPr>
          <w:p w:rsidR="0039067A" w:rsidRPr="0039067A" w:rsidRDefault="0039067A" w:rsidP="0039067A">
            <w:pPr>
              <w:spacing w:before="0" w:beforeAutospacing="0" w:after="0" w:afterAutospacing="0"/>
              <w:rPr>
                <w:rFonts w:ascii="Calibri" w:eastAsia="Times New Roman" w:hAnsi="Calibri" w:cs="Calibri"/>
                <w:color w:val="000000"/>
                <w:lang w:eastAsia="fr-FR"/>
              </w:rPr>
            </w:pPr>
            <w:r w:rsidRPr="0039067A">
              <w:rPr>
                <w:rFonts w:ascii="Calibri" w:eastAsia="Times New Roman" w:hAnsi="Calibri" w:cs="Calibri"/>
                <w:color w:val="000000"/>
                <w:lang w:eastAsia="fr-FR"/>
              </w:rPr>
              <w:t>-0,99%</w:t>
            </w:r>
          </w:p>
        </w:tc>
      </w:tr>
      <w:tr w:rsidR="0039067A" w:rsidRPr="0039067A" w:rsidTr="0039067A">
        <w:trPr>
          <w:trHeight w:val="169"/>
          <w:jc w:val="center"/>
        </w:trPr>
        <w:tc>
          <w:tcPr>
            <w:tcW w:w="4550" w:type="dxa"/>
            <w:tcBorders>
              <w:top w:val="nil"/>
              <w:left w:val="single" w:sz="4" w:space="0" w:color="auto"/>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jc w:val="left"/>
              <w:rPr>
                <w:rFonts w:ascii="Times New Roman" w:eastAsia="Times New Roman" w:hAnsi="Times New Roman" w:cs="Times New Roman"/>
                <w:color w:val="000000"/>
                <w:lang w:eastAsia="fr-FR"/>
              </w:rPr>
            </w:pPr>
            <w:r w:rsidRPr="0039067A">
              <w:rPr>
                <w:rFonts w:ascii="Times New Roman" w:eastAsia="Times New Roman" w:hAnsi="Times New Roman" w:cs="Times New Roman"/>
                <w:color w:val="000000"/>
                <w:lang w:eastAsia="fr-FR"/>
              </w:rPr>
              <w:t>Résultat net SCF</w:t>
            </w:r>
          </w:p>
        </w:tc>
        <w:tc>
          <w:tcPr>
            <w:tcW w:w="1560" w:type="dxa"/>
            <w:tcBorders>
              <w:top w:val="nil"/>
              <w:left w:val="nil"/>
              <w:bottom w:val="single" w:sz="4" w:space="0" w:color="auto"/>
              <w:right w:val="single" w:sz="4" w:space="0" w:color="auto"/>
            </w:tcBorders>
            <w:shd w:val="clear" w:color="auto" w:fill="auto"/>
            <w:noWrap/>
            <w:vAlign w:val="center"/>
            <w:hideMark/>
          </w:tcPr>
          <w:p w:rsidR="0039067A" w:rsidRPr="0039067A" w:rsidRDefault="0039067A" w:rsidP="0039067A">
            <w:pPr>
              <w:spacing w:before="0" w:beforeAutospacing="0" w:after="0" w:afterAutospacing="0"/>
              <w:rPr>
                <w:rFonts w:ascii="Calibri" w:eastAsia="Times New Roman" w:hAnsi="Calibri" w:cs="Calibri"/>
                <w:color w:val="000000"/>
                <w:lang w:eastAsia="fr-FR"/>
              </w:rPr>
            </w:pPr>
            <w:r w:rsidRPr="0039067A">
              <w:rPr>
                <w:rFonts w:ascii="Calibri" w:eastAsia="Times New Roman" w:hAnsi="Calibri" w:cs="Calibri"/>
                <w:color w:val="000000"/>
                <w:lang w:eastAsia="fr-FR"/>
              </w:rPr>
              <w:t>7 316,92</w:t>
            </w:r>
          </w:p>
        </w:tc>
        <w:tc>
          <w:tcPr>
            <w:tcW w:w="1417" w:type="dxa"/>
            <w:tcBorders>
              <w:top w:val="nil"/>
              <w:left w:val="nil"/>
              <w:bottom w:val="single" w:sz="4" w:space="0" w:color="auto"/>
              <w:right w:val="single" w:sz="4" w:space="0" w:color="auto"/>
            </w:tcBorders>
            <w:shd w:val="clear" w:color="auto" w:fill="auto"/>
            <w:noWrap/>
            <w:vAlign w:val="center"/>
            <w:hideMark/>
          </w:tcPr>
          <w:p w:rsidR="0039067A" w:rsidRPr="0039067A" w:rsidRDefault="0039067A" w:rsidP="0039067A">
            <w:pPr>
              <w:spacing w:before="0" w:beforeAutospacing="0" w:after="0" w:afterAutospacing="0"/>
              <w:rPr>
                <w:rFonts w:ascii="Calibri" w:eastAsia="Times New Roman" w:hAnsi="Calibri" w:cs="Calibri"/>
                <w:color w:val="000000"/>
                <w:lang w:eastAsia="fr-FR"/>
              </w:rPr>
            </w:pPr>
            <w:r w:rsidRPr="0039067A">
              <w:rPr>
                <w:rFonts w:ascii="Calibri" w:eastAsia="Times New Roman" w:hAnsi="Calibri" w:cs="Calibri"/>
                <w:color w:val="000000"/>
                <w:lang w:eastAsia="fr-FR"/>
              </w:rPr>
              <w:t>1,16%</w:t>
            </w:r>
          </w:p>
        </w:tc>
        <w:tc>
          <w:tcPr>
            <w:tcW w:w="1276" w:type="dxa"/>
            <w:tcBorders>
              <w:top w:val="nil"/>
              <w:left w:val="nil"/>
              <w:bottom w:val="single" w:sz="4" w:space="0" w:color="auto"/>
              <w:right w:val="single" w:sz="4" w:space="0" w:color="auto"/>
            </w:tcBorders>
            <w:shd w:val="clear" w:color="auto" w:fill="auto"/>
            <w:noWrap/>
            <w:vAlign w:val="center"/>
            <w:hideMark/>
          </w:tcPr>
          <w:p w:rsidR="0039067A" w:rsidRPr="0039067A" w:rsidRDefault="0039067A" w:rsidP="0039067A">
            <w:pPr>
              <w:spacing w:before="0" w:beforeAutospacing="0" w:after="0" w:afterAutospacing="0"/>
              <w:rPr>
                <w:rFonts w:ascii="Calibri" w:eastAsia="Times New Roman" w:hAnsi="Calibri" w:cs="Calibri"/>
                <w:color w:val="000000"/>
                <w:lang w:eastAsia="fr-FR"/>
              </w:rPr>
            </w:pPr>
            <w:r w:rsidRPr="0039067A">
              <w:rPr>
                <w:rFonts w:ascii="Calibri" w:eastAsia="Times New Roman" w:hAnsi="Calibri" w:cs="Calibri"/>
                <w:color w:val="000000"/>
                <w:lang w:eastAsia="fr-FR"/>
              </w:rPr>
              <w:t>2,73%</w:t>
            </w:r>
          </w:p>
        </w:tc>
      </w:tr>
      <w:tr w:rsidR="0039067A" w:rsidRPr="0039067A" w:rsidTr="0039067A">
        <w:trPr>
          <w:trHeight w:val="159"/>
          <w:jc w:val="center"/>
        </w:trPr>
        <w:tc>
          <w:tcPr>
            <w:tcW w:w="4550" w:type="dxa"/>
            <w:tcBorders>
              <w:top w:val="nil"/>
              <w:left w:val="single" w:sz="4" w:space="0" w:color="auto"/>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jc w:val="left"/>
              <w:rPr>
                <w:rFonts w:ascii="Times New Roman" w:eastAsia="Times New Roman" w:hAnsi="Times New Roman" w:cs="Times New Roman"/>
                <w:color w:val="000000"/>
                <w:lang w:eastAsia="fr-FR"/>
              </w:rPr>
            </w:pPr>
            <w:r w:rsidRPr="0039067A">
              <w:rPr>
                <w:rFonts w:ascii="Times New Roman" w:eastAsia="Times New Roman" w:hAnsi="Times New Roman" w:cs="Times New Roman"/>
                <w:color w:val="000000"/>
                <w:lang w:eastAsia="fr-FR"/>
              </w:rPr>
              <w:t>Total de l'impact</w:t>
            </w:r>
          </w:p>
        </w:tc>
        <w:tc>
          <w:tcPr>
            <w:tcW w:w="1560" w:type="dxa"/>
            <w:tcBorders>
              <w:top w:val="nil"/>
              <w:left w:val="nil"/>
              <w:bottom w:val="single" w:sz="4" w:space="0" w:color="auto"/>
              <w:right w:val="single" w:sz="4" w:space="0" w:color="auto"/>
            </w:tcBorders>
            <w:shd w:val="clear" w:color="auto" w:fill="auto"/>
            <w:noWrap/>
            <w:vAlign w:val="center"/>
            <w:hideMark/>
          </w:tcPr>
          <w:p w:rsidR="0039067A" w:rsidRPr="0039067A" w:rsidRDefault="0039067A" w:rsidP="0039067A">
            <w:pPr>
              <w:spacing w:before="0" w:beforeAutospacing="0" w:after="0" w:afterAutospacing="0"/>
              <w:rPr>
                <w:rFonts w:ascii="Calibri" w:eastAsia="Times New Roman" w:hAnsi="Calibri" w:cs="Calibri"/>
                <w:color w:val="000000"/>
                <w:lang w:eastAsia="fr-FR"/>
              </w:rPr>
            </w:pPr>
            <w:r w:rsidRPr="0039067A">
              <w:rPr>
                <w:rFonts w:ascii="Calibri" w:eastAsia="Times New Roman" w:hAnsi="Calibri" w:cs="Calibri"/>
                <w:color w:val="000000"/>
                <w:lang w:eastAsia="fr-FR"/>
              </w:rPr>
              <w:t>268 254,84</w:t>
            </w:r>
          </w:p>
        </w:tc>
        <w:tc>
          <w:tcPr>
            <w:tcW w:w="1417" w:type="dxa"/>
            <w:tcBorders>
              <w:top w:val="nil"/>
              <w:left w:val="nil"/>
              <w:bottom w:val="single" w:sz="4" w:space="0" w:color="auto"/>
              <w:right w:val="single" w:sz="4" w:space="0" w:color="auto"/>
            </w:tcBorders>
            <w:shd w:val="clear" w:color="auto" w:fill="auto"/>
            <w:noWrap/>
            <w:vAlign w:val="center"/>
            <w:hideMark/>
          </w:tcPr>
          <w:p w:rsidR="0039067A" w:rsidRPr="0039067A" w:rsidRDefault="0039067A" w:rsidP="0039067A">
            <w:pPr>
              <w:spacing w:before="0" w:beforeAutospacing="0" w:after="0" w:afterAutospacing="0"/>
              <w:rPr>
                <w:rFonts w:ascii="Calibri" w:eastAsia="Times New Roman" w:hAnsi="Calibri" w:cs="Calibri"/>
                <w:color w:val="000000"/>
                <w:lang w:eastAsia="fr-FR"/>
              </w:rPr>
            </w:pPr>
            <w:r w:rsidRPr="0039067A">
              <w:rPr>
                <w:rFonts w:ascii="Calibri" w:eastAsia="Times New Roman" w:hAnsi="Calibri" w:cs="Calibri"/>
                <w:color w:val="000000"/>
                <w:lang w:eastAsia="fr-FR"/>
              </w:rPr>
              <w:t>-42,42%</w:t>
            </w:r>
          </w:p>
        </w:tc>
        <w:tc>
          <w:tcPr>
            <w:tcW w:w="1276" w:type="dxa"/>
            <w:tcBorders>
              <w:top w:val="nil"/>
              <w:left w:val="nil"/>
              <w:bottom w:val="single" w:sz="4" w:space="0" w:color="auto"/>
              <w:right w:val="single" w:sz="4" w:space="0" w:color="auto"/>
            </w:tcBorders>
            <w:shd w:val="clear" w:color="auto" w:fill="auto"/>
            <w:noWrap/>
            <w:vAlign w:val="center"/>
            <w:hideMark/>
          </w:tcPr>
          <w:p w:rsidR="0039067A" w:rsidRPr="0039067A" w:rsidRDefault="0039067A" w:rsidP="0039067A">
            <w:pPr>
              <w:spacing w:before="0" w:beforeAutospacing="0" w:after="0" w:afterAutospacing="0"/>
              <w:rPr>
                <w:rFonts w:ascii="Calibri" w:eastAsia="Times New Roman" w:hAnsi="Calibri" w:cs="Calibri"/>
                <w:color w:val="000000"/>
                <w:lang w:eastAsia="fr-FR"/>
              </w:rPr>
            </w:pPr>
            <w:r w:rsidRPr="0039067A">
              <w:rPr>
                <w:rFonts w:ascii="Calibri" w:eastAsia="Times New Roman" w:hAnsi="Calibri" w:cs="Calibri"/>
                <w:color w:val="000000"/>
                <w:lang w:eastAsia="fr-FR"/>
              </w:rPr>
              <w:t>-100%</w:t>
            </w:r>
          </w:p>
        </w:tc>
      </w:tr>
      <w:tr w:rsidR="0039067A" w:rsidRPr="0039067A" w:rsidTr="0039067A">
        <w:trPr>
          <w:trHeight w:val="164"/>
          <w:jc w:val="center"/>
        </w:trPr>
        <w:tc>
          <w:tcPr>
            <w:tcW w:w="4550" w:type="dxa"/>
            <w:tcBorders>
              <w:top w:val="nil"/>
              <w:left w:val="single" w:sz="4" w:space="0" w:color="auto"/>
              <w:bottom w:val="single" w:sz="4" w:space="0" w:color="auto"/>
              <w:right w:val="single" w:sz="4" w:space="0" w:color="auto"/>
            </w:tcBorders>
            <w:shd w:val="clear" w:color="auto" w:fill="auto"/>
            <w:noWrap/>
            <w:vAlign w:val="center"/>
            <w:hideMark/>
          </w:tcPr>
          <w:p w:rsidR="0039067A" w:rsidRPr="0039067A" w:rsidRDefault="0039067A" w:rsidP="0039067A">
            <w:pPr>
              <w:spacing w:before="0" w:beforeAutospacing="0" w:after="0" w:afterAutospacing="0"/>
              <w:jc w:val="left"/>
              <w:rPr>
                <w:rFonts w:ascii="Times New Roman" w:eastAsia="Times New Roman" w:hAnsi="Times New Roman" w:cs="Times New Roman"/>
                <w:color w:val="000000"/>
                <w:lang w:eastAsia="fr-FR"/>
              </w:rPr>
            </w:pPr>
            <w:r w:rsidRPr="0039067A">
              <w:rPr>
                <w:rFonts w:ascii="Times New Roman" w:eastAsia="Times New Roman" w:hAnsi="Times New Roman" w:cs="Times New Roman"/>
                <w:color w:val="000000"/>
                <w:lang w:eastAsia="fr-FR"/>
              </w:rPr>
              <w:t>Capitaux propres SCF</w:t>
            </w:r>
          </w:p>
        </w:tc>
        <w:tc>
          <w:tcPr>
            <w:tcW w:w="1560" w:type="dxa"/>
            <w:tcBorders>
              <w:top w:val="nil"/>
              <w:left w:val="nil"/>
              <w:bottom w:val="single" w:sz="4" w:space="0" w:color="auto"/>
              <w:right w:val="single" w:sz="4" w:space="0" w:color="auto"/>
            </w:tcBorders>
            <w:shd w:val="clear" w:color="auto" w:fill="auto"/>
            <w:noWrap/>
            <w:vAlign w:val="center"/>
            <w:hideMark/>
          </w:tcPr>
          <w:p w:rsidR="0039067A" w:rsidRPr="0039067A" w:rsidRDefault="0039067A" w:rsidP="0039067A">
            <w:pPr>
              <w:spacing w:before="0" w:beforeAutospacing="0" w:after="0" w:afterAutospacing="0"/>
              <w:rPr>
                <w:rFonts w:ascii="Calibri" w:eastAsia="Calibri" w:hAnsi="Calibri" w:cs="Arial"/>
                <w:color w:val="000000"/>
              </w:rPr>
            </w:pPr>
            <w:r w:rsidRPr="0039067A">
              <w:rPr>
                <w:rFonts w:ascii="Calibri" w:eastAsia="Calibri" w:hAnsi="Calibri" w:cs="Arial"/>
                <w:color w:val="000000"/>
              </w:rPr>
              <w:t>364 171,96</w:t>
            </w:r>
          </w:p>
        </w:tc>
        <w:tc>
          <w:tcPr>
            <w:tcW w:w="1417" w:type="dxa"/>
            <w:tcBorders>
              <w:top w:val="nil"/>
              <w:left w:val="nil"/>
              <w:bottom w:val="single" w:sz="4" w:space="0" w:color="auto"/>
              <w:right w:val="single" w:sz="4" w:space="0" w:color="auto"/>
            </w:tcBorders>
            <w:shd w:val="clear" w:color="auto" w:fill="auto"/>
            <w:noWrap/>
            <w:vAlign w:val="center"/>
            <w:hideMark/>
          </w:tcPr>
          <w:p w:rsidR="0039067A" w:rsidRPr="0039067A" w:rsidRDefault="0039067A" w:rsidP="0039067A">
            <w:pPr>
              <w:spacing w:before="0" w:beforeAutospacing="0" w:after="0" w:afterAutospacing="0"/>
              <w:rPr>
                <w:rFonts w:ascii="Calibri" w:eastAsia="Times New Roman" w:hAnsi="Calibri" w:cs="Calibri"/>
                <w:color w:val="000000"/>
                <w:lang w:eastAsia="fr-FR"/>
              </w:rPr>
            </w:pPr>
            <w:r w:rsidRPr="0039067A">
              <w:rPr>
                <w:rFonts w:ascii="Calibri" w:eastAsia="Times New Roman" w:hAnsi="Calibri" w:cs="Calibri"/>
                <w:color w:val="000000"/>
                <w:lang w:eastAsia="fr-FR"/>
              </w:rPr>
              <w:t>58%</w:t>
            </w:r>
          </w:p>
        </w:tc>
        <w:tc>
          <w:tcPr>
            <w:tcW w:w="1276" w:type="dxa"/>
            <w:tcBorders>
              <w:top w:val="nil"/>
              <w:left w:val="nil"/>
              <w:bottom w:val="single" w:sz="4" w:space="0" w:color="auto"/>
              <w:right w:val="single" w:sz="4" w:space="0" w:color="auto"/>
            </w:tcBorders>
            <w:shd w:val="clear" w:color="auto" w:fill="auto"/>
            <w:noWrap/>
            <w:vAlign w:val="center"/>
            <w:hideMark/>
          </w:tcPr>
          <w:p w:rsidR="0039067A" w:rsidRPr="0039067A" w:rsidRDefault="0039067A" w:rsidP="0039067A">
            <w:pPr>
              <w:spacing w:before="0" w:beforeAutospacing="0" w:after="0" w:afterAutospacing="0"/>
              <w:rPr>
                <w:rFonts w:ascii="Calibri" w:eastAsia="Times New Roman" w:hAnsi="Calibri" w:cs="Calibri"/>
                <w:color w:val="000000"/>
                <w:lang w:eastAsia="fr-FR"/>
              </w:rPr>
            </w:pPr>
            <w:r w:rsidRPr="0039067A">
              <w:rPr>
                <w:rFonts w:ascii="Calibri" w:eastAsia="Times New Roman" w:hAnsi="Calibri" w:cs="Calibri"/>
                <w:color w:val="000000"/>
                <w:lang w:eastAsia="fr-FR"/>
              </w:rPr>
              <w:t> </w:t>
            </w:r>
          </w:p>
        </w:tc>
      </w:tr>
    </w:tbl>
    <w:p w:rsidR="0039067A" w:rsidRPr="0039067A" w:rsidRDefault="0039067A" w:rsidP="0039067A">
      <w:pPr>
        <w:spacing w:before="60" w:beforeAutospacing="0" w:after="60" w:afterAutospacing="0" w:line="276" w:lineRule="auto"/>
        <w:ind w:firstLine="357"/>
        <w:jc w:val="both"/>
        <w:rPr>
          <w:rFonts w:ascii="Times New Roman" w:eastAsia="Calibri" w:hAnsi="Times New Roman" w:cs="Times New Roman"/>
          <w:i/>
          <w:szCs w:val="24"/>
        </w:rPr>
      </w:pPr>
      <w:r w:rsidRPr="0039067A">
        <w:rPr>
          <w:rFonts w:ascii="Times New Roman" w:eastAsia="Calibri" w:hAnsi="Times New Roman" w:cs="Times New Roman"/>
          <w:i/>
          <w:szCs w:val="24"/>
        </w:rPr>
        <w:t>Sources : établis sur la base des données financières des sociétés de l’échantillon</w:t>
      </w:r>
    </w:p>
    <w:p w:rsidR="0039067A" w:rsidRPr="0039067A" w:rsidRDefault="0039067A" w:rsidP="0039067A">
      <w:pPr>
        <w:spacing w:before="60" w:beforeAutospacing="0" w:after="60" w:afterAutospacing="0" w:line="276" w:lineRule="auto"/>
        <w:ind w:firstLine="357"/>
        <w:jc w:val="both"/>
        <w:rPr>
          <w:rFonts w:ascii="Times New Roman" w:eastAsia="Calibri" w:hAnsi="Times New Roman" w:cs="Times New Roman"/>
          <w:sz w:val="24"/>
          <w:szCs w:val="24"/>
        </w:rPr>
      </w:pPr>
      <w:r w:rsidRPr="0039067A">
        <w:rPr>
          <w:rFonts w:ascii="Times New Roman" w:eastAsia="Calibri" w:hAnsi="Times New Roman" w:cs="Times New Roman"/>
          <w:sz w:val="24"/>
          <w:szCs w:val="24"/>
        </w:rPr>
        <w:t xml:space="preserve">A travers ce tableau, il peut être constaté que la variation négative des capitaux propres peut être expliquée à </w:t>
      </w:r>
      <w:r w:rsidRPr="0039067A">
        <w:rPr>
          <w:rFonts w:ascii="Times New Roman" w:eastAsia="Calibri" w:hAnsi="Times New Roman" w:cs="Times New Roman"/>
          <w:szCs w:val="24"/>
        </w:rPr>
        <w:t xml:space="preserve">99.95% </w:t>
      </w:r>
      <w:r w:rsidRPr="0039067A">
        <w:rPr>
          <w:rFonts w:ascii="Times New Roman" w:eastAsia="Calibri" w:hAnsi="Times New Roman" w:cs="Times New Roman"/>
          <w:sz w:val="24"/>
          <w:szCs w:val="24"/>
        </w:rPr>
        <w:t xml:space="preserve">par le reclassement de certains comptes (ou rubriques) qui étaient considérés dans le cadre du PCN comme étant une partie des capitaux propres, tandis que, dans le cadre du SCF, ils devaient être reclassés en passifs non courants ; il s’agit particulièrement des subventions d’investissement et des provisions. Cependant, l’impact négatif dû aux autres dispositions du SCF ne représente que - </w:t>
      </w:r>
      <w:r w:rsidRPr="0039067A">
        <w:rPr>
          <w:rFonts w:ascii="Times New Roman" w:eastAsia="Calibri" w:hAnsi="Times New Roman" w:cs="Times New Roman"/>
          <w:szCs w:val="24"/>
        </w:rPr>
        <w:t xml:space="preserve">2.77% </w:t>
      </w:r>
      <w:r w:rsidRPr="0039067A">
        <w:rPr>
          <w:rFonts w:ascii="Times New Roman" w:eastAsia="Calibri" w:hAnsi="Times New Roman" w:cs="Times New Roman"/>
          <w:sz w:val="24"/>
          <w:szCs w:val="24"/>
        </w:rPr>
        <w:t xml:space="preserve">de la variation globale des capitaux propres et qui est presque compensé par un impact positif égal à </w:t>
      </w:r>
      <w:r w:rsidRPr="0039067A">
        <w:rPr>
          <w:rFonts w:ascii="Times New Roman" w:eastAsia="Calibri" w:hAnsi="Times New Roman" w:cs="Times New Roman"/>
          <w:szCs w:val="24"/>
        </w:rPr>
        <w:t xml:space="preserve">2.73% </w:t>
      </w:r>
      <w:r w:rsidRPr="0039067A">
        <w:rPr>
          <w:rFonts w:ascii="Times New Roman" w:eastAsia="Calibri" w:hAnsi="Times New Roman" w:cs="Times New Roman"/>
          <w:sz w:val="24"/>
          <w:szCs w:val="24"/>
        </w:rPr>
        <w:t xml:space="preserve">de la variation globale. </w:t>
      </w:r>
    </w:p>
    <w:p w:rsidR="0039067A" w:rsidRPr="0039067A" w:rsidRDefault="0039067A" w:rsidP="0039067A">
      <w:pPr>
        <w:spacing w:before="60" w:beforeAutospacing="0" w:after="60" w:afterAutospacing="0" w:line="276" w:lineRule="auto"/>
        <w:ind w:firstLine="357"/>
        <w:jc w:val="both"/>
        <w:rPr>
          <w:rFonts w:ascii="Times New Roman" w:eastAsia="Calibri" w:hAnsi="Times New Roman" w:cs="Times New Roman"/>
          <w:sz w:val="24"/>
          <w:szCs w:val="24"/>
        </w:rPr>
      </w:pPr>
      <w:r w:rsidRPr="0039067A">
        <w:rPr>
          <w:rFonts w:ascii="Times New Roman" w:eastAsia="Calibri" w:hAnsi="Times New Roman" w:cs="Times New Roman"/>
          <w:sz w:val="24"/>
          <w:szCs w:val="24"/>
        </w:rPr>
        <w:t>Dès lors, il peut être considéré, selon les résultats obtenus, que la constitution des capitaux propres sous SCF est très différente de celle du PCN. Autrement, les provisions et subventions, qui constituées une partie importante des capitaux propres dans le cadre du PCN, ont été reclassées en passif non courant dans le cadre du SCF, ce qui a conduit à une diminution notable des capitaux propres suite à la transition.</w:t>
      </w:r>
    </w:p>
    <w:p w:rsidR="0039067A" w:rsidRPr="0039067A" w:rsidRDefault="0039067A" w:rsidP="0039067A">
      <w:pPr>
        <w:spacing w:before="60" w:beforeAutospacing="0" w:after="60" w:afterAutospacing="0" w:line="276" w:lineRule="auto"/>
        <w:ind w:firstLine="357"/>
        <w:jc w:val="both"/>
        <w:rPr>
          <w:rFonts w:ascii="Times New Roman" w:eastAsia="Calibri" w:hAnsi="Times New Roman" w:cs="Times New Roman"/>
          <w:color w:val="FF0000"/>
          <w:sz w:val="24"/>
          <w:szCs w:val="24"/>
        </w:rPr>
      </w:pPr>
      <w:r w:rsidRPr="0039067A">
        <w:rPr>
          <w:rFonts w:ascii="Times New Roman" w:eastAsia="Calibri" w:hAnsi="Times New Roman" w:cs="Times New Roman"/>
          <w:sz w:val="24"/>
          <w:szCs w:val="24"/>
        </w:rPr>
        <w:t>Ces résultats ne permettent pas d’apprécier l’impact des autres normes du SCF sur les capitaux propres, vu la forte influence du reclassement sur la valeur des capitaux propres.</w:t>
      </w:r>
    </w:p>
    <w:p w:rsidR="0039067A" w:rsidRPr="0039067A" w:rsidRDefault="0039067A" w:rsidP="0039067A">
      <w:pPr>
        <w:spacing w:before="60" w:beforeAutospacing="0" w:after="60" w:afterAutospacing="0" w:line="276" w:lineRule="auto"/>
        <w:ind w:firstLine="357"/>
        <w:jc w:val="both"/>
        <w:rPr>
          <w:rFonts w:ascii="Times New Roman" w:eastAsia="Calibri" w:hAnsi="Times New Roman" w:cs="Times New Roman"/>
          <w:sz w:val="24"/>
          <w:szCs w:val="24"/>
        </w:rPr>
      </w:pPr>
      <w:r w:rsidRPr="0039067A">
        <w:rPr>
          <w:rFonts w:ascii="Times New Roman" w:eastAsia="Calibri" w:hAnsi="Times New Roman" w:cs="Times New Roman"/>
          <w:sz w:val="24"/>
          <w:szCs w:val="24"/>
        </w:rPr>
        <w:t>En conséquence, nous avons reproduit l’étude en écartant l’impact relatif au reclassement, les résultats sont présentés dans le tableau suivant.</w:t>
      </w:r>
    </w:p>
    <w:p w:rsidR="00550D4B" w:rsidRDefault="00550D4B" w:rsidP="0039067A">
      <w:pPr>
        <w:spacing w:before="60" w:beforeAutospacing="0" w:after="60" w:afterAutospacing="0" w:line="276" w:lineRule="auto"/>
        <w:jc w:val="both"/>
        <w:rPr>
          <w:rFonts w:ascii="Times New Roman" w:eastAsia="Calibri" w:hAnsi="Times New Roman" w:cs="Times New Roman"/>
          <w:b/>
          <w:sz w:val="24"/>
          <w:szCs w:val="24"/>
        </w:rPr>
      </w:pPr>
    </w:p>
    <w:p w:rsidR="00550D4B" w:rsidRDefault="00550D4B" w:rsidP="0039067A">
      <w:pPr>
        <w:spacing w:before="60" w:beforeAutospacing="0" w:after="60" w:afterAutospacing="0" w:line="276" w:lineRule="auto"/>
        <w:jc w:val="both"/>
        <w:rPr>
          <w:rFonts w:ascii="Times New Roman" w:eastAsia="Calibri" w:hAnsi="Times New Roman" w:cs="Times New Roman"/>
          <w:b/>
          <w:sz w:val="24"/>
          <w:szCs w:val="24"/>
        </w:rPr>
      </w:pPr>
    </w:p>
    <w:p w:rsidR="0039067A" w:rsidRPr="0039067A" w:rsidRDefault="0039067A" w:rsidP="0039067A">
      <w:pPr>
        <w:spacing w:before="60" w:beforeAutospacing="0" w:after="60" w:afterAutospacing="0" w:line="276" w:lineRule="auto"/>
        <w:jc w:val="both"/>
        <w:rPr>
          <w:rFonts w:ascii="Times New Roman" w:eastAsia="Calibri" w:hAnsi="Times New Roman" w:cs="Times New Roman"/>
          <w:b/>
          <w:sz w:val="24"/>
          <w:szCs w:val="24"/>
        </w:rPr>
      </w:pPr>
      <w:r w:rsidRPr="0039067A">
        <w:rPr>
          <w:rFonts w:ascii="Times New Roman" w:eastAsia="Calibri" w:hAnsi="Times New Roman" w:cs="Times New Roman"/>
          <w:b/>
          <w:sz w:val="24"/>
          <w:szCs w:val="24"/>
        </w:rPr>
        <w:lastRenderedPageBreak/>
        <w:t>Tableau (8) : Impact global du SCF sur les capitaux propres (hors l’impact du reclassement)</w:t>
      </w:r>
    </w:p>
    <w:tbl>
      <w:tblPr>
        <w:tblW w:w="8100" w:type="dxa"/>
        <w:jc w:val="center"/>
        <w:tblInd w:w="65" w:type="dxa"/>
        <w:tblCellMar>
          <w:left w:w="70" w:type="dxa"/>
          <w:right w:w="70" w:type="dxa"/>
        </w:tblCellMar>
        <w:tblLook w:val="04A0" w:firstRow="1" w:lastRow="0" w:firstColumn="1" w:lastColumn="0" w:noHBand="0" w:noVBand="1"/>
      </w:tblPr>
      <w:tblGrid>
        <w:gridCol w:w="1780"/>
        <w:gridCol w:w="1800"/>
        <w:gridCol w:w="2120"/>
        <w:gridCol w:w="1200"/>
        <w:gridCol w:w="1200"/>
      </w:tblGrid>
      <w:tr w:rsidR="0039067A" w:rsidRPr="0039067A" w:rsidTr="0039067A">
        <w:trPr>
          <w:trHeight w:val="744"/>
          <w:jc w:val="center"/>
        </w:trPr>
        <w:tc>
          <w:tcPr>
            <w:tcW w:w="1780"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39067A" w:rsidRPr="0039067A" w:rsidRDefault="0039067A" w:rsidP="0039067A">
            <w:pPr>
              <w:spacing w:before="0" w:beforeAutospacing="0" w:after="0" w:afterAutospacing="0"/>
              <w:rPr>
                <w:rFonts w:ascii="Calibri" w:eastAsia="Times New Roman" w:hAnsi="Calibri" w:cs="Calibri"/>
                <w:color w:val="000000"/>
                <w:lang w:eastAsia="fr-FR"/>
              </w:rPr>
            </w:pPr>
            <w:r w:rsidRPr="0039067A">
              <w:rPr>
                <w:rFonts w:ascii="Calibri" w:eastAsia="Times New Roman" w:hAnsi="Calibri" w:cs="Calibri"/>
                <w:color w:val="000000"/>
                <w:lang w:eastAsia="fr-FR"/>
              </w:rPr>
              <w:t> </w:t>
            </w:r>
          </w:p>
        </w:tc>
        <w:tc>
          <w:tcPr>
            <w:tcW w:w="1800" w:type="dxa"/>
            <w:tcBorders>
              <w:top w:val="single" w:sz="4" w:space="0" w:color="auto"/>
              <w:left w:val="nil"/>
              <w:bottom w:val="single" w:sz="4" w:space="0" w:color="auto"/>
              <w:right w:val="single" w:sz="4" w:space="0" w:color="auto"/>
            </w:tcBorders>
            <w:shd w:val="clear" w:color="000000" w:fill="auto"/>
            <w:vAlign w:val="center"/>
            <w:hideMark/>
          </w:tcPr>
          <w:p w:rsidR="0039067A" w:rsidRPr="0039067A" w:rsidRDefault="0039067A" w:rsidP="0039067A">
            <w:pPr>
              <w:spacing w:before="0" w:beforeAutospacing="0" w:after="0" w:afterAutospacing="0"/>
              <w:rPr>
                <w:rFonts w:ascii="Times New Roman" w:eastAsia="Times New Roman" w:hAnsi="Times New Roman" w:cs="Times New Roman"/>
                <w:color w:val="000000"/>
                <w:sz w:val="21"/>
                <w:szCs w:val="21"/>
                <w:lang w:eastAsia="fr-FR"/>
              </w:rPr>
            </w:pPr>
            <w:r w:rsidRPr="0039067A">
              <w:rPr>
                <w:rFonts w:ascii="Times New Roman" w:eastAsia="Times New Roman" w:hAnsi="Times New Roman" w:cs="Times New Roman"/>
                <w:color w:val="000000"/>
                <w:sz w:val="21"/>
                <w:szCs w:val="21"/>
                <w:lang w:eastAsia="fr-FR"/>
              </w:rPr>
              <w:t>Capitaux propres PCN</w:t>
            </w:r>
          </w:p>
        </w:tc>
        <w:tc>
          <w:tcPr>
            <w:tcW w:w="2120" w:type="dxa"/>
            <w:tcBorders>
              <w:top w:val="single" w:sz="4" w:space="0" w:color="auto"/>
              <w:left w:val="nil"/>
              <w:bottom w:val="single" w:sz="4" w:space="0" w:color="auto"/>
              <w:right w:val="single" w:sz="4" w:space="0" w:color="auto"/>
            </w:tcBorders>
            <w:shd w:val="clear" w:color="000000" w:fill="auto"/>
            <w:vAlign w:val="center"/>
            <w:hideMark/>
          </w:tcPr>
          <w:p w:rsidR="0039067A" w:rsidRPr="0039067A" w:rsidRDefault="0039067A" w:rsidP="0039067A">
            <w:pPr>
              <w:spacing w:before="0" w:beforeAutospacing="0" w:after="0" w:afterAutospacing="0"/>
              <w:rPr>
                <w:rFonts w:ascii="Times New Roman" w:eastAsia="Times New Roman" w:hAnsi="Times New Roman" w:cs="Times New Roman"/>
                <w:color w:val="000000"/>
                <w:sz w:val="21"/>
                <w:szCs w:val="21"/>
                <w:lang w:eastAsia="fr-FR"/>
              </w:rPr>
            </w:pPr>
            <w:r w:rsidRPr="0039067A">
              <w:rPr>
                <w:rFonts w:ascii="Times New Roman" w:eastAsia="Times New Roman" w:hAnsi="Times New Roman" w:cs="Times New Roman"/>
                <w:color w:val="000000"/>
                <w:sz w:val="21"/>
                <w:szCs w:val="21"/>
                <w:lang w:eastAsia="fr-FR"/>
              </w:rPr>
              <w:t>Capitaux propres SCF (hors impact des comptes reclassés)</w:t>
            </w:r>
          </w:p>
        </w:tc>
        <w:tc>
          <w:tcPr>
            <w:tcW w:w="1200" w:type="dxa"/>
            <w:tcBorders>
              <w:top w:val="single" w:sz="4" w:space="0" w:color="auto"/>
              <w:left w:val="nil"/>
              <w:bottom w:val="single" w:sz="4" w:space="0" w:color="auto"/>
              <w:right w:val="single" w:sz="4" w:space="0" w:color="auto"/>
            </w:tcBorders>
            <w:shd w:val="clear" w:color="000000" w:fill="auto"/>
            <w:vAlign w:val="center"/>
            <w:hideMark/>
          </w:tcPr>
          <w:p w:rsidR="0039067A" w:rsidRPr="0039067A" w:rsidRDefault="0039067A" w:rsidP="0039067A">
            <w:pPr>
              <w:spacing w:before="0" w:beforeAutospacing="0" w:after="0" w:afterAutospacing="0"/>
              <w:rPr>
                <w:rFonts w:ascii="Times New Roman" w:eastAsia="Times New Roman" w:hAnsi="Times New Roman" w:cs="Times New Roman"/>
                <w:color w:val="000000"/>
                <w:sz w:val="21"/>
                <w:szCs w:val="21"/>
                <w:lang w:eastAsia="fr-FR"/>
              </w:rPr>
            </w:pPr>
            <w:r w:rsidRPr="0039067A">
              <w:rPr>
                <w:rFonts w:ascii="Times New Roman" w:eastAsia="Times New Roman" w:hAnsi="Times New Roman" w:cs="Times New Roman"/>
                <w:color w:val="000000"/>
                <w:sz w:val="21"/>
                <w:szCs w:val="21"/>
                <w:lang w:eastAsia="fr-FR"/>
              </w:rPr>
              <w:t>VAR CP</w:t>
            </w:r>
          </w:p>
        </w:tc>
        <w:tc>
          <w:tcPr>
            <w:tcW w:w="1200" w:type="dxa"/>
            <w:tcBorders>
              <w:top w:val="single" w:sz="4" w:space="0" w:color="auto"/>
              <w:left w:val="nil"/>
              <w:bottom w:val="single" w:sz="4" w:space="0" w:color="auto"/>
              <w:right w:val="single" w:sz="4" w:space="0" w:color="auto"/>
            </w:tcBorders>
            <w:shd w:val="clear" w:color="000000" w:fill="auto"/>
            <w:vAlign w:val="center"/>
            <w:hideMark/>
          </w:tcPr>
          <w:p w:rsidR="0039067A" w:rsidRPr="0039067A" w:rsidRDefault="0039067A" w:rsidP="0039067A">
            <w:pPr>
              <w:spacing w:before="0" w:beforeAutospacing="0" w:after="0" w:afterAutospacing="0"/>
              <w:rPr>
                <w:rFonts w:ascii="Times New Roman" w:eastAsia="Times New Roman" w:hAnsi="Times New Roman" w:cs="Times New Roman"/>
                <w:color w:val="000000"/>
                <w:sz w:val="21"/>
                <w:szCs w:val="21"/>
                <w:lang w:eastAsia="fr-FR"/>
              </w:rPr>
            </w:pPr>
            <w:r w:rsidRPr="0039067A">
              <w:rPr>
                <w:rFonts w:ascii="Times New Roman" w:eastAsia="Times New Roman" w:hAnsi="Times New Roman" w:cs="Times New Roman"/>
                <w:color w:val="000000"/>
                <w:sz w:val="21"/>
                <w:szCs w:val="21"/>
                <w:lang w:eastAsia="fr-FR"/>
              </w:rPr>
              <w:t>VAR REL CP</w:t>
            </w:r>
          </w:p>
        </w:tc>
      </w:tr>
      <w:tr w:rsidR="0039067A" w:rsidRPr="0039067A" w:rsidTr="0039067A">
        <w:trPr>
          <w:trHeight w:val="315"/>
          <w:jc w:val="center"/>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jc w:val="left"/>
              <w:rPr>
                <w:rFonts w:ascii="TimesNewRoman" w:eastAsia="Times New Roman" w:hAnsi="TimesNewRoman" w:cs="Calibri"/>
                <w:color w:val="000000"/>
                <w:szCs w:val="24"/>
                <w:lang w:eastAsia="fr-FR"/>
              </w:rPr>
            </w:pPr>
            <w:r w:rsidRPr="0039067A">
              <w:rPr>
                <w:rFonts w:ascii="TimesNewRoman" w:eastAsia="Times New Roman" w:hAnsi="TimesNewRoman" w:cs="Calibri"/>
                <w:color w:val="000000"/>
                <w:szCs w:val="24"/>
                <w:lang w:eastAsia="fr-FR"/>
              </w:rPr>
              <w:t xml:space="preserve">Moyenne </w:t>
            </w:r>
          </w:p>
        </w:tc>
        <w:tc>
          <w:tcPr>
            <w:tcW w:w="1800" w:type="dxa"/>
            <w:tcBorders>
              <w:top w:val="nil"/>
              <w:left w:val="nil"/>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rPr>
                <w:rFonts w:ascii="Calibri" w:eastAsia="Times New Roman" w:hAnsi="Calibri" w:cs="Times New Roman"/>
                <w:color w:val="000000"/>
                <w:lang w:eastAsia="fr-FR"/>
              </w:rPr>
            </w:pPr>
            <w:r w:rsidRPr="0039067A">
              <w:rPr>
                <w:rFonts w:ascii="Calibri" w:eastAsia="Times New Roman" w:hAnsi="Calibri" w:cs="Times New Roman"/>
                <w:color w:val="000000"/>
                <w:lang w:eastAsia="fr-FR"/>
              </w:rPr>
              <w:t>26 812,28</w:t>
            </w:r>
          </w:p>
        </w:tc>
        <w:tc>
          <w:tcPr>
            <w:tcW w:w="2120" w:type="dxa"/>
            <w:tcBorders>
              <w:top w:val="nil"/>
              <w:left w:val="nil"/>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rPr>
                <w:rFonts w:ascii="Calibri" w:eastAsia="Times New Roman" w:hAnsi="Calibri" w:cs="Times New Roman"/>
                <w:color w:val="000000"/>
                <w:lang w:eastAsia="fr-FR"/>
              </w:rPr>
            </w:pPr>
            <w:r w:rsidRPr="0039067A">
              <w:rPr>
                <w:rFonts w:ascii="Calibri" w:eastAsia="Times New Roman" w:hAnsi="Calibri" w:cs="Times New Roman"/>
                <w:color w:val="000000"/>
                <w:lang w:eastAsia="fr-FR"/>
              </w:rPr>
              <w:t>27 102,70</w:t>
            </w:r>
          </w:p>
        </w:tc>
        <w:tc>
          <w:tcPr>
            <w:tcW w:w="1200" w:type="dxa"/>
            <w:tcBorders>
              <w:top w:val="nil"/>
              <w:left w:val="nil"/>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rPr>
                <w:rFonts w:ascii="Calibri" w:eastAsia="Times New Roman" w:hAnsi="Calibri" w:cs="Times New Roman"/>
                <w:color w:val="000000"/>
                <w:lang w:eastAsia="fr-FR"/>
              </w:rPr>
            </w:pPr>
            <w:r w:rsidRPr="0039067A">
              <w:rPr>
                <w:rFonts w:ascii="Calibri" w:eastAsia="Times New Roman" w:hAnsi="Calibri" w:cs="Times New Roman"/>
                <w:color w:val="000000"/>
                <w:lang w:eastAsia="fr-FR"/>
              </w:rPr>
              <w:t>290,42</w:t>
            </w:r>
          </w:p>
        </w:tc>
        <w:tc>
          <w:tcPr>
            <w:tcW w:w="1200" w:type="dxa"/>
            <w:tcBorders>
              <w:top w:val="nil"/>
              <w:left w:val="nil"/>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rPr>
                <w:rFonts w:ascii="Calibri" w:eastAsia="Times New Roman" w:hAnsi="Calibri" w:cs="Times New Roman"/>
                <w:color w:val="000000"/>
                <w:lang w:eastAsia="fr-FR"/>
              </w:rPr>
            </w:pPr>
            <w:r w:rsidRPr="0039067A">
              <w:rPr>
                <w:rFonts w:ascii="Calibri" w:eastAsia="Times New Roman" w:hAnsi="Calibri" w:cs="Times New Roman"/>
                <w:color w:val="000000"/>
                <w:lang w:eastAsia="fr-FR"/>
              </w:rPr>
              <w:t>28%</w:t>
            </w:r>
          </w:p>
        </w:tc>
      </w:tr>
      <w:tr w:rsidR="0039067A" w:rsidRPr="0039067A" w:rsidTr="0039067A">
        <w:trPr>
          <w:trHeight w:val="315"/>
          <w:jc w:val="center"/>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jc w:val="left"/>
              <w:rPr>
                <w:rFonts w:ascii="TimesNewRoman" w:eastAsia="Times New Roman" w:hAnsi="TimesNewRoman" w:cs="Calibri"/>
                <w:color w:val="000000"/>
                <w:szCs w:val="24"/>
                <w:lang w:eastAsia="fr-FR"/>
              </w:rPr>
            </w:pPr>
            <w:r w:rsidRPr="0039067A">
              <w:rPr>
                <w:rFonts w:ascii="TimesNewRoman" w:eastAsia="Times New Roman" w:hAnsi="TimesNewRoman" w:cs="Calibri"/>
                <w:color w:val="000000"/>
                <w:szCs w:val="24"/>
                <w:lang w:eastAsia="fr-FR"/>
              </w:rPr>
              <w:t xml:space="preserve">Médiane </w:t>
            </w:r>
          </w:p>
        </w:tc>
        <w:tc>
          <w:tcPr>
            <w:tcW w:w="1800" w:type="dxa"/>
            <w:tcBorders>
              <w:top w:val="nil"/>
              <w:left w:val="nil"/>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rPr>
                <w:rFonts w:ascii="Calibri" w:eastAsia="Times New Roman" w:hAnsi="Calibri" w:cs="Times New Roman"/>
                <w:color w:val="000000"/>
                <w:lang w:eastAsia="fr-FR"/>
              </w:rPr>
            </w:pPr>
            <w:r w:rsidRPr="0039067A">
              <w:rPr>
                <w:rFonts w:ascii="Calibri" w:eastAsia="Times New Roman" w:hAnsi="Calibri" w:cs="Times New Roman"/>
                <w:color w:val="000000"/>
                <w:lang w:eastAsia="fr-FR"/>
              </w:rPr>
              <w:t>1 914,03</w:t>
            </w:r>
          </w:p>
        </w:tc>
        <w:tc>
          <w:tcPr>
            <w:tcW w:w="2120" w:type="dxa"/>
            <w:tcBorders>
              <w:top w:val="nil"/>
              <w:left w:val="nil"/>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rPr>
                <w:rFonts w:ascii="Calibri" w:eastAsia="Times New Roman" w:hAnsi="Calibri" w:cs="Times New Roman"/>
                <w:color w:val="000000"/>
                <w:lang w:eastAsia="fr-FR"/>
              </w:rPr>
            </w:pPr>
            <w:r w:rsidRPr="0039067A">
              <w:rPr>
                <w:rFonts w:ascii="Calibri" w:eastAsia="Times New Roman" w:hAnsi="Calibri" w:cs="Times New Roman"/>
                <w:color w:val="000000"/>
                <w:lang w:eastAsia="fr-FR"/>
              </w:rPr>
              <w:t>2 046,61</w:t>
            </w:r>
          </w:p>
        </w:tc>
        <w:tc>
          <w:tcPr>
            <w:tcW w:w="1200" w:type="dxa"/>
            <w:tcBorders>
              <w:top w:val="nil"/>
              <w:left w:val="nil"/>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rPr>
                <w:rFonts w:ascii="Calibri" w:eastAsia="Times New Roman" w:hAnsi="Calibri" w:cs="Times New Roman"/>
                <w:color w:val="000000"/>
                <w:lang w:eastAsia="fr-FR"/>
              </w:rPr>
            </w:pPr>
            <w:r w:rsidRPr="0039067A">
              <w:rPr>
                <w:rFonts w:ascii="Calibri" w:eastAsia="Times New Roman" w:hAnsi="Calibri" w:cs="Times New Roman"/>
                <w:color w:val="000000"/>
                <w:lang w:eastAsia="fr-FR"/>
              </w:rPr>
              <w:t>142,69</w:t>
            </w:r>
          </w:p>
        </w:tc>
        <w:tc>
          <w:tcPr>
            <w:tcW w:w="1200" w:type="dxa"/>
            <w:tcBorders>
              <w:top w:val="nil"/>
              <w:left w:val="nil"/>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rPr>
                <w:rFonts w:ascii="Calibri" w:eastAsia="Times New Roman" w:hAnsi="Calibri" w:cs="Times New Roman"/>
                <w:color w:val="000000"/>
                <w:lang w:eastAsia="fr-FR"/>
              </w:rPr>
            </w:pPr>
            <w:r w:rsidRPr="0039067A">
              <w:rPr>
                <w:rFonts w:ascii="Calibri" w:eastAsia="Times New Roman" w:hAnsi="Calibri" w:cs="Times New Roman"/>
                <w:color w:val="000000"/>
                <w:lang w:eastAsia="fr-FR"/>
              </w:rPr>
              <w:t>21%</w:t>
            </w:r>
          </w:p>
        </w:tc>
      </w:tr>
      <w:tr w:rsidR="0039067A" w:rsidRPr="0039067A" w:rsidTr="0039067A">
        <w:trPr>
          <w:trHeight w:val="315"/>
          <w:jc w:val="center"/>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jc w:val="left"/>
              <w:rPr>
                <w:rFonts w:ascii="TimesNewRoman" w:eastAsia="Times New Roman" w:hAnsi="TimesNewRoman" w:cs="Calibri"/>
                <w:color w:val="000000"/>
                <w:szCs w:val="24"/>
                <w:lang w:eastAsia="fr-FR"/>
              </w:rPr>
            </w:pPr>
            <w:r w:rsidRPr="0039067A">
              <w:rPr>
                <w:rFonts w:ascii="TimesNewRoman" w:eastAsia="Times New Roman" w:hAnsi="TimesNewRoman" w:cs="Calibri"/>
                <w:color w:val="000000"/>
                <w:szCs w:val="24"/>
                <w:lang w:eastAsia="fr-FR"/>
              </w:rPr>
              <w:t xml:space="preserve">Ecart-type (n) </w:t>
            </w:r>
          </w:p>
        </w:tc>
        <w:tc>
          <w:tcPr>
            <w:tcW w:w="1800" w:type="dxa"/>
            <w:tcBorders>
              <w:top w:val="nil"/>
              <w:left w:val="nil"/>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rPr>
                <w:rFonts w:ascii="Calibri" w:eastAsia="Times New Roman" w:hAnsi="Calibri" w:cs="Times New Roman"/>
                <w:color w:val="000000"/>
                <w:lang w:eastAsia="fr-FR"/>
              </w:rPr>
            </w:pPr>
            <w:r w:rsidRPr="0039067A">
              <w:rPr>
                <w:rFonts w:ascii="Calibri" w:eastAsia="Times New Roman" w:hAnsi="Calibri" w:cs="Times New Roman"/>
                <w:color w:val="000000"/>
                <w:lang w:eastAsia="fr-FR"/>
              </w:rPr>
              <w:t>67 077,05</w:t>
            </w:r>
          </w:p>
        </w:tc>
        <w:tc>
          <w:tcPr>
            <w:tcW w:w="2120" w:type="dxa"/>
            <w:tcBorders>
              <w:top w:val="nil"/>
              <w:left w:val="nil"/>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rPr>
                <w:rFonts w:ascii="Calibri" w:eastAsia="Times New Roman" w:hAnsi="Calibri" w:cs="Times New Roman"/>
                <w:color w:val="000000"/>
                <w:lang w:eastAsia="fr-FR"/>
              </w:rPr>
            </w:pPr>
            <w:r w:rsidRPr="0039067A">
              <w:rPr>
                <w:rFonts w:ascii="Calibri" w:eastAsia="Times New Roman" w:hAnsi="Calibri" w:cs="Times New Roman"/>
                <w:color w:val="000000"/>
                <w:lang w:eastAsia="fr-FR"/>
              </w:rPr>
              <w:t>67 353,33</w:t>
            </w:r>
          </w:p>
        </w:tc>
        <w:tc>
          <w:tcPr>
            <w:tcW w:w="1200" w:type="dxa"/>
            <w:tcBorders>
              <w:top w:val="nil"/>
              <w:left w:val="nil"/>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rPr>
                <w:rFonts w:ascii="Calibri" w:eastAsia="Times New Roman" w:hAnsi="Calibri" w:cs="Times New Roman"/>
                <w:color w:val="000000"/>
                <w:lang w:eastAsia="fr-FR"/>
              </w:rPr>
            </w:pPr>
            <w:r w:rsidRPr="0039067A">
              <w:rPr>
                <w:rFonts w:ascii="Calibri" w:eastAsia="Times New Roman" w:hAnsi="Calibri" w:cs="Times New Roman"/>
                <w:color w:val="000000"/>
                <w:lang w:eastAsia="fr-FR"/>
              </w:rPr>
              <w:t>1 630,13</w:t>
            </w:r>
          </w:p>
        </w:tc>
        <w:tc>
          <w:tcPr>
            <w:tcW w:w="1200" w:type="dxa"/>
            <w:tcBorders>
              <w:top w:val="nil"/>
              <w:left w:val="nil"/>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rPr>
                <w:rFonts w:ascii="Calibri" w:eastAsia="Times New Roman" w:hAnsi="Calibri" w:cs="Times New Roman"/>
                <w:color w:val="000000"/>
                <w:lang w:eastAsia="fr-FR"/>
              </w:rPr>
            </w:pPr>
            <w:r w:rsidRPr="0039067A">
              <w:rPr>
                <w:rFonts w:ascii="Calibri" w:eastAsia="Times New Roman" w:hAnsi="Calibri" w:cs="Times New Roman"/>
                <w:color w:val="000000"/>
                <w:lang w:eastAsia="fr-FR"/>
              </w:rPr>
              <w:t>35%</w:t>
            </w:r>
          </w:p>
        </w:tc>
      </w:tr>
      <w:tr w:rsidR="0039067A" w:rsidRPr="0039067A" w:rsidTr="0039067A">
        <w:trPr>
          <w:trHeight w:val="315"/>
          <w:jc w:val="center"/>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jc w:val="left"/>
              <w:rPr>
                <w:rFonts w:ascii="TimesNewRoman" w:eastAsia="Times New Roman" w:hAnsi="TimesNewRoman" w:cs="Calibri"/>
                <w:color w:val="000000"/>
                <w:szCs w:val="24"/>
                <w:lang w:eastAsia="fr-FR"/>
              </w:rPr>
            </w:pPr>
            <w:r w:rsidRPr="0039067A">
              <w:rPr>
                <w:rFonts w:ascii="TimesNewRoman" w:eastAsia="Times New Roman" w:hAnsi="TimesNewRoman" w:cs="Calibri"/>
                <w:color w:val="000000"/>
                <w:szCs w:val="24"/>
                <w:lang w:eastAsia="fr-FR"/>
              </w:rPr>
              <w:t xml:space="preserve">Minimum </w:t>
            </w:r>
          </w:p>
        </w:tc>
        <w:tc>
          <w:tcPr>
            <w:tcW w:w="1800" w:type="dxa"/>
            <w:tcBorders>
              <w:top w:val="nil"/>
              <w:left w:val="nil"/>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rPr>
                <w:rFonts w:ascii="Calibri" w:eastAsia="Times New Roman" w:hAnsi="Calibri" w:cs="Times New Roman"/>
                <w:color w:val="000000"/>
                <w:lang w:eastAsia="fr-FR"/>
              </w:rPr>
            </w:pPr>
            <w:r w:rsidRPr="0039067A">
              <w:rPr>
                <w:rFonts w:ascii="Calibri" w:eastAsia="Times New Roman" w:hAnsi="Calibri" w:cs="Times New Roman"/>
                <w:color w:val="000000"/>
                <w:lang w:eastAsia="fr-FR"/>
              </w:rPr>
              <w:t>42,63</w:t>
            </w:r>
          </w:p>
        </w:tc>
        <w:tc>
          <w:tcPr>
            <w:tcW w:w="2120" w:type="dxa"/>
            <w:tcBorders>
              <w:top w:val="nil"/>
              <w:left w:val="nil"/>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rPr>
                <w:rFonts w:ascii="Calibri" w:eastAsia="Times New Roman" w:hAnsi="Calibri" w:cs="Times New Roman"/>
                <w:color w:val="000000"/>
                <w:lang w:eastAsia="fr-FR"/>
              </w:rPr>
            </w:pPr>
            <w:r w:rsidRPr="0039067A">
              <w:rPr>
                <w:rFonts w:ascii="Calibri" w:eastAsia="Times New Roman" w:hAnsi="Calibri" w:cs="Times New Roman"/>
                <w:color w:val="000000"/>
                <w:lang w:eastAsia="fr-FR"/>
              </w:rPr>
              <w:t>42,63</w:t>
            </w:r>
          </w:p>
        </w:tc>
        <w:tc>
          <w:tcPr>
            <w:tcW w:w="1200" w:type="dxa"/>
            <w:tcBorders>
              <w:top w:val="nil"/>
              <w:left w:val="nil"/>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rPr>
                <w:rFonts w:ascii="Calibri" w:eastAsia="Times New Roman" w:hAnsi="Calibri" w:cs="Times New Roman"/>
                <w:color w:val="000000"/>
                <w:lang w:eastAsia="fr-FR"/>
              </w:rPr>
            </w:pPr>
            <w:r w:rsidRPr="0039067A">
              <w:rPr>
                <w:rFonts w:ascii="Calibri" w:eastAsia="Times New Roman" w:hAnsi="Calibri" w:cs="Times New Roman"/>
                <w:color w:val="000000"/>
                <w:lang w:eastAsia="fr-FR"/>
              </w:rPr>
              <w:t>-4 150,21</w:t>
            </w:r>
          </w:p>
        </w:tc>
        <w:tc>
          <w:tcPr>
            <w:tcW w:w="1200" w:type="dxa"/>
            <w:tcBorders>
              <w:top w:val="nil"/>
              <w:left w:val="nil"/>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rPr>
                <w:rFonts w:ascii="Calibri" w:eastAsia="Times New Roman" w:hAnsi="Calibri" w:cs="Times New Roman"/>
                <w:color w:val="000000"/>
                <w:lang w:eastAsia="fr-FR"/>
              </w:rPr>
            </w:pPr>
            <w:r w:rsidRPr="0039067A">
              <w:rPr>
                <w:rFonts w:ascii="Calibri" w:eastAsia="Times New Roman" w:hAnsi="Calibri" w:cs="Times New Roman"/>
                <w:color w:val="000000"/>
                <w:lang w:eastAsia="fr-FR"/>
              </w:rPr>
              <w:t>-9%</w:t>
            </w:r>
          </w:p>
        </w:tc>
      </w:tr>
      <w:tr w:rsidR="0039067A" w:rsidRPr="0039067A" w:rsidTr="0039067A">
        <w:trPr>
          <w:trHeight w:val="315"/>
          <w:jc w:val="center"/>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jc w:val="left"/>
              <w:rPr>
                <w:rFonts w:ascii="TimesNewRoman" w:eastAsia="Times New Roman" w:hAnsi="TimesNewRoman" w:cs="Calibri"/>
                <w:color w:val="000000"/>
                <w:szCs w:val="24"/>
                <w:lang w:eastAsia="fr-FR"/>
              </w:rPr>
            </w:pPr>
            <w:r w:rsidRPr="0039067A">
              <w:rPr>
                <w:rFonts w:ascii="TimesNewRoman" w:eastAsia="Times New Roman" w:hAnsi="TimesNewRoman" w:cs="Calibri"/>
                <w:color w:val="000000"/>
                <w:szCs w:val="24"/>
                <w:lang w:eastAsia="fr-FR"/>
              </w:rPr>
              <w:t xml:space="preserve">Maximum </w:t>
            </w:r>
          </w:p>
        </w:tc>
        <w:tc>
          <w:tcPr>
            <w:tcW w:w="1800" w:type="dxa"/>
            <w:tcBorders>
              <w:top w:val="nil"/>
              <w:left w:val="nil"/>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rPr>
                <w:rFonts w:ascii="Calibri" w:eastAsia="Times New Roman" w:hAnsi="Calibri" w:cs="Times New Roman"/>
                <w:color w:val="000000"/>
                <w:lang w:eastAsia="fr-FR"/>
              </w:rPr>
            </w:pPr>
            <w:r w:rsidRPr="0039067A">
              <w:rPr>
                <w:rFonts w:ascii="Calibri" w:eastAsia="Times New Roman" w:hAnsi="Calibri" w:cs="Times New Roman"/>
                <w:color w:val="000000"/>
                <w:lang w:eastAsia="fr-FR"/>
              </w:rPr>
              <w:t>374 345,82</w:t>
            </w:r>
          </w:p>
        </w:tc>
        <w:tc>
          <w:tcPr>
            <w:tcW w:w="2120" w:type="dxa"/>
            <w:tcBorders>
              <w:top w:val="nil"/>
              <w:left w:val="nil"/>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rPr>
                <w:rFonts w:ascii="Calibri" w:eastAsia="Times New Roman" w:hAnsi="Calibri" w:cs="Times New Roman"/>
                <w:color w:val="000000"/>
                <w:lang w:eastAsia="fr-FR"/>
              </w:rPr>
            </w:pPr>
            <w:r w:rsidRPr="0039067A">
              <w:rPr>
                <w:rFonts w:ascii="Calibri" w:eastAsia="Times New Roman" w:hAnsi="Calibri" w:cs="Times New Roman"/>
                <w:color w:val="000000"/>
                <w:lang w:eastAsia="fr-FR"/>
              </w:rPr>
              <w:t>376 223,34</w:t>
            </w:r>
          </w:p>
        </w:tc>
        <w:tc>
          <w:tcPr>
            <w:tcW w:w="1200" w:type="dxa"/>
            <w:tcBorders>
              <w:top w:val="nil"/>
              <w:left w:val="nil"/>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rPr>
                <w:rFonts w:ascii="Calibri" w:eastAsia="Times New Roman" w:hAnsi="Calibri" w:cs="Times New Roman"/>
                <w:color w:val="000000"/>
                <w:lang w:eastAsia="fr-FR"/>
              </w:rPr>
            </w:pPr>
            <w:r w:rsidRPr="0039067A">
              <w:rPr>
                <w:rFonts w:ascii="Calibri" w:eastAsia="Times New Roman" w:hAnsi="Calibri" w:cs="Times New Roman"/>
                <w:color w:val="000000"/>
                <w:lang w:eastAsia="fr-FR"/>
              </w:rPr>
              <w:t>6 856,50</w:t>
            </w:r>
          </w:p>
        </w:tc>
        <w:tc>
          <w:tcPr>
            <w:tcW w:w="1200" w:type="dxa"/>
            <w:tcBorders>
              <w:top w:val="nil"/>
              <w:left w:val="nil"/>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rPr>
                <w:rFonts w:ascii="Calibri" w:eastAsia="Times New Roman" w:hAnsi="Calibri" w:cs="Times New Roman"/>
                <w:color w:val="000000"/>
                <w:lang w:eastAsia="fr-FR"/>
              </w:rPr>
            </w:pPr>
            <w:r w:rsidRPr="0039067A">
              <w:rPr>
                <w:rFonts w:ascii="Calibri" w:eastAsia="Times New Roman" w:hAnsi="Calibri" w:cs="Times New Roman"/>
                <w:color w:val="000000"/>
                <w:lang w:eastAsia="fr-FR"/>
              </w:rPr>
              <w:t>140%</w:t>
            </w:r>
          </w:p>
        </w:tc>
      </w:tr>
      <w:tr w:rsidR="0039067A" w:rsidRPr="0039067A" w:rsidTr="0039067A">
        <w:trPr>
          <w:trHeight w:val="315"/>
          <w:jc w:val="center"/>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jc w:val="left"/>
              <w:rPr>
                <w:rFonts w:ascii="TimesNewRoman" w:eastAsia="Times New Roman" w:hAnsi="TimesNewRoman" w:cs="Calibri"/>
                <w:color w:val="000000"/>
                <w:szCs w:val="24"/>
                <w:lang w:eastAsia="fr-FR"/>
              </w:rPr>
            </w:pPr>
            <w:r w:rsidRPr="0039067A">
              <w:rPr>
                <w:rFonts w:ascii="TimesNewRoman" w:eastAsia="Times New Roman" w:hAnsi="TimesNewRoman" w:cs="Calibri"/>
                <w:color w:val="000000"/>
                <w:szCs w:val="24"/>
                <w:lang w:eastAsia="fr-FR"/>
              </w:rPr>
              <w:t xml:space="preserve">1er Quartile </w:t>
            </w:r>
          </w:p>
        </w:tc>
        <w:tc>
          <w:tcPr>
            <w:tcW w:w="1800" w:type="dxa"/>
            <w:tcBorders>
              <w:top w:val="nil"/>
              <w:left w:val="nil"/>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rPr>
                <w:rFonts w:ascii="Calibri" w:eastAsia="Times New Roman" w:hAnsi="Calibri" w:cs="Times New Roman"/>
                <w:color w:val="000000"/>
                <w:lang w:eastAsia="fr-FR"/>
              </w:rPr>
            </w:pPr>
            <w:r w:rsidRPr="0039067A">
              <w:rPr>
                <w:rFonts w:ascii="Calibri" w:eastAsia="Times New Roman" w:hAnsi="Calibri" w:cs="Times New Roman"/>
                <w:color w:val="000000"/>
                <w:lang w:eastAsia="fr-FR"/>
              </w:rPr>
              <w:t>399,68</w:t>
            </w:r>
          </w:p>
        </w:tc>
        <w:tc>
          <w:tcPr>
            <w:tcW w:w="2120" w:type="dxa"/>
            <w:tcBorders>
              <w:top w:val="nil"/>
              <w:left w:val="nil"/>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rPr>
                <w:rFonts w:ascii="Calibri" w:eastAsia="Times New Roman" w:hAnsi="Calibri" w:cs="Times New Roman"/>
                <w:color w:val="000000"/>
                <w:lang w:eastAsia="fr-FR"/>
              </w:rPr>
            </w:pPr>
            <w:r w:rsidRPr="0039067A">
              <w:rPr>
                <w:rFonts w:ascii="Calibri" w:eastAsia="Times New Roman" w:hAnsi="Calibri" w:cs="Times New Roman"/>
                <w:color w:val="000000"/>
                <w:lang w:eastAsia="fr-FR"/>
              </w:rPr>
              <w:t>623,38</w:t>
            </w:r>
          </w:p>
        </w:tc>
        <w:tc>
          <w:tcPr>
            <w:tcW w:w="1200" w:type="dxa"/>
            <w:tcBorders>
              <w:top w:val="nil"/>
              <w:left w:val="nil"/>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rPr>
                <w:rFonts w:ascii="Calibri" w:eastAsia="Times New Roman" w:hAnsi="Calibri" w:cs="Times New Roman"/>
                <w:color w:val="000000"/>
                <w:lang w:eastAsia="fr-FR"/>
              </w:rPr>
            </w:pPr>
            <w:r w:rsidRPr="0039067A">
              <w:rPr>
                <w:rFonts w:ascii="Calibri" w:eastAsia="Times New Roman" w:hAnsi="Calibri" w:cs="Times New Roman"/>
                <w:color w:val="000000"/>
                <w:lang w:eastAsia="fr-FR"/>
              </w:rPr>
              <w:t>18,95</w:t>
            </w:r>
          </w:p>
        </w:tc>
        <w:tc>
          <w:tcPr>
            <w:tcW w:w="1200" w:type="dxa"/>
            <w:tcBorders>
              <w:top w:val="nil"/>
              <w:left w:val="nil"/>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rPr>
                <w:rFonts w:ascii="Calibri" w:eastAsia="Times New Roman" w:hAnsi="Calibri" w:cs="Times New Roman"/>
                <w:color w:val="000000"/>
                <w:lang w:eastAsia="fr-FR"/>
              </w:rPr>
            </w:pPr>
            <w:r w:rsidRPr="0039067A">
              <w:rPr>
                <w:rFonts w:ascii="Calibri" w:eastAsia="Times New Roman" w:hAnsi="Calibri" w:cs="Times New Roman"/>
                <w:color w:val="000000"/>
                <w:lang w:eastAsia="fr-FR"/>
              </w:rPr>
              <w:t>0%</w:t>
            </w:r>
          </w:p>
        </w:tc>
      </w:tr>
      <w:tr w:rsidR="0039067A" w:rsidRPr="0039067A" w:rsidTr="0039067A">
        <w:trPr>
          <w:trHeight w:val="315"/>
          <w:jc w:val="center"/>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jc w:val="left"/>
              <w:rPr>
                <w:rFonts w:ascii="TimesNewRoman" w:eastAsia="Times New Roman" w:hAnsi="TimesNewRoman" w:cs="Calibri"/>
                <w:color w:val="000000"/>
                <w:szCs w:val="24"/>
                <w:lang w:eastAsia="fr-FR"/>
              </w:rPr>
            </w:pPr>
            <w:r w:rsidRPr="0039067A">
              <w:rPr>
                <w:rFonts w:ascii="TimesNewRoman" w:eastAsia="Times New Roman" w:hAnsi="TimesNewRoman" w:cs="Calibri"/>
                <w:color w:val="000000"/>
                <w:szCs w:val="24"/>
                <w:lang w:eastAsia="fr-FR"/>
              </w:rPr>
              <w:t>3ème Quartile</w:t>
            </w:r>
          </w:p>
        </w:tc>
        <w:tc>
          <w:tcPr>
            <w:tcW w:w="1800" w:type="dxa"/>
            <w:tcBorders>
              <w:top w:val="nil"/>
              <w:left w:val="nil"/>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rPr>
                <w:rFonts w:ascii="Calibri" w:eastAsia="Times New Roman" w:hAnsi="Calibri" w:cs="Times New Roman"/>
                <w:color w:val="000000"/>
                <w:lang w:eastAsia="fr-FR"/>
              </w:rPr>
            </w:pPr>
            <w:r w:rsidRPr="0039067A">
              <w:rPr>
                <w:rFonts w:ascii="Calibri" w:eastAsia="Times New Roman" w:hAnsi="Calibri" w:cs="Times New Roman"/>
                <w:color w:val="000000"/>
                <w:lang w:eastAsia="fr-FR"/>
              </w:rPr>
              <w:t>24 414,79</w:t>
            </w:r>
          </w:p>
        </w:tc>
        <w:tc>
          <w:tcPr>
            <w:tcW w:w="2120" w:type="dxa"/>
            <w:tcBorders>
              <w:top w:val="nil"/>
              <w:left w:val="nil"/>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rPr>
                <w:rFonts w:ascii="Calibri" w:eastAsia="Times New Roman" w:hAnsi="Calibri" w:cs="Times New Roman"/>
                <w:color w:val="000000"/>
                <w:lang w:eastAsia="fr-FR"/>
              </w:rPr>
            </w:pPr>
            <w:r w:rsidRPr="0039067A">
              <w:rPr>
                <w:rFonts w:ascii="Calibri" w:eastAsia="Times New Roman" w:hAnsi="Calibri" w:cs="Times New Roman"/>
                <w:color w:val="000000"/>
                <w:lang w:eastAsia="fr-FR"/>
              </w:rPr>
              <w:t>23 897,85</w:t>
            </w:r>
          </w:p>
        </w:tc>
        <w:tc>
          <w:tcPr>
            <w:tcW w:w="1200" w:type="dxa"/>
            <w:tcBorders>
              <w:top w:val="nil"/>
              <w:left w:val="nil"/>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rPr>
                <w:rFonts w:ascii="Calibri" w:eastAsia="Times New Roman" w:hAnsi="Calibri" w:cs="Times New Roman"/>
                <w:color w:val="000000"/>
                <w:lang w:eastAsia="fr-FR"/>
              </w:rPr>
            </w:pPr>
            <w:r w:rsidRPr="0039067A">
              <w:rPr>
                <w:rFonts w:ascii="Calibri" w:eastAsia="Times New Roman" w:hAnsi="Calibri" w:cs="Times New Roman"/>
                <w:color w:val="000000"/>
                <w:lang w:eastAsia="fr-FR"/>
              </w:rPr>
              <w:t>604,47</w:t>
            </w:r>
          </w:p>
        </w:tc>
        <w:tc>
          <w:tcPr>
            <w:tcW w:w="1200" w:type="dxa"/>
            <w:tcBorders>
              <w:top w:val="nil"/>
              <w:left w:val="nil"/>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rPr>
                <w:rFonts w:ascii="Calibri" w:eastAsia="Times New Roman" w:hAnsi="Calibri" w:cs="Times New Roman"/>
                <w:color w:val="000000"/>
                <w:lang w:eastAsia="fr-FR"/>
              </w:rPr>
            </w:pPr>
            <w:r w:rsidRPr="0039067A">
              <w:rPr>
                <w:rFonts w:ascii="Calibri" w:eastAsia="Times New Roman" w:hAnsi="Calibri" w:cs="Times New Roman"/>
                <w:color w:val="000000"/>
                <w:lang w:eastAsia="fr-FR"/>
              </w:rPr>
              <w:t>46%</w:t>
            </w:r>
          </w:p>
        </w:tc>
      </w:tr>
    </w:tbl>
    <w:p w:rsidR="0039067A" w:rsidRPr="0039067A" w:rsidRDefault="0039067A" w:rsidP="0039067A">
      <w:pPr>
        <w:spacing w:before="120" w:beforeAutospacing="0" w:after="120" w:afterAutospacing="0" w:line="276" w:lineRule="auto"/>
        <w:jc w:val="both"/>
        <w:rPr>
          <w:rFonts w:ascii="Times New Roman" w:eastAsia="Calibri" w:hAnsi="Times New Roman" w:cs="Times New Roman"/>
          <w:sz w:val="24"/>
          <w:szCs w:val="24"/>
        </w:rPr>
      </w:pPr>
      <w:r w:rsidRPr="0039067A">
        <w:rPr>
          <w:rFonts w:ascii="Times New Roman" w:eastAsia="Calibri" w:hAnsi="Times New Roman" w:cs="Times New Roman"/>
          <w:i/>
          <w:szCs w:val="24"/>
        </w:rPr>
        <w:t>Sources : établis sur la base des données financières des sociétés de l’échantillon</w:t>
      </w:r>
    </w:p>
    <w:p w:rsidR="0039067A" w:rsidRPr="0039067A" w:rsidRDefault="0039067A" w:rsidP="0039067A">
      <w:pPr>
        <w:spacing w:before="0" w:beforeAutospacing="0" w:after="60" w:afterAutospacing="0" w:line="276" w:lineRule="auto"/>
        <w:ind w:firstLine="357"/>
        <w:jc w:val="both"/>
        <w:rPr>
          <w:rFonts w:ascii="Times New Roman" w:eastAsia="Calibri" w:hAnsi="Times New Roman" w:cs="Times New Roman"/>
          <w:sz w:val="24"/>
          <w:szCs w:val="24"/>
        </w:rPr>
      </w:pPr>
      <w:r w:rsidRPr="0039067A">
        <w:rPr>
          <w:rFonts w:ascii="Times New Roman" w:eastAsia="Calibri" w:hAnsi="Times New Roman" w:cs="Times New Roman"/>
          <w:sz w:val="24"/>
          <w:szCs w:val="24"/>
        </w:rPr>
        <w:t xml:space="preserve">Suivant ces nouveaux résultats, l’impact global sur les capitaux propres apparait plutôt favorable contrairement aux résultats précédents. En effet, la variation moyenne des capitaux propres remonte à + </w:t>
      </w:r>
      <w:r w:rsidRPr="0039067A">
        <w:rPr>
          <w:rFonts w:ascii="Times New Roman" w:eastAsia="Calibri" w:hAnsi="Times New Roman" w:cs="Times New Roman"/>
          <w:szCs w:val="24"/>
        </w:rPr>
        <w:t xml:space="preserve">290.42 </w:t>
      </w:r>
      <w:r w:rsidRPr="0039067A">
        <w:rPr>
          <w:rFonts w:ascii="Times New Roman" w:eastAsia="Calibri" w:hAnsi="Times New Roman" w:cs="Times New Roman"/>
          <w:sz w:val="24"/>
          <w:szCs w:val="24"/>
        </w:rPr>
        <w:t xml:space="preserve">Millions de dinars soit </w:t>
      </w:r>
      <w:r w:rsidRPr="0039067A">
        <w:rPr>
          <w:rFonts w:ascii="Times New Roman" w:eastAsia="Calibri" w:hAnsi="Times New Roman" w:cs="Times New Roman"/>
          <w:szCs w:val="24"/>
        </w:rPr>
        <w:t>28%</w:t>
      </w:r>
      <w:r w:rsidRPr="0039067A">
        <w:rPr>
          <w:rFonts w:ascii="Times New Roman" w:eastAsia="Calibri" w:hAnsi="Times New Roman" w:cs="Times New Roman"/>
          <w:sz w:val="24"/>
          <w:szCs w:val="24"/>
        </w:rPr>
        <w:t xml:space="preserve"> en termes de variation relative. Il peut être constaté, également, à travers ces résultats que </w:t>
      </w:r>
      <w:r w:rsidRPr="0039067A">
        <w:rPr>
          <w:rFonts w:ascii="Times New Roman" w:eastAsia="Calibri" w:hAnsi="Times New Roman" w:cs="Times New Roman"/>
          <w:szCs w:val="24"/>
        </w:rPr>
        <w:t>50%</w:t>
      </w:r>
      <w:r w:rsidRPr="0039067A">
        <w:rPr>
          <w:rFonts w:ascii="Times New Roman" w:eastAsia="Calibri" w:hAnsi="Times New Roman" w:cs="Times New Roman"/>
          <w:sz w:val="24"/>
          <w:szCs w:val="24"/>
        </w:rPr>
        <w:t xml:space="preserve"> des sociétés ont enregistré une variation relative supérieure à </w:t>
      </w:r>
      <w:r w:rsidRPr="0039067A">
        <w:rPr>
          <w:rFonts w:ascii="Times New Roman" w:eastAsia="Calibri" w:hAnsi="Times New Roman" w:cs="Times New Roman"/>
          <w:szCs w:val="24"/>
        </w:rPr>
        <w:t>21%</w:t>
      </w:r>
      <w:r w:rsidRPr="0039067A">
        <w:rPr>
          <w:rFonts w:ascii="Times New Roman" w:eastAsia="Calibri" w:hAnsi="Times New Roman" w:cs="Times New Roman"/>
          <w:sz w:val="24"/>
          <w:szCs w:val="24"/>
        </w:rPr>
        <w:t xml:space="preserve"> des CP PCN dont </w:t>
      </w:r>
      <w:r w:rsidRPr="0039067A">
        <w:rPr>
          <w:rFonts w:ascii="Times New Roman" w:eastAsia="Calibri" w:hAnsi="Times New Roman" w:cs="Times New Roman"/>
          <w:szCs w:val="24"/>
        </w:rPr>
        <w:t xml:space="preserve">25% </w:t>
      </w:r>
      <w:r w:rsidRPr="0039067A">
        <w:rPr>
          <w:rFonts w:ascii="Times New Roman" w:eastAsia="Calibri" w:hAnsi="Times New Roman" w:cs="Times New Roman"/>
          <w:sz w:val="24"/>
          <w:szCs w:val="24"/>
        </w:rPr>
        <w:t xml:space="preserve">supérieure </w:t>
      </w:r>
      <w:r w:rsidRPr="0039067A">
        <w:rPr>
          <w:rFonts w:ascii="Times New Roman" w:eastAsia="Calibri" w:hAnsi="Times New Roman" w:cs="Times New Roman"/>
          <w:szCs w:val="24"/>
        </w:rPr>
        <w:t>46%</w:t>
      </w:r>
      <w:r w:rsidRPr="0039067A">
        <w:rPr>
          <w:rFonts w:ascii="Times New Roman" w:eastAsia="Calibri" w:hAnsi="Times New Roman" w:cs="Times New Roman"/>
          <w:sz w:val="24"/>
          <w:szCs w:val="24"/>
        </w:rPr>
        <w:t xml:space="preserve">. Cependant, </w:t>
      </w:r>
      <w:r w:rsidRPr="0039067A">
        <w:rPr>
          <w:rFonts w:ascii="Times New Roman" w:eastAsia="Calibri" w:hAnsi="Times New Roman" w:cs="Times New Roman"/>
          <w:szCs w:val="24"/>
        </w:rPr>
        <w:t>25%</w:t>
      </w:r>
      <w:r w:rsidRPr="0039067A">
        <w:rPr>
          <w:rFonts w:ascii="Times New Roman" w:eastAsia="Calibri" w:hAnsi="Times New Roman" w:cs="Times New Roman"/>
          <w:sz w:val="24"/>
          <w:szCs w:val="24"/>
        </w:rPr>
        <w:t xml:space="preserve"> des sociétés ont dû constater un impact négatif (1</w:t>
      </w:r>
      <w:r w:rsidRPr="0039067A">
        <w:rPr>
          <w:rFonts w:ascii="Times New Roman" w:eastAsia="Calibri" w:hAnsi="Times New Roman" w:cs="Times New Roman"/>
          <w:sz w:val="24"/>
          <w:szCs w:val="24"/>
          <w:vertAlign w:val="superscript"/>
        </w:rPr>
        <w:t>er</w:t>
      </w:r>
      <w:r w:rsidRPr="0039067A">
        <w:rPr>
          <w:rFonts w:ascii="Times New Roman" w:eastAsia="Calibri" w:hAnsi="Times New Roman" w:cs="Times New Roman"/>
          <w:sz w:val="24"/>
          <w:szCs w:val="24"/>
        </w:rPr>
        <w:t xml:space="preserve"> quartile est égal à </w:t>
      </w:r>
      <w:r w:rsidRPr="0039067A">
        <w:rPr>
          <w:rFonts w:ascii="Times New Roman" w:eastAsia="Calibri" w:hAnsi="Times New Roman" w:cs="Times New Roman"/>
          <w:szCs w:val="24"/>
        </w:rPr>
        <w:t>0%</w:t>
      </w:r>
      <w:r w:rsidRPr="0039067A">
        <w:rPr>
          <w:rFonts w:ascii="Times New Roman" w:eastAsia="Calibri" w:hAnsi="Times New Roman" w:cs="Times New Roman"/>
          <w:sz w:val="24"/>
          <w:szCs w:val="24"/>
        </w:rPr>
        <w:t xml:space="preserve">).  </w:t>
      </w:r>
    </w:p>
    <w:p w:rsidR="0039067A" w:rsidRPr="0039067A" w:rsidRDefault="0039067A" w:rsidP="0039067A">
      <w:pPr>
        <w:spacing w:before="0" w:beforeAutospacing="0" w:after="60" w:afterAutospacing="0" w:line="276" w:lineRule="auto"/>
        <w:ind w:firstLine="357"/>
        <w:jc w:val="both"/>
        <w:rPr>
          <w:rFonts w:ascii="Times New Roman" w:eastAsia="Calibri" w:hAnsi="Times New Roman" w:cs="Times New Roman"/>
          <w:sz w:val="24"/>
          <w:szCs w:val="24"/>
        </w:rPr>
      </w:pPr>
      <w:r w:rsidRPr="0039067A">
        <w:rPr>
          <w:rFonts w:ascii="Times New Roman" w:eastAsia="Calibri" w:hAnsi="Times New Roman" w:cs="Times New Roman"/>
          <w:sz w:val="24"/>
          <w:szCs w:val="24"/>
        </w:rPr>
        <w:t xml:space="preserve">En outre, la dispersion est moins importante mais reste toujours élevée avec un écart-type de </w:t>
      </w:r>
      <w:r w:rsidRPr="0039067A">
        <w:rPr>
          <w:rFonts w:ascii="Times New Roman" w:eastAsia="Calibri" w:hAnsi="Times New Roman" w:cs="Times New Roman"/>
          <w:szCs w:val="24"/>
        </w:rPr>
        <w:t>35%</w:t>
      </w:r>
      <w:r w:rsidRPr="0039067A">
        <w:rPr>
          <w:rFonts w:ascii="Times New Roman" w:eastAsia="Calibri" w:hAnsi="Times New Roman" w:cs="Times New Roman"/>
          <w:sz w:val="24"/>
          <w:szCs w:val="24"/>
        </w:rPr>
        <w:t xml:space="preserve"> ce qui est interprété par une forte différence entre la variation minimum et maximum (- </w:t>
      </w:r>
      <w:r w:rsidRPr="0039067A">
        <w:rPr>
          <w:rFonts w:ascii="Times New Roman" w:eastAsia="Calibri" w:hAnsi="Times New Roman" w:cs="Times New Roman"/>
          <w:szCs w:val="24"/>
        </w:rPr>
        <w:t xml:space="preserve">9% </w:t>
      </w:r>
      <w:r w:rsidRPr="0039067A">
        <w:rPr>
          <w:rFonts w:ascii="Times New Roman" w:eastAsia="Calibri" w:hAnsi="Times New Roman" w:cs="Times New Roman"/>
          <w:sz w:val="24"/>
          <w:szCs w:val="24"/>
        </w:rPr>
        <w:t xml:space="preserve">et </w:t>
      </w:r>
      <w:r w:rsidRPr="0039067A">
        <w:rPr>
          <w:rFonts w:ascii="Times New Roman" w:eastAsia="Calibri" w:hAnsi="Times New Roman" w:cs="Times New Roman"/>
          <w:szCs w:val="24"/>
        </w:rPr>
        <w:t>140%</w:t>
      </w:r>
      <w:r w:rsidRPr="0039067A">
        <w:rPr>
          <w:rFonts w:ascii="Times New Roman" w:eastAsia="Calibri" w:hAnsi="Times New Roman" w:cs="Times New Roman"/>
          <w:sz w:val="24"/>
          <w:szCs w:val="24"/>
        </w:rPr>
        <w:t xml:space="preserve">).   </w:t>
      </w:r>
    </w:p>
    <w:p w:rsidR="0039067A" w:rsidRPr="0039067A" w:rsidRDefault="0039067A" w:rsidP="0039067A">
      <w:pPr>
        <w:spacing w:before="120" w:beforeAutospacing="0" w:after="120" w:afterAutospacing="0" w:line="276" w:lineRule="auto"/>
        <w:ind w:firstLine="360"/>
        <w:jc w:val="both"/>
        <w:rPr>
          <w:rFonts w:ascii="Times New Roman" w:eastAsia="Calibri" w:hAnsi="Times New Roman" w:cs="Times New Roman"/>
          <w:sz w:val="24"/>
          <w:szCs w:val="24"/>
        </w:rPr>
      </w:pPr>
      <w:r w:rsidRPr="0039067A">
        <w:rPr>
          <w:rFonts w:ascii="Times New Roman" w:eastAsia="Calibri" w:hAnsi="Times New Roman" w:cs="Times New Roman"/>
          <w:sz w:val="24"/>
          <w:szCs w:val="24"/>
        </w:rPr>
        <w:t>Pour tester la significativité de l’impact sur les capitaux propres dans ce cas, l’hypothèse H</w:t>
      </w:r>
      <w:r w:rsidRPr="0039067A">
        <w:rPr>
          <w:rFonts w:ascii="Times New Roman" w:eastAsia="Calibri" w:hAnsi="Times New Roman" w:cs="Times New Roman"/>
          <w:sz w:val="16"/>
          <w:szCs w:val="24"/>
        </w:rPr>
        <w:t>1</w:t>
      </w:r>
      <w:r w:rsidRPr="0039067A">
        <w:rPr>
          <w:rFonts w:ascii="Times New Roman" w:eastAsia="Calibri" w:hAnsi="Times New Roman" w:cs="Times New Roman"/>
          <w:sz w:val="24"/>
          <w:szCs w:val="24"/>
        </w:rPr>
        <w:t xml:space="preserve"> était testée (en utilisant le test unilatéral à droite de </w:t>
      </w:r>
      <w:proofErr w:type="spellStart"/>
      <w:r w:rsidRPr="0039067A">
        <w:rPr>
          <w:rFonts w:ascii="Times New Roman" w:eastAsia="Calibri" w:hAnsi="Times New Roman" w:cs="Times New Roman"/>
          <w:sz w:val="24"/>
          <w:szCs w:val="24"/>
        </w:rPr>
        <w:t>wilcoxon</w:t>
      </w:r>
      <w:proofErr w:type="spellEnd"/>
      <w:r w:rsidRPr="0039067A">
        <w:rPr>
          <w:rFonts w:ascii="Times New Roman" w:eastAsia="Calibri" w:hAnsi="Times New Roman" w:cs="Times New Roman"/>
          <w:sz w:val="24"/>
          <w:szCs w:val="24"/>
        </w:rPr>
        <w:t xml:space="preserve">) ; </w:t>
      </w:r>
    </w:p>
    <w:p w:rsidR="0039067A" w:rsidRPr="0039067A" w:rsidRDefault="0039067A" w:rsidP="0039067A">
      <w:pPr>
        <w:spacing w:before="60" w:beforeAutospacing="0" w:after="0" w:afterAutospacing="0" w:line="276" w:lineRule="auto"/>
        <w:ind w:firstLine="360"/>
        <w:jc w:val="both"/>
        <w:rPr>
          <w:rFonts w:ascii="Times New Roman" w:eastAsia="Calibri" w:hAnsi="Times New Roman" w:cs="Times New Roman"/>
          <w:sz w:val="24"/>
          <w:szCs w:val="24"/>
        </w:rPr>
      </w:pPr>
      <w:r w:rsidRPr="0039067A">
        <w:rPr>
          <w:rFonts w:ascii="Times New Roman" w:eastAsia="Calibri" w:hAnsi="Times New Roman" w:cs="Times New Roman"/>
          <w:sz w:val="24"/>
          <w:szCs w:val="24"/>
        </w:rPr>
        <w:t>H</w:t>
      </w:r>
      <w:r w:rsidRPr="0039067A">
        <w:rPr>
          <w:rFonts w:ascii="Times New Roman" w:eastAsia="Calibri" w:hAnsi="Times New Roman" w:cs="Times New Roman"/>
          <w:sz w:val="16"/>
          <w:szCs w:val="24"/>
        </w:rPr>
        <w:t>1 </w:t>
      </w:r>
      <w:r w:rsidRPr="0039067A">
        <w:rPr>
          <w:rFonts w:ascii="Times New Roman" w:eastAsia="Calibri" w:hAnsi="Times New Roman" w:cs="Times New Roman"/>
          <w:sz w:val="24"/>
          <w:szCs w:val="24"/>
        </w:rPr>
        <w:t>:</w:t>
      </w:r>
      <w:r w:rsidRPr="0039067A">
        <w:rPr>
          <w:rFonts w:ascii="Times New Roman" w:eastAsia="Calibri" w:hAnsi="Times New Roman" w:cs="Times New Roman"/>
          <w:sz w:val="16"/>
          <w:szCs w:val="24"/>
        </w:rPr>
        <w:t xml:space="preserve"> </w:t>
      </w:r>
      <w:r w:rsidRPr="0039067A">
        <w:rPr>
          <w:rFonts w:ascii="Times New Roman" w:eastAsia="Calibri" w:hAnsi="Times New Roman" w:cs="Times New Roman"/>
          <w:sz w:val="24"/>
          <w:szCs w:val="24"/>
        </w:rPr>
        <w:t>les valeurs des CP PCN sont en général inférieures à celles des CP SCF (cas unilatéral à droite).</w:t>
      </w:r>
    </w:p>
    <w:p w:rsidR="0039067A" w:rsidRPr="0039067A" w:rsidRDefault="0039067A" w:rsidP="0039067A">
      <w:pPr>
        <w:spacing w:before="60" w:beforeAutospacing="0" w:after="0" w:afterAutospacing="0" w:line="276" w:lineRule="auto"/>
        <w:ind w:firstLine="360"/>
        <w:jc w:val="both"/>
        <w:rPr>
          <w:rFonts w:ascii="Times New Roman" w:eastAsia="Calibri" w:hAnsi="Times New Roman" w:cs="Times New Roman"/>
          <w:sz w:val="24"/>
          <w:szCs w:val="24"/>
        </w:rPr>
      </w:pPr>
      <w:r w:rsidRPr="0039067A">
        <w:rPr>
          <w:rFonts w:ascii="Times New Roman" w:eastAsia="Calibri" w:hAnsi="Times New Roman" w:cs="Times New Roman"/>
          <w:sz w:val="24"/>
          <w:szCs w:val="24"/>
        </w:rPr>
        <w:t>Contre H</w:t>
      </w:r>
      <w:r w:rsidRPr="0039067A">
        <w:rPr>
          <w:rFonts w:ascii="Times New Roman" w:eastAsia="Calibri" w:hAnsi="Times New Roman" w:cs="Times New Roman"/>
          <w:sz w:val="16"/>
          <w:szCs w:val="24"/>
        </w:rPr>
        <w:t>0 </w:t>
      </w:r>
      <w:r w:rsidRPr="0039067A">
        <w:rPr>
          <w:rFonts w:ascii="Times New Roman" w:eastAsia="Calibri" w:hAnsi="Times New Roman" w:cs="Times New Roman"/>
          <w:sz w:val="24"/>
          <w:szCs w:val="24"/>
        </w:rPr>
        <w:t xml:space="preserve">: les capitaux propres PCN sont identiques aux capitaux propres SCF ou supérieures. </w:t>
      </w:r>
    </w:p>
    <w:p w:rsidR="00550D4B" w:rsidRDefault="00550D4B" w:rsidP="0039067A">
      <w:pPr>
        <w:tabs>
          <w:tab w:val="left" w:pos="4860"/>
        </w:tabs>
        <w:spacing w:before="60" w:beforeAutospacing="0" w:after="0" w:afterAutospacing="0" w:line="276" w:lineRule="auto"/>
        <w:ind w:firstLine="357"/>
        <w:rPr>
          <w:rFonts w:ascii="Times New Roman" w:eastAsia="Calibri" w:hAnsi="Times New Roman" w:cs="Times New Roman"/>
          <w:b/>
          <w:sz w:val="24"/>
          <w:szCs w:val="24"/>
        </w:rPr>
      </w:pPr>
    </w:p>
    <w:p w:rsidR="00550D4B" w:rsidRDefault="00550D4B" w:rsidP="0039067A">
      <w:pPr>
        <w:tabs>
          <w:tab w:val="left" w:pos="4860"/>
        </w:tabs>
        <w:spacing w:before="60" w:beforeAutospacing="0" w:after="0" w:afterAutospacing="0" w:line="276" w:lineRule="auto"/>
        <w:ind w:firstLine="357"/>
        <w:rPr>
          <w:rFonts w:ascii="Times New Roman" w:eastAsia="Calibri" w:hAnsi="Times New Roman" w:cs="Times New Roman"/>
          <w:b/>
          <w:sz w:val="24"/>
          <w:szCs w:val="24"/>
        </w:rPr>
      </w:pPr>
    </w:p>
    <w:p w:rsidR="00550D4B" w:rsidRDefault="00550D4B" w:rsidP="0039067A">
      <w:pPr>
        <w:tabs>
          <w:tab w:val="left" w:pos="4860"/>
        </w:tabs>
        <w:spacing w:before="60" w:beforeAutospacing="0" w:after="0" w:afterAutospacing="0" w:line="276" w:lineRule="auto"/>
        <w:ind w:firstLine="357"/>
        <w:rPr>
          <w:rFonts w:ascii="Times New Roman" w:eastAsia="Calibri" w:hAnsi="Times New Roman" w:cs="Times New Roman"/>
          <w:b/>
          <w:sz w:val="24"/>
          <w:szCs w:val="24"/>
        </w:rPr>
      </w:pPr>
    </w:p>
    <w:p w:rsidR="00550D4B" w:rsidRDefault="00550D4B" w:rsidP="0039067A">
      <w:pPr>
        <w:tabs>
          <w:tab w:val="left" w:pos="4860"/>
        </w:tabs>
        <w:spacing w:before="60" w:beforeAutospacing="0" w:after="0" w:afterAutospacing="0" w:line="276" w:lineRule="auto"/>
        <w:ind w:firstLine="357"/>
        <w:rPr>
          <w:rFonts w:ascii="Times New Roman" w:eastAsia="Calibri" w:hAnsi="Times New Roman" w:cs="Times New Roman"/>
          <w:b/>
          <w:sz w:val="24"/>
          <w:szCs w:val="24"/>
        </w:rPr>
      </w:pPr>
    </w:p>
    <w:p w:rsidR="00550D4B" w:rsidRDefault="00550D4B" w:rsidP="0039067A">
      <w:pPr>
        <w:tabs>
          <w:tab w:val="left" w:pos="4860"/>
        </w:tabs>
        <w:spacing w:before="60" w:beforeAutospacing="0" w:after="0" w:afterAutospacing="0" w:line="276" w:lineRule="auto"/>
        <w:ind w:firstLine="357"/>
        <w:rPr>
          <w:rFonts w:ascii="Times New Roman" w:eastAsia="Calibri" w:hAnsi="Times New Roman" w:cs="Times New Roman"/>
          <w:b/>
          <w:sz w:val="24"/>
          <w:szCs w:val="24"/>
        </w:rPr>
      </w:pPr>
    </w:p>
    <w:p w:rsidR="00550D4B" w:rsidRDefault="00550D4B" w:rsidP="0039067A">
      <w:pPr>
        <w:tabs>
          <w:tab w:val="left" w:pos="4860"/>
        </w:tabs>
        <w:spacing w:before="60" w:beforeAutospacing="0" w:after="0" w:afterAutospacing="0" w:line="276" w:lineRule="auto"/>
        <w:ind w:firstLine="357"/>
        <w:rPr>
          <w:rFonts w:ascii="Times New Roman" w:eastAsia="Calibri" w:hAnsi="Times New Roman" w:cs="Times New Roman"/>
          <w:b/>
          <w:sz w:val="24"/>
          <w:szCs w:val="24"/>
        </w:rPr>
      </w:pPr>
    </w:p>
    <w:p w:rsidR="00550D4B" w:rsidRDefault="00550D4B" w:rsidP="0039067A">
      <w:pPr>
        <w:tabs>
          <w:tab w:val="left" w:pos="4860"/>
        </w:tabs>
        <w:spacing w:before="60" w:beforeAutospacing="0" w:after="0" w:afterAutospacing="0" w:line="276" w:lineRule="auto"/>
        <w:ind w:firstLine="357"/>
        <w:rPr>
          <w:rFonts w:ascii="Times New Roman" w:eastAsia="Calibri" w:hAnsi="Times New Roman" w:cs="Times New Roman"/>
          <w:b/>
          <w:sz w:val="24"/>
          <w:szCs w:val="24"/>
        </w:rPr>
      </w:pPr>
    </w:p>
    <w:p w:rsidR="00550D4B" w:rsidRDefault="00550D4B" w:rsidP="0039067A">
      <w:pPr>
        <w:tabs>
          <w:tab w:val="left" w:pos="4860"/>
        </w:tabs>
        <w:spacing w:before="60" w:beforeAutospacing="0" w:after="0" w:afterAutospacing="0" w:line="276" w:lineRule="auto"/>
        <w:ind w:firstLine="357"/>
        <w:rPr>
          <w:rFonts w:ascii="Times New Roman" w:eastAsia="Calibri" w:hAnsi="Times New Roman" w:cs="Times New Roman"/>
          <w:b/>
          <w:sz w:val="24"/>
          <w:szCs w:val="24"/>
        </w:rPr>
      </w:pPr>
    </w:p>
    <w:p w:rsidR="0039067A" w:rsidRPr="0039067A" w:rsidRDefault="0039067A" w:rsidP="0039067A">
      <w:pPr>
        <w:tabs>
          <w:tab w:val="left" w:pos="4860"/>
        </w:tabs>
        <w:spacing w:before="60" w:beforeAutospacing="0" w:after="0" w:afterAutospacing="0" w:line="276" w:lineRule="auto"/>
        <w:ind w:firstLine="357"/>
        <w:rPr>
          <w:rFonts w:ascii="Times New Roman" w:eastAsia="Calibri" w:hAnsi="Times New Roman" w:cs="Times New Roman"/>
          <w:b/>
          <w:sz w:val="24"/>
          <w:szCs w:val="24"/>
        </w:rPr>
      </w:pPr>
      <w:r w:rsidRPr="0039067A">
        <w:rPr>
          <w:rFonts w:ascii="Times New Roman" w:eastAsia="Calibri" w:hAnsi="Times New Roman" w:cs="Times New Roman"/>
          <w:b/>
          <w:sz w:val="24"/>
          <w:szCs w:val="24"/>
        </w:rPr>
        <w:lastRenderedPageBreak/>
        <w:t xml:space="preserve">Tableau (9) : Résultats du test de </w:t>
      </w:r>
      <w:proofErr w:type="spellStart"/>
      <w:r w:rsidRPr="0039067A">
        <w:rPr>
          <w:rFonts w:ascii="Times New Roman" w:eastAsia="Calibri" w:hAnsi="Times New Roman" w:cs="Times New Roman"/>
          <w:b/>
          <w:sz w:val="24"/>
          <w:szCs w:val="24"/>
        </w:rPr>
        <w:t>Wilcoxon</w:t>
      </w:r>
      <w:proofErr w:type="spellEnd"/>
      <w:r w:rsidRPr="0039067A">
        <w:rPr>
          <w:rFonts w:ascii="Times New Roman" w:eastAsia="Calibri" w:hAnsi="Times New Roman" w:cs="Times New Roman"/>
          <w:b/>
          <w:sz w:val="24"/>
          <w:szCs w:val="24"/>
        </w:rPr>
        <w:t xml:space="preserve"> concernant la variation des CP (hors variation liée au reclassement)</w:t>
      </w:r>
    </w:p>
    <w:tbl>
      <w:tblPr>
        <w:tblW w:w="7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1"/>
        <w:gridCol w:w="989"/>
        <w:gridCol w:w="996"/>
        <w:gridCol w:w="1419"/>
      </w:tblGrid>
      <w:tr w:rsidR="0039067A" w:rsidRPr="0039067A" w:rsidTr="0039067A">
        <w:trPr>
          <w:trHeight w:val="461"/>
          <w:jc w:val="center"/>
        </w:trPr>
        <w:tc>
          <w:tcPr>
            <w:tcW w:w="4261" w:type="dxa"/>
            <w:shd w:val="clear" w:color="auto" w:fill="auto"/>
            <w:vAlign w:val="center"/>
          </w:tcPr>
          <w:p w:rsidR="0039067A" w:rsidRPr="0039067A" w:rsidRDefault="0039067A" w:rsidP="0039067A">
            <w:pPr>
              <w:autoSpaceDE w:val="0"/>
              <w:autoSpaceDN w:val="0"/>
              <w:adjustRightInd w:val="0"/>
              <w:spacing w:before="0" w:beforeAutospacing="0" w:after="0" w:afterAutospacing="0"/>
              <w:rPr>
                <w:rFonts w:ascii="Times New Roman" w:eastAsia="Calibri" w:hAnsi="Times New Roman" w:cs="Times New Roman"/>
                <w:szCs w:val="20"/>
              </w:rPr>
            </w:pPr>
            <w:r w:rsidRPr="0039067A">
              <w:rPr>
                <w:rFonts w:ascii="Times New Roman" w:eastAsia="Calibri" w:hAnsi="Times New Roman" w:cs="Times New Roman"/>
                <w:szCs w:val="20"/>
              </w:rPr>
              <w:t>Capitaux Propres SCF (Hors comptes reclassés) - Capitaux Propres PCN</w:t>
            </w:r>
          </w:p>
        </w:tc>
        <w:tc>
          <w:tcPr>
            <w:tcW w:w="989" w:type="dxa"/>
            <w:shd w:val="clear" w:color="auto" w:fill="auto"/>
            <w:vAlign w:val="center"/>
          </w:tcPr>
          <w:p w:rsidR="0039067A" w:rsidRPr="0039067A" w:rsidRDefault="0039067A" w:rsidP="0039067A">
            <w:pPr>
              <w:autoSpaceDE w:val="0"/>
              <w:autoSpaceDN w:val="0"/>
              <w:adjustRightInd w:val="0"/>
              <w:spacing w:before="0" w:beforeAutospacing="0" w:after="0" w:afterAutospacing="0"/>
              <w:rPr>
                <w:rFonts w:ascii="Times New Roman" w:eastAsia="Calibri" w:hAnsi="Times New Roman" w:cs="Times New Roman"/>
                <w:szCs w:val="20"/>
                <w:lang w:val="en-US"/>
              </w:rPr>
            </w:pPr>
            <w:r w:rsidRPr="0039067A">
              <w:rPr>
                <w:rFonts w:ascii="Times New Roman" w:eastAsia="Calibri" w:hAnsi="Times New Roman" w:cs="Times New Roman"/>
                <w:szCs w:val="20"/>
                <w:lang w:val="en-US"/>
              </w:rPr>
              <w:t>N</w:t>
            </w:r>
          </w:p>
        </w:tc>
        <w:tc>
          <w:tcPr>
            <w:tcW w:w="996" w:type="dxa"/>
            <w:shd w:val="clear" w:color="auto" w:fill="auto"/>
            <w:vAlign w:val="center"/>
          </w:tcPr>
          <w:p w:rsidR="0039067A" w:rsidRPr="0039067A" w:rsidRDefault="0039067A" w:rsidP="0039067A">
            <w:pPr>
              <w:autoSpaceDE w:val="0"/>
              <w:autoSpaceDN w:val="0"/>
              <w:adjustRightInd w:val="0"/>
              <w:spacing w:before="0" w:beforeAutospacing="0" w:after="0" w:afterAutospacing="0"/>
              <w:rPr>
                <w:rFonts w:ascii="Times New Roman" w:eastAsia="Calibri" w:hAnsi="Times New Roman" w:cs="Times New Roman"/>
                <w:szCs w:val="20"/>
                <w:lang w:val="en-US"/>
              </w:rPr>
            </w:pPr>
            <w:r w:rsidRPr="0039067A">
              <w:rPr>
                <w:rFonts w:ascii="Times New Roman" w:eastAsia="Calibri" w:hAnsi="Times New Roman" w:cs="Times New Roman"/>
                <w:szCs w:val="20"/>
                <w:lang w:val="en-US"/>
              </w:rPr>
              <w:t xml:space="preserve">Rang </w:t>
            </w:r>
            <w:r w:rsidRPr="0039067A">
              <w:rPr>
                <w:rFonts w:ascii="Times New Roman" w:eastAsia="Calibri" w:hAnsi="Times New Roman" w:cs="Times New Roman"/>
                <w:szCs w:val="20"/>
              </w:rPr>
              <w:t>moyen</w:t>
            </w:r>
          </w:p>
        </w:tc>
        <w:tc>
          <w:tcPr>
            <w:tcW w:w="1419" w:type="dxa"/>
            <w:shd w:val="clear" w:color="auto" w:fill="auto"/>
            <w:vAlign w:val="center"/>
          </w:tcPr>
          <w:p w:rsidR="0039067A" w:rsidRPr="0039067A" w:rsidRDefault="0039067A" w:rsidP="0039067A">
            <w:pPr>
              <w:autoSpaceDE w:val="0"/>
              <w:autoSpaceDN w:val="0"/>
              <w:adjustRightInd w:val="0"/>
              <w:spacing w:before="0" w:beforeAutospacing="0" w:after="0" w:afterAutospacing="0"/>
              <w:rPr>
                <w:rFonts w:ascii="Times New Roman" w:eastAsia="Calibri" w:hAnsi="Times New Roman" w:cs="Times New Roman"/>
                <w:szCs w:val="20"/>
                <w:lang w:val="en-US"/>
              </w:rPr>
            </w:pPr>
            <w:r w:rsidRPr="0039067A">
              <w:rPr>
                <w:rFonts w:ascii="Times New Roman" w:eastAsia="Calibri" w:hAnsi="Times New Roman" w:cs="Times New Roman"/>
                <w:szCs w:val="20"/>
                <w:lang w:val="en-US"/>
              </w:rPr>
              <w:t xml:space="preserve">Somme des </w:t>
            </w:r>
            <w:r w:rsidRPr="0039067A">
              <w:rPr>
                <w:rFonts w:ascii="Times New Roman" w:eastAsia="Calibri" w:hAnsi="Times New Roman" w:cs="Times New Roman"/>
                <w:szCs w:val="20"/>
              </w:rPr>
              <w:t>rangs</w:t>
            </w:r>
          </w:p>
        </w:tc>
      </w:tr>
      <w:tr w:rsidR="0039067A" w:rsidRPr="0039067A" w:rsidTr="0039067A">
        <w:trPr>
          <w:jc w:val="center"/>
        </w:trPr>
        <w:tc>
          <w:tcPr>
            <w:tcW w:w="4261" w:type="dxa"/>
            <w:shd w:val="clear" w:color="auto" w:fill="auto"/>
            <w:vAlign w:val="center"/>
          </w:tcPr>
          <w:p w:rsidR="0039067A" w:rsidRPr="0039067A" w:rsidRDefault="0039067A" w:rsidP="0039067A">
            <w:pPr>
              <w:autoSpaceDE w:val="0"/>
              <w:autoSpaceDN w:val="0"/>
              <w:adjustRightInd w:val="0"/>
              <w:spacing w:before="0" w:beforeAutospacing="0" w:after="0" w:afterAutospacing="0"/>
              <w:jc w:val="both"/>
              <w:rPr>
                <w:rFonts w:ascii="Times New Roman" w:eastAsia="Calibri" w:hAnsi="Times New Roman" w:cs="Times New Roman"/>
                <w:sz w:val="24"/>
                <w:szCs w:val="20"/>
                <w:lang w:val="en-US"/>
              </w:rPr>
            </w:pPr>
            <w:r w:rsidRPr="0039067A">
              <w:rPr>
                <w:rFonts w:ascii="Times New Roman" w:eastAsia="Calibri" w:hAnsi="Times New Roman" w:cs="Times New Roman"/>
                <w:sz w:val="24"/>
                <w:szCs w:val="20"/>
              </w:rPr>
              <w:t>Rangs</w:t>
            </w:r>
            <w:r w:rsidRPr="0039067A">
              <w:rPr>
                <w:rFonts w:ascii="Times New Roman" w:eastAsia="Calibri" w:hAnsi="Times New Roman" w:cs="Times New Roman"/>
                <w:sz w:val="24"/>
                <w:szCs w:val="20"/>
                <w:lang w:val="en-US"/>
              </w:rPr>
              <w:t xml:space="preserve"> </w:t>
            </w:r>
            <w:r w:rsidRPr="0039067A">
              <w:rPr>
                <w:rFonts w:ascii="Times New Roman" w:eastAsia="Calibri" w:hAnsi="Times New Roman" w:cs="Times New Roman"/>
                <w:sz w:val="24"/>
                <w:szCs w:val="20"/>
              </w:rPr>
              <w:t>négatifs</w:t>
            </w:r>
          </w:p>
        </w:tc>
        <w:tc>
          <w:tcPr>
            <w:tcW w:w="989" w:type="dxa"/>
            <w:shd w:val="clear" w:color="auto" w:fill="auto"/>
            <w:vAlign w:val="center"/>
          </w:tcPr>
          <w:p w:rsidR="0039067A" w:rsidRPr="0039067A" w:rsidRDefault="0039067A" w:rsidP="0039067A">
            <w:pPr>
              <w:autoSpaceDE w:val="0"/>
              <w:autoSpaceDN w:val="0"/>
              <w:adjustRightInd w:val="0"/>
              <w:spacing w:before="0" w:beforeAutospacing="0" w:after="0" w:afterAutospacing="0"/>
              <w:rPr>
                <w:rFonts w:ascii="Calibri" w:eastAsia="Calibri" w:hAnsi="Calibri" w:cs="Times New Roman"/>
                <w:szCs w:val="20"/>
                <w:lang w:val="en-US"/>
              </w:rPr>
            </w:pPr>
            <w:r w:rsidRPr="0039067A">
              <w:rPr>
                <w:rFonts w:ascii="Calibri" w:eastAsia="Calibri" w:hAnsi="Calibri" w:cs="Times New Roman"/>
                <w:szCs w:val="20"/>
                <w:lang w:val="en-US"/>
              </w:rPr>
              <w:t>7 a</w:t>
            </w:r>
          </w:p>
        </w:tc>
        <w:tc>
          <w:tcPr>
            <w:tcW w:w="996" w:type="dxa"/>
            <w:shd w:val="clear" w:color="auto" w:fill="auto"/>
            <w:vAlign w:val="center"/>
          </w:tcPr>
          <w:p w:rsidR="0039067A" w:rsidRPr="0039067A" w:rsidRDefault="0039067A" w:rsidP="0039067A">
            <w:pPr>
              <w:autoSpaceDE w:val="0"/>
              <w:autoSpaceDN w:val="0"/>
              <w:adjustRightInd w:val="0"/>
              <w:spacing w:before="0" w:beforeAutospacing="0" w:after="0" w:afterAutospacing="0"/>
              <w:rPr>
                <w:rFonts w:ascii="Calibri" w:eastAsia="Calibri" w:hAnsi="Calibri" w:cs="Times New Roman"/>
                <w:szCs w:val="20"/>
                <w:lang w:val="en-US"/>
              </w:rPr>
            </w:pPr>
            <w:r w:rsidRPr="0039067A">
              <w:rPr>
                <w:rFonts w:ascii="Calibri" w:eastAsia="Calibri" w:hAnsi="Calibri" w:cs="Times New Roman"/>
                <w:szCs w:val="20"/>
                <w:lang w:val="en-US"/>
              </w:rPr>
              <w:t>20,43</w:t>
            </w:r>
          </w:p>
        </w:tc>
        <w:tc>
          <w:tcPr>
            <w:tcW w:w="1419" w:type="dxa"/>
            <w:shd w:val="clear" w:color="auto" w:fill="auto"/>
            <w:vAlign w:val="center"/>
          </w:tcPr>
          <w:p w:rsidR="0039067A" w:rsidRPr="0039067A" w:rsidRDefault="0039067A" w:rsidP="0039067A">
            <w:pPr>
              <w:autoSpaceDE w:val="0"/>
              <w:autoSpaceDN w:val="0"/>
              <w:adjustRightInd w:val="0"/>
              <w:spacing w:before="0" w:beforeAutospacing="0" w:after="0" w:afterAutospacing="0"/>
              <w:rPr>
                <w:rFonts w:ascii="Calibri" w:eastAsia="Calibri" w:hAnsi="Calibri" w:cs="Times New Roman"/>
                <w:szCs w:val="20"/>
                <w:lang w:val="en-US"/>
              </w:rPr>
            </w:pPr>
            <w:r w:rsidRPr="0039067A">
              <w:rPr>
                <w:rFonts w:ascii="Calibri" w:eastAsia="Calibri" w:hAnsi="Calibri" w:cs="Times New Roman"/>
                <w:szCs w:val="20"/>
                <w:lang w:val="en-US"/>
              </w:rPr>
              <w:t>143,00</w:t>
            </w:r>
          </w:p>
        </w:tc>
      </w:tr>
      <w:tr w:rsidR="0039067A" w:rsidRPr="0039067A" w:rsidTr="0039067A">
        <w:trPr>
          <w:jc w:val="center"/>
        </w:trPr>
        <w:tc>
          <w:tcPr>
            <w:tcW w:w="4261" w:type="dxa"/>
            <w:shd w:val="clear" w:color="auto" w:fill="auto"/>
            <w:vAlign w:val="center"/>
          </w:tcPr>
          <w:p w:rsidR="0039067A" w:rsidRPr="0039067A" w:rsidRDefault="0039067A" w:rsidP="0039067A">
            <w:pPr>
              <w:autoSpaceDE w:val="0"/>
              <w:autoSpaceDN w:val="0"/>
              <w:adjustRightInd w:val="0"/>
              <w:spacing w:before="0" w:beforeAutospacing="0" w:after="0" w:afterAutospacing="0"/>
              <w:jc w:val="both"/>
              <w:rPr>
                <w:rFonts w:ascii="Times New Roman" w:eastAsia="Calibri" w:hAnsi="Times New Roman" w:cs="Times New Roman"/>
                <w:sz w:val="24"/>
                <w:szCs w:val="20"/>
                <w:lang w:val="en-US"/>
              </w:rPr>
            </w:pPr>
            <w:r w:rsidRPr="0039067A">
              <w:rPr>
                <w:rFonts w:ascii="Times New Roman" w:eastAsia="Calibri" w:hAnsi="Times New Roman" w:cs="Times New Roman"/>
                <w:sz w:val="24"/>
                <w:szCs w:val="20"/>
              </w:rPr>
              <w:t>Rangs positifs</w:t>
            </w:r>
          </w:p>
        </w:tc>
        <w:tc>
          <w:tcPr>
            <w:tcW w:w="989" w:type="dxa"/>
            <w:shd w:val="clear" w:color="auto" w:fill="auto"/>
            <w:vAlign w:val="center"/>
          </w:tcPr>
          <w:p w:rsidR="0039067A" w:rsidRPr="0039067A" w:rsidRDefault="0039067A" w:rsidP="0039067A">
            <w:pPr>
              <w:autoSpaceDE w:val="0"/>
              <w:autoSpaceDN w:val="0"/>
              <w:adjustRightInd w:val="0"/>
              <w:spacing w:before="0" w:beforeAutospacing="0" w:after="0" w:afterAutospacing="0"/>
              <w:rPr>
                <w:rFonts w:ascii="Calibri" w:eastAsia="Calibri" w:hAnsi="Calibri" w:cs="Times New Roman"/>
                <w:szCs w:val="20"/>
                <w:lang w:val="en-US"/>
              </w:rPr>
            </w:pPr>
            <w:r w:rsidRPr="0039067A">
              <w:rPr>
                <w:rFonts w:ascii="Calibri" w:eastAsia="Calibri" w:hAnsi="Calibri" w:cs="Times New Roman"/>
                <w:szCs w:val="20"/>
                <w:lang w:val="en-US"/>
              </w:rPr>
              <w:t>25 b</w:t>
            </w:r>
          </w:p>
        </w:tc>
        <w:tc>
          <w:tcPr>
            <w:tcW w:w="996" w:type="dxa"/>
            <w:shd w:val="clear" w:color="auto" w:fill="auto"/>
            <w:vAlign w:val="center"/>
          </w:tcPr>
          <w:p w:rsidR="0039067A" w:rsidRPr="0039067A" w:rsidRDefault="0039067A" w:rsidP="0039067A">
            <w:pPr>
              <w:autoSpaceDE w:val="0"/>
              <w:autoSpaceDN w:val="0"/>
              <w:adjustRightInd w:val="0"/>
              <w:spacing w:before="0" w:beforeAutospacing="0" w:after="0" w:afterAutospacing="0"/>
              <w:rPr>
                <w:rFonts w:ascii="Calibri" w:eastAsia="Calibri" w:hAnsi="Calibri" w:cs="Times New Roman"/>
                <w:szCs w:val="20"/>
                <w:lang w:val="en-US"/>
              </w:rPr>
            </w:pPr>
            <w:r w:rsidRPr="0039067A">
              <w:rPr>
                <w:rFonts w:ascii="Calibri" w:eastAsia="Calibri" w:hAnsi="Calibri" w:cs="Times New Roman"/>
                <w:szCs w:val="20"/>
                <w:lang w:val="en-US"/>
              </w:rPr>
              <w:t>15,40</w:t>
            </w:r>
          </w:p>
        </w:tc>
        <w:tc>
          <w:tcPr>
            <w:tcW w:w="1419" w:type="dxa"/>
            <w:shd w:val="clear" w:color="auto" w:fill="auto"/>
            <w:vAlign w:val="center"/>
          </w:tcPr>
          <w:p w:rsidR="0039067A" w:rsidRPr="0039067A" w:rsidRDefault="0039067A" w:rsidP="0039067A">
            <w:pPr>
              <w:autoSpaceDE w:val="0"/>
              <w:autoSpaceDN w:val="0"/>
              <w:adjustRightInd w:val="0"/>
              <w:spacing w:before="0" w:beforeAutospacing="0" w:after="0" w:afterAutospacing="0"/>
              <w:rPr>
                <w:rFonts w:ascii="Calibri" w:eastAsia="Calibri" w:hAnsi="Calibri" w:cs="Times New Roman"/>
                <w:szCs w:val="20"/>
                <w:lang w:val="en-US"/>
              </w:rPr>
            </w:pPr>
            <w:r w:rsidRPr="0039067A">
              <w:rPr>
                <w:rFonts w:ascii="Calibri" w:eastAsia="Calibri" w:hAnsi="Calibri" w:cs="Times New Roman"/>
                <w:szCs w:val="20"/>
                <w:lang w:val="en-US"/>
              </w:rPr>
              <w:t>385,00</w:t>
            </w:r>
          </w:p>
        </w:tc>
      </w:tr>
      <w:tr w:rsidR="0039067A" w:rsidRPr="0039067A" w:rsidTr="0039067A">
        <w:trPr>
          <w:jc w:val="center"/>
        </w:trPr>
        <w:tc>
          <w:tcPr>
            <w:tcW w:w="4261" w:type="dxa"/>
            <w:tcBorders>
              <w:bottom w:val="single" w:sz="4" w:space="0" w:color="auto"/>
            </w:tcBorders>
            <w:shd w:val="clear" w:color="auto" w:fill="auto"/>
            <w:vAlign w:val="center"/>
          </w:tcPr>
          <w:p w:rsidR="0039067A" w:rsidRPr="0039067A" w:rsidRDefault="0039067A" w:rsidP="0039067A">
            <w:pPr>
              <w:autoSpaceDE w:val="0"/>
              <w:autoSpaceDN w:val="0"/>
              <w:adjustRightInd w:val="0"/>
              <w:spacing w:before="0" w:beforeAutospacing="0" w:after="0" w:afterAutospacing="0"/>
              <w:jc w:val="both"/>
              <w:rPr>
                <w:rFonts w:ascii="Times New Roman" w:eastAsia="Calibri" w:hAnsi="Times New Roman" w:cs="Times New Roman"/>
                <w:sz w:val="24"/>
                <w:szCs w:val="20"/>
                <w:lang w:val="en-US"/>
              </w:rPr>
            </w:pPr>
            <w:r w:rsidRPr="0039067A">
              <w:rPr>
                <w:rFonts w:ascii="Times New Roman" w:eastAsia="Calibri" w:hAnsi="Times New Roman" w:cs="Times New Roman"/>
                <w:sz w:val="24"/>
                <w:szCs w:val="20"/>
                <w:lang w:val="en-US"/>
              </w:rPr>
              <w:t xml:space="preserve">Ex </w:t>
            </w:r>
            <w:r w:rsidRPr="0039067A">
              <w:rPr>
                <w:rFonts w:ascii="Times New Roman" w:eastAsia="Calibri" w:hAnsi="Times New Roman" w:cs="Times New Roman"/>
                <w:sz w:val="24"/>
                <w:szCs w:val="20"/>
              </w:rPr>
              <w:t>aequo</w:t>
            </w:r>
          </w:p>
        </w:tc>
        <w:tc>
          <w:tcPr>
            <w:tcW w:w="989" w:type="dxa"/>
            <w:tcBorders>
              <w:bottom w:val="single" w:sz="4" w:space="0" w:color="auto"/>
            </w:tcBorders>
            <w:shd w:val="clear" w:color="auto" w:fill="auto"/>
            <w:vAlign w:val="center"/>
          </w:tcPr>
          <w:p w:rsidR="0039067A" w:rsidRPr="0039067A" w:rsidRDefault="0039067A" w:rsidP="0039067A">
            <w:pPr>
              <w:autoSpaceDE w:val="0"/>
              <w:autoSpaceDN w:val="0"/>
              <w:adjustRightInd w:val="0"/>
              <w:spacing w:before="0" w:beforeAutospacing="0" w:after="0" w:afterAutospacing="0"/>
              <w:rPr>
                <w:rFonts w:ascii="Calibri" w:eastAsia="Calibri" w:hAnsi="Calibri" w:cs="Times New Roman"/>
                <w:szCs w:val="20"/>
                <w:lang w:val="en-US"/>
              </w:rPr>
            </w:pPr>
            <w:r w:rsidRPr="0039067A">
              <w:rPr>
                <w:rFonts w:ascii="Calibri" w:eastAsia="Calibri" w:hAnsi="Calibri" w:cs="Times New Roman"/>
                <w:szCs w:val="20"/>
                <w:lang w:val="en-US"/>
              </w:rPr>
              <w:t>1 c</w:t>
            </w:r>
          </w:p>
        </w:tc>
        <w:tc>
          <w:tcPr>
            <w:tcW w:w="996" w:type="dxa"/>
            <w:shd w:val="clear" w:color="auto" w:fill="auto"/>
            <w:vAlign w:val="center"/>
          </w:tcPr>
          <w:p w:rsidR="0039067A" w:rsidRPr="0039067A" w:rsidRDefault="0039067A" w:rsidP="0039067A">
            <w:pPr>
              <w:autoSpaceDE w:val="0"/>
              <w:autoSpaceDN w:val="0"/>
              <w:adjustRightInd w:val="0"/>
              <w:spacing w:before="0" w:beforeAutospacing="0" w:after="0" w:afterAutospacing="0"/>
              <w:rPr>
                <w:rFonts w:ascii="Calibri" w:eastAsia="Calibri" w:hAnsi="Calibri" w:cs="Times New Roman"/>
                <w:szCs w:val="20"/>
                <w:lang w:val="en-US"/>
              </w:rPr>
            </w:pPr>
          </w:p>
        </w:tc>
        <w:tc>
          <w:tcPr>
            <w:tcW w:w="1419" w:type="dxa"/>
            <w:shd w:val="clear" w:color="auto" w:fill="auto"/>
            <w:vAlign w:val="center"/>
          </w:tcPr>
          <w:p w:rsidR="0039067A" w:rsidRPr="0039067A" w:rsidRDefault="0039067A" w:rsidP="0039067A">
            <w:pPr>
              <w:autoSpaceDE w:val="0"/>
              <w:autoSpaceDN w:val="0"/>
              <w:adjustRightInd w:val="0"/>
              <w:spacing w:before="0" w:beforeAutospacing="0" w:after="0" w:afterAutospacing="0"/>
              <w:rPr>
                <w:rFonts w:ascii="Calibri" w:eastAsia="Calibri" w:hAnsi="Calibri" w:cs="Times New Roman"/>
                <w:szCs w:val="20"/>
                <w:lang w:val="en-US"/>
              </w:rPr>
            </w:pPr>
          </w:p>
        </w:tc>
      </w:tr>
      <w:tr w:rsidR="0039067A" w:rsidRPr="0039067A" w:rsidTr="0039067A">
        <w:trPr>
          <w:jc w:val="center"/>
        </w:trPr>
        <w:tc>
          <w:tcPr>
            <w:tcW w:w="4261" w:type="dxa"/>
            <w:shd w:val="clear" w:color="auto" w:fill="auto"/>
            <w:vAlign w:val="center"/>
          </w:tcPr>
          <w:p w:rsidR="0039067A" w:rsidRPr="0039067A" w:rsidRDefault="0039067A" w:rsidP="0039067A">
            <w:pPr>
              <w:autoSpaceDE w:val="0"/>
              <w:autoSpaceDN w:val="0"/>
              <w:adjustRightInd w:val="0"/>
              <w:spacing w:before="0" w:beforeAutospacing="0" w:after="0" w:afterAutospacing="0"/>
              <w:ind w:left="708"/>
              <w:jc w:val="right"/>
              <w:rPr>
                <w:rFonts w:ascii="Times New Roman" w:eastAsia="Calibri" w:hAnsi="Times New Roman" w:cs="Times New Roman"/>
                <w:sz w:val="24"/>
                <w:szCs w:val="20"/>
                <w:lang w:val="en-US"/>
              </w:rPr>
            </w:pPr>
            <w:r w:rsidRPr="0039067A">
              <w:rPr>
                <w:rFonts w:ascii="Times New Roman" w:eastAsia="Calibri" w:hAnsi="Times New Roman" w:cs="Times New Roman"/>
                <w:sz w:val="24"/>
                <w:szCs w:val="20"/>
                <w:lang w:val="en-US"/>
              </w:rPr>
              <w:t>Total</w:t>
            </w:r>
          </w:p>
        </w:tc>
        <w:tc>
          <w:tcPr>
            <w:tcW w:w="989" w:type="dxa"/>
            <w:shd w:val="clear" w:color="auto" w:fill="auto"/>
            <w:vAlign w:val="center"/>
          </w:tcPr>
          <w:p w:rsidR="0039067A" w:rsidRPr="0039067A" w:rsidRDefault="0039067A" w:rsidP="0039067A">
            <w:pPr>
              <w:autoSpaceDE w:val="0"/>
              <w:autoSpaceDN w:val="0"/>
              <w:adjustRightInd w:val="0"/>
              <w:spacing w:before="0" w:beforeAutospacing="0" w:after="0" w:afterAutospacing="0"/>
              <w:rPr>
                <w:rFonts w:ascii="Calibri" w:eastAsia="Calibri" w:hAnsi="Calibri" w:cs="Times New Roman"/>
                <w:szCs w:val="20"/>
                <w:lang w:val="en-US"/>
              </w:rPr>
            </w:pPr>
            <w:r w:rsidRPr="0039067A">
              <w:rPr>
                <w:rFonts w:ascii="Calibri" w:eastAsia="Calibri" w:hAnsi="Calibri" w:cs="Times New Roman"/>
                <w:szCs w:val="20"/>
                <w:lang w:val="en-US"/>
              </w:rPr>
              <w:t>33</w:t>
            </w:r>
          </w:p>
        </w:tc>
        <w:tc>
          <w:tcPr>
            <w:tcW w:w="996" w:type="dxa"/>
            <w:shd w:val="clear" w:color="auto" w:fill="auto"/>
            <w:vAlign w:val="center"/>
          </w:tcPr>
          <w:p w:rsidR="0039067A" w:rsidRPr="0039067A" w:rsidRDefault="0039067A" w:rsidP="0039067A">
            <w:pPr>
              <w:autoSpaceDE w:val="0"/>
              <w:autoSpaceDN w:val="0"/>
              <w:adjustRightInd w:val="0"/>
              <w:spacing w:before="0" w:beforeAutospacing="0" w:after="0" w:afterAutospacing="0"/>
              <w:rPr>
                <w:rFonts w:ascii="Calibri" w:eastAsia="Calibri" w:hAnsi="Calibri" w:cs="Times New Roman"/>
                <w:szCs w:val="20"/>
                <w:lang w:val="en-US"/>
              </w:rPr>
            </w:pPr>
          </w:p>
        </w:tc>
        <w:tc>
          <w:tcPr>
            <w:tcW w:w="1419" w:type="dxa"/>
            <w:shd w:val="clear" w:color="auto" w:fill="auto"/>
            <w:vAlign w:val="center"/>
          </w:tcPr>
          <w:p w:rsidR="0039067A" w:rsidRPr="0039067A" w:rsidRDefault="0039067A" w:rsidP="0039067A">
            <w:pPr>
              <w:autoSpaceDE w:val="0"/>
              <w:autoSpaceDN w:val="0"/>
              <w:adjustRightInd w:val="0"/>
              <w:spacing w:before="0" w:beforeAutospacing="0" w:after="0" w:afterAutospacing="0"/>
              <w:rPr>
                <w:rFonts w:ascii="Calibri" w:eastAsia="Calibri" w:hAnsi="Calibri" w:cs="Times New Roman"/>
                <w:szCs w:val="20"/>
                <w:lang w:val="en-US"/>
              </w:rPr>
            </w:pPr>
          </w:p>
        </w:tc>
      </w:tr>
      <w:tr w:rsidR="0039067A" w:rsidRPr="0039067A" w:rsidTr="0039067A">
        <w:trPr>
          <w:trHeight w:val="173"/>
          <w:jc w:val="center"/>
        </w:trPr>
        <w:tc>
          <w:tcPr>
            <w:tcW w:w="4261" w:type="dxa"/>
            <w:vAlign w:val="center"/>
          </w:tcPr>
          <w:p w:rsidR="0039067A" w:rsidRPr="0039067A" w:rsidRDefault="0039067A" w:rsidP="0039067A">
            <w:pPr>
              <w:autoSpaceDE w:val="0"/>
              <w:autoSpaceDN w:val="0"/>
              <w:adjustRightInd w:val="0"/>
              <w:spacing w:before="0" w:beforeAutospacing="0" w:after="0" w:afterAutospacing="0"/>
              <w:rPr>
                <w:rFonts w:ascii="Times New Roman" w:eastAsia="Calibri" w:hAnsi="Times New Roman" w:cs="Times New Roman"/>
                <w:sz w:val="24"/>
                <w:szCs w:val="20"/>
                <w:lang w:val="en-US"/>
              </w:rPr>
            </w:pPr>
            <w:r w:rsidRPr="0039067A">
              <w:rPr>
                <w:rFonts w:ascii="Times New Roman" w:eastAsia="Calibri" w:hAnsi="Times New Roman" w:cs="Times New Roman"/>
                <w:sz w:val="24"/>
                <w:szCs w:val="20"/>
                <w:lang w:val="en-US"/>
              </w:rPr>
              <w:t>Z</w:t>
            </w:r>
          </w:p>
        </w:tc>
        <w:tc>
          <w:tcPr>
            <w:tcW w:w="989" w:type="dxa"/>
            <w:vAlign w:val="center"/>
          </w:tcPr>
          <w:p w:rsidR="0039067A" w:rsidRPr="0039067A" w:rsidRDefault="0039067A" w:rsidP="0039067A">
            <w:pPr>
              <w:autoSpaceDE w:val="0"/>
              <w:autoSpaceDN w:val="0"/>
              <w:adjustRightInd w:val="0"/>
              <w:spacing w:before="0" w:beforeAutospacing="0" w:after="0" w:afterAutospacing="0"/>
              <w:rPr>
                <w:rFonts w:ascii="Calibri" w:eastAsia="Calibri" w:hAnsi="Calibri" w:cs="Times New Roman"/>
                <w:szCs w:val="20"/>
                <w:lang w:val="en-US"/>
              </w:rPr>
            </w:pPr>
            <w:r w:rsidRPr="0039067A">
              <w:rPr>
                <w:rFonts w:ascii="Calibri" w:eastAsia="Calibri" w:hAnsi="Calibri" w:cs="Times New Roman"/>
                <w:szCs w:val="20"/>
                <w:lang w:val="en-US"/>
              </w:rPr>
              <w:t>-2,263 d</w:t>
            </w:r>
          </w:p>
        </w:tc>
        <w:tc>
          <w:tcPr>
            <w:tcW w:w="996" w:type="dxa"/>
            <w:vAlign w:val="center"/>
          </w:tcPr>
          <w:p w:rsidR="0039067A" w:rsidRPr="0039067A" w:rsidRDefault="0039067A" w:rsidP="0039067A">
            <w:pPr>
              <w:autoSpaceDE w:val="0"/>
              <w:autoSpaceDN w:val="0"/>
              <w:adjustRightInd w:val="0"/>
              <w:spacing w:before="0" w:beforeAutospacing="0" w:after="0" w:afterAutospacing="0"/>
              <w:rPr>
                <w:rFonts w:ascii="Calibri" w:eastAsia="Calibri" w:hAnsi="Calibri" w:cs="Times New Roman"/>
                <w:szCs w:val="20"/>
                <w:lang w:val="en-US"/>
              </w:rPr>
            </w:pPr>
          </w:p>
        </w:tc>
        <w:tc>
          <w:tcPr>
            <w:tcW w:w="1419" w:type="dxa"/>
            <w:vAlign w:val="center"/>
          </w:tcPr>
          <w:p w:rsidR="0039067A" w:rsidRPr="0039067A" w:rsidRDefault="0039067A" w:rsidP="0039067A">
            <w:pPr>
              <w:autoSpaceDE w:val="0"/>
              <w:autoSpaceDN w:val="0"/>
              <w:adjustRightInd w:val="0"/>
              <w:spacing w:before="0" w:beforeAutospacing="0" w:after="0" w:afterAutospacing="0"/>
              <w:rPr>
                <w:rFonts w:ascii="Calibri" w:eastAsia="Calibri" w:hAnsi="Calibri" w:cs="Times New Roman"/>
                <w:szCs w:val="20"/>
                <w:lang w:val="en-US"/>
              </w:rPr>
            </w:pPr>
          </w:p>
        </w:tc>
      </w:tr>
      <w:tr w:rsidR="0039067A" w:rsidRPr="0039067A" w:rsidTr="0039067A">
        <w:trPr>
          <w:jc w:val="center"/>
        </w:trPr>
        <w:tc>
          <w:tcPr>
            <w:tcW w:w="4261" w:type="dxa"/>
            <w:vAlign w:val="center"/>
          </w:tcPr>
          <w:p w:rsidR="0039067A" w:rsidRPr="0039067A" w:rsidRDefault="0039067A" w:rsidP="0039067A">
            <w:pPr>
              <w:autoSpaceDE w:val="0"/>
              <w:autoSpaceDN w:val="0"/>
              <w:adjustRightInd w:val="0"/>
              <w:spacing w:before="0" w:beforeAutospacing="0" w:after="0" w:afterAutospacing="0"/>
              <w:jc w:val="both"/>
              <w:rPr>
                <w:rFonts w:ascii="Times New Roman" w:eastAsia="Calibri" w:hAnsi="Times New Roman" w:cs="Times New Roman"/>
                <w:sz w:val="24"/>
                <w:szCs w:val="20"/>
                <w:lang w:val="en-US"/>
              </w:rPr>
            </w:pPr>
            <w:r w:rsidRPr="0039067A">
              <w:rPr>
                <w:rFonts w:ascii="Times New Roman" w:eastAsia="Calibri" w:hAnsi="Times New Roman" w:cs="Times New Roman"/>
                <w:sz w:val="24"/>
                <w:szCs w:val="20"/>
                <w:lang w:val="en-US"/>
              </w:rPr>
              <w:t xml:space="preserve">Signification </w:t>
            </w:r>
            <w:r w:rsidRPr="0039067A">
              <w:rPr>
                <w:rFonts w:ascii="Times New Roman" w:eastAsia="Calibri" w:hAnsi="Times New Roman" w:cs="Times New Roman"/>
                <w:sz w:val="24"/>
                <w:szCs w:val="20"/>
              </w:rPr>
              <w:t>asymptotique</w:t>
            </w:r>
            <w:r w:rsidRPr="0039067A">
              <w:rPr>
                <w:rFonts w:ascii="Times New Roman" w:eastAsia="Calibri" w:hAnsi="Times New Roman" w:cs="Times New Roman"/>
                <w:sz w:val="24"/>
                <w:szCs w:val="20"/>
                <w:lang w:val="en-US"/>
              </w:rPr>
              <w:t xml:space="preserve"> (</w:t>
            </w:r>
            <w:r w:rsidRPr="0039067A">
              <w:rPr>
                <w:rFonts w:ascii="Times New Roman" w:eastAsia="Calibri" w:hAnsi="Times New Roman" w:cs="Times New Roman"/>
                <w:sz w:val="24"/>
                <w:szCs w:val="20"/>
              </w:rPr>
              <w:t>bilatérale</w:t>
            </w:r>
            <w:r w:rsidRPr="0039067A">
              <w:rPr>
                <w:rFonts w:ascii="Times New Roman" w:eastAsia="Calibri" w:hAnsi="Times New Roman" w:cs="Times New Roman"/>
                <w:sz w:val="24"/>
                <w:szCs w:val="20"/>
                <w:lang w:val="en-US"/>
              </w:rPr>
              <w:t>)</w:t>
            </w:r>
          </w:p>
        </w:tc>
        <w:tc>
          <w:tcPr>
            <w:tcW w:w="989" w:type="dxa"/>
            <w:vAlign w:val="center"/>
          </w:tcPr>
          <w:p w:rsidR="0039067A" w:rsidRPr="0039067A" w:rsidRDefault="0039067A" w:rsidP="0039067A">
            <w:pPr>
              <w:autoSpaceDE w:val="0"/>
              <w:autoSpaceDN w:val="0"/>
              <w:adjustRightInd w:val="0"/>
              <w:spacing w:before="0" w:beforeAutospacing="0" w:after="0" w:afterAutospacing="0"/>
              <w:rPr>
                <w:rFonts w:ascii="Calibri" w:eastAsia="Calibri" w:hAnsi="Calibri" w:cs="Times New Roman"/>
                <w:szCs w:val="20"/>
                <w:lang w:val="en-US"/>
              </w:rPr>
            </w:pPr>
            <w:r w:rsidRPr="0039067A">
              <w:rPr>
                <w:rFonts w:ascii="Calibri" w:eastAsia="Calibri" w:hAnsi="Calibri" w:cs="Times New Roman"/>
                <w:szCs w:val="20"/>
                <w:lang w:val="en-US"/>
              </w:rPr>
              <w:t xml:space="preserve">0,024 </w:t>
            </w:r>
          </w:p>
        </w:tc>
        <w:tc>
          <w:tcPr>
            <w:tcW w:w="996" w:type="dxa"/>
            <w:vAlign w:val="center"/>
          </w:tcPr>
          <w:p w:rsidR="0039067A" w:rsidRPr="0039067A" w:rsidRDefault="0039067A" w:rsidP="0039067A">
            <w:pPr>
              <w:autoSpaceDE w:val="0"/>
              <w:autoSpaceDN w:val="0"/>
              <w:adjustRightInd w:val="0"/>
              <w:spacing w:before="0" w:beforeAutospacing="0" w:after="0" w:afterAutospacing="0"/>
              <w:rPr>
                <w:rFonts w:ascii="Calibri" w:eastAsia="Calibri" w:hAnsi="Calibri" w:cs="Times New Roman"/>
                <w:szCs w:val="20"/>
                <w:lang w:val="en-US"/>
              </w:rPr>
            </w:pPr>
          </w:p>
        </w:tc>
        <w:tc>
          <w:tcPr>
            <w:tcW w:w="1419" w:type="dxa"/>
            <w:vAlign w:val="center"/>
          </w:tcPr>
          <w:p w:rsidR="0039067A" w:rsidRPr="0039067A" w:rsidRDefault="0039067A" w:rsidP="0039067A">
            <w:pPr>
              <w:autoSpaceDE w:val="0"/>
              <w:autoSpaceDN w:val="0"/>
              <w:adjustRightInd w:val="0"/>
              <w:spacing w:before="0" w:beforeAutospacing="0" w:after="0" w:afterAutospacing="0"/>
              <w:rPr>
                <w:rFonts w:ascii="Calibri" w:eastAsia="Calibri" w:hAnsi="Calibri" w:cs="Times New Roman"/>
                <w:szCs w:val="20"/>
                <w:lang w:val="en-US"/>
              </w:rPr>
            </w:pPr>
          </w:p>
        </w:tc>
      </w:tr>
    </w:tbl>
    <w:p w:rsidR="0039067A" w:rsidRPr="0039067A" w:rsidRDefault="0039067A" w:rsidP="0039067A">
      <w:pPr>
        <w:autoSpaceDE w:val="0"/>
        <w:autoSpaceDN w:val="0"/>
        <w:adjustRightInd w:val="0"/>
        <w:spacing w:before="120" w:beforeAutospacing="0" w:after="0" w:afterAutospacing="0"/>
        <w:ind w:firstLine="708"/>
        <w:jc w:val="left"/>
        <w:rPr>
          <w:rFonts w:ascii="Times New Roman" w:eastAsia="Calibri" w:hAnsi="Times New Roman" w:cs="Times New Roman"/>
          <w:szCs w:val="20"/>
        </w:rPr>
      </w:pPr>
      <w:proofErr w:type="spellStart"/>
      <w:proofErr w:type="gramStart"/>
      <w:r w:rsidRPr="0039067A">
        <w:rPr>
          <w:rFonts w:ascii="Times New Roman" w:eastAsia="Calibri" w:hAnsi="Times New Roman" w:cs="Times New Roman"/>
          <w:b/>
          <w:szCs w:val="20"/>
        </w:rPr>
        <w:t>a</w:t>
      </w:r>
      <w:proofErr w:type="spellEnd"/>
      <w:proofErr w:type="gramEnd"/>
      <w:r w:rsidRPr="0039067A">
        <w:rPr>
          <w:rFonts w:ascii="Times New Roman" w:eastAsia="Calibri" w:hAnsi="Times New Roman" w:cs="Times New Roman"/>
          <w:szCs w:val="20"/>
        </w:rPr>
        <w:t xml:space="preserve">  capitaux propres SCF (Hors comptes reclassés) &lt; capitaux propres PCN</w:t>
      </w:r>
    </w:p>
    <w:p w:rsidR="0039067A" w:rsidRPr="0039067A" w:rsidRDefault="0039067A" w:rsidP="0039067A">
      <w:pPr>
        <w:autoSpaceDE w:val="0"/>
        <w:autoSpaceDN w:val="0"/>
        <w:adjustRightInd w:val="0"/>
        <w:spacing w:before="0" w:beforeAutospacing="0" w:after="0" w:afterAutospacing="0"/>
        <w:ind w:firstLine="708"/>
        <w:jc w:val="left"/>
        <w:rPr>
          <w:rFonts w:ascii="Times New Roman" w:eastAsia="Calibri" w:hAnsi="Times New Roman" w:cs="Times New Roman"/>
          <w:szCs w:val="20"/>
        </w:rPr>
      </w:pPr>
      <w:proofErr w:type="gramStart"/>
      <w:r w:rsidRPr="0039067A">
        <w:rPr>
          <w:rFonts w:ascii="Times New Roman" w:eastAsia="Calibri" w:hAnsi="Times New Roman" w:cs="Times New Roman"/>
          <w:b/>
          <w:szCs w:val="20"/>
        </w:rPr>
        <w:t>b</w:t>
      </w:r>
      <w:proofErr w:type="gramEnd"/>
      <w:r w:rsidRPr="0039067A">
        <w:rPr>
          <w:rFonts w:ascii="Times New Roman" w:eastAsia="Calibri" w:hAnsi="Times New Roman" w:cs="Times New Roman"/>
          <w:szCs w:val="20"/>
        </w:rPr>
        <w:t xml:space="preserve">  capitaux propres SCF (Hors comptes reclassés) &gt; capitaux propres PCN</w:t>
      </w:r>
    </w:p>
    <w:p w:rsidR="0039067A" w:rsidRPr="0039067A" w:rsidRDefault="0039067A" w:rsidP="0039067A">
      <w:pPr>
        <w:autoSpaceDE w:val="0"/>
        <w:autoSpaceDN w:val="0"/>
        <w:adjustRightInd w:val="0"/>
        <w:spacing w:before="0" w:beforeAutospacing="0" w:after="0" w:afterAutospacing="0"/>
        <w:ind w:firstLine="708"/>
        <w:jc w:val="left"/>
        <w:rPr>
          <w:rFonts w:ascii="Times New Roman" w:eastAsia="Calibri" w:hAnsi="Times New Roman" w:cs="Times New Roman"/>
          <w:szCs w:val="20"/>
        </w:rPr>
      </w:pPr>
      <w:proofErr w:type="gramStart"/>
      <w:r w:rsidRPr="0039067A">
        <w:rPr>
          <w:rFonts w:ascii="Times New Roman" w:eastAsia="Calibri" w:hAnsi="Times New Roman" w:cs="Times New Roman"/>
          <w:b/>
          <w:szCs w:val="20"/>
        </w:rPr>
        <w:t>c</w:t>
      </w:r>
      <w:proofErr w:type="gramEnd"/>
      <w:r w:rsidRPr="0039067A">
        <w:rPr>
          <w:rFonts w:ascii="Times New Roman" w:eastAsia="Calibri" w:hAnsi="Times New Roman" w:cs="Times New Roman"/>
          <w:szCs w:val="20"/>
        </w:rPr>
        <w:t xml:space="preserve">  capitaux propres PCN = capitaux propres SCF (Hors comptes reclassés)</w:t>
      </w:r>
    </w:p>
    <w:p w:rsidR="0039067A" w:rsidRPr="0039067A" w:rsidRDefault="0039067A" w:rsidP="0039067A">
      <w:pPr>
        <w:autoSpaceDE w:val="0"/>
        <w:autoSpaceDN w:val="0"/>
        <w:adjustRightInd w:val="0"/>
        <w:spacing w:before="60" w:beforeAutospacing="0" w:after="0" w:afterAutospacing="0"/>
        <w:ind w:firstLine="708"/>
        <w:jc w:val="left"/>
        <w:rPr>
          <w:rFonts w:ascii="Times New Roman" w:eastAsia="Calibri" w:hAnsi="Times New Roman" w:cs="Times New Roman"/>
          <w:szCs w:val="20"/>
        </w:rPr>
      </w:pPr>
      <w:proofErr w:type="gramStart"/>
      <w:r w:rsidRPr="0039067A">
        <w:rPr>
          <w:rFonts w:ascii="Times New Roman" w:eastAsia="Calibri" w:hAnsi="Times New Roman" w:cs="Times New Roman"/>
          <w:b/>
          <w:szCs w:val="20"/>
        </w:rPr>
        <w:t>d</w:t>
      </w:r>
      <w:proofErr w:type="gramEnd"/>
      <w:r w:rsidRPr="0039067A">
        <w:rPr>
          <w:rFonts w:ascii="Times New Roman" w:eastAsia="Calibri" w:hAnsi="Times New Roman" w:cs="Times New Roman"/>
          <w:szCs w:val="20"/>
        </w:rPr>
        <w:t xml:space="preserve"> Basée sur les rangs négatifs.</w:t>
      </w:r>
    </w:p>
    <w:p w:rsidR="0039067A" w:rsidRPr="0039067A" w:rsidRDefault="0039067A" w:rsidP="0039067A">
      <w:pPr>
        <w:spacing w:before="120" w:beforeAutospacing="0" w:after="60" w:afterAutospacing="0" w:line="276" w:lineRule="auto"/>
        <w:ind w:firstLine="357"/>
        <w:jc w:val="both"/>
        <w:rPr>
          <w:rFonts w:ascii="Times New Roman" w:eastAsia="Calibri" w:hAnsi="Times New Roman" w:cs="Times New Roman"/>
          <w:i/>
          <w:szCs w:val="24"/>
        </w:rPr>
      </w:pPr>
      <w:r w:rsidRPr="0039067A">
        <w:rPr>
          <w:rFonts w:ascii="Times New Roman" w:eastAsia="Calibri" w:hAnsi="Times New Roman" w:cs="Times New Roman"/>
          <w:i/>
          <w:szCs w:val="24"/>
        </w:rPr>
        <w:t>Sources : établis sur la base des données financières des sociétés de l’échantillon</w:t>
      </w:r>
    </w:p>
    <w:p w:rsidR="0039067A" w:rsidRPr="0039067A" w:rsidRDefault="0039067A" w:rsidP="0039067A">
      <w:pPr>
        <w:spacing w:before="120" w:beforeAutospacing="0" w:after="120" w:afterAutospacing="0" w:line="276" w:lineRule="auto"/>
        <w:jc w:val="both"/>
        <w:rPr>
          <w:rFonts w:ascii="Times New Roman" w:eastAsia="Calibri" w:hAnsi="Times New Roman" w:cs="Times New Roman"/>
          <w:sz w:val="24"/>
          <w:szCs w:val="24"/>
        </w:rPr>
      </w:pPr>
      <w:r w:rsidRPr="0039067A">
        <w:rPr>
          <w:rFonts w:ascii="Times New Roman" w:eastAsia="Calibri" w:hAnsi="Times New Roman" w:cs="Times New Roman"/>
          <w:sz w:val="24"/>
          <w:szCs w:val="24"/>
        </w:rPr>
        <w:t>Dans le</w:t>
      </w:r>
      <w:r w:rsidRPr="0039067A">
        <w:rPr>
          <w:rFonts w:ascii="Times New Roman" w:eastAsia="Calibri" w:hAnsi="Times New Roman" w:cs="Times New Roman"/>
          <w:i/>
          <w:sz w:val="24"/>
          <w:szCs w:val="24"/>
        </w:rPr>
        <w:t xml:space="preserve"> </w:t>
      </w:r>
      <w:r w:rsidRPr="0039067A">
        <w:rPr>
          <w:rFonts w:ascii="Times New Roman" w:eastAsia="Calibri" w:hAnsi="Times New Roman" w:cs="Times New Roman"/>
          <w:sz w:val="24"/>
          <w:szCs w:val="24"/>
        </w:rPr>
        <w:t>cas</w:t>
      </w:r>
      <w:r w:rsidRPr="0039067A">
        <w:rPr>
          <w:rFonts w:ascii="Times New Roman" w:eastAsia="Calibri" w:hAnsi="Times New Roman" w:cs="Times New Roman"/>
          <w:i/>
          <w:sz w:val="24"/>
          <w:szCs w:val="24"/>
        </w:rPr>
        <w:t xml:space="preserve"> </w:t>
      </w:r>
      <w:r w:rsidRPr="0039067A">
        <w:rPr>
          <w:rFonts w:ascii="Times New Roman" w:eastAsia="Calibri" w:hAnsi="Times New Roman" w:cs="Times New Roman"/>
          <w:sz w:val="24"/>
          <w:szCs w:val="24"/>
        </w:rPr>
        <w:t>unilatéral à droite, la</w:t>
      </w:r>
      <w:r w:rsidRPr="0039067A">
        <w:rPr>
          <w:rFonts w:ascii="Times New Roman" w:eastAsia="Calibri" w:hAnsi="Times New Roman" w:cs="Times New Roman"/>
          <w:i/>
          <w:sz w:val="24"/>
          <w:szCs w:val="24"/>
        </w:rPr>
        <w:t xml:space="preserve"> P value </w:t>
      </w:r>
      <w:r w:rsidRPr="0039067A">
        <w:rPr>
          <w:rFonts w:ascii="Times New Roman" w:eastAsia="Calibri" w:hAnsi="Times New Roman" w:cs="Times New Roman"/>
          <w:sz w:val="24"/>
          <w:szCs w:val="24"/>
        </w:rPr>
        <w:t>égale à la valeur critique</w:t>
      </w:r>
      <w:r w:rsidRPr="0039067A">
        <w:rPr>
          <w:rFonts w:ascii="Times New Roman" w:eastAsia="Calibri" w:hAnsi="Times New Roman" w:cs="Times New Roman"/>
          <w:color w:val="FF0000"/>
          <w:sz w:val="24"/>
          <w:szCs w:val="24"/>
        </w:rPr>
        <w:t xml:space="preserve"> </w:t>
      </w:r>
      <w:r w:rsidRPr="0039067A">
        <w:rPr>
          <w:rFonts w:ascii="Times New Roman" w:eastAsia="Calibri" w:hAnsi="Times New Roman" w:cs="Times New Roman"/>
          <w:sz w:val="24"/>
          <w:szCs w:val="24"/>
        </w:rPr>
        <w:t xml:space="preserve">du test </w:t>
      </w:r>
      <w:r w:rsidRPr="0039067A">
        <w:rPr>
          <w:rFonts w:ascii="Times New Roman" w:eastAsia="Calibri" w:hAnsi="Times New Roman" w:cs="Times New Roman"/>
          <w:sz w:val="24"/>
          <w:szCs w:val="20"/>
        </w:rPr>
        <w:t xml:space="preserve">bilatérale* ½. Selon le tableau ci-haut, </w:t>
      </w:r>
      <w:r w:rsidRPr="0039067A">
        <w:rPr>
          <w:rFonts w:ascii="Times New Roman" w:eastAsia="Calibri" w:hAnsi="Times New Roman" w:cs="Times New Roman"/>
          <w:i/>
          <w:sz w:val="24"/>
          <w:szCs w:val="24"/>
        </w:rPr>
        <w:t xml:space="preserve">P value </w:t>
      </w:r>
      <w:r w:rsidRPr="0039067A">
        <w:rPr>
          <w:rFonts w:ascii="Times New Roman" w:eastAsia="Calibri" w:hAnsi="Times New Roman" w:cs="Times New Roman"/>
          <w:sz w:val="24"/>
          <w:szCs w:val="24"/>
        </w:rPr>
        <w:t>= 0.012, qui est égale à P (Z &lt; -2,263). Dès lors, l’hypothèse H</w:t>
      </w:r>
      <w:r w:rsidRPr="0039067A">
        <w:rPr>
          <w:rFonts w:ascii="Times New Roman" w:eastAsia="Calibri" w:hAnsi="Times New Roman" w:cs="Times New Roman"/>
          <w:sz w:val="16"/>
          <w:szCs w:val="24"/>
        </w:rPr>
        <w:t xml:space="preserve">1 </w:t>
      </w:r>
      <w:r w:rsidRPr="0039067A">
        <w:rPr>
          <w:rFonts w:ascii="Times New Roman" w:eastAsia="Calibri" w:hAnsi="Times New Roman" w:cs="Times New Roman"/>
          <w:sz w:val="24"/>
          <w:szCs w:val="24"/>
        </w:rPr>
        <w:t xml:space="preserve">est acceptée, en outre, on conclue que l’impact de la transition au SCF est plutôt favorable en termes de valorisation des capitaux propres. </w:t>
      </w:r>
    </w:p>
    <w:p w:rsidR="0039067A" w:rsidRPr="0039067A" w:rsidRDefault="0039067A" w:rsidP="0039067A">
      <w:pPr>
        <w:spacing w:before="0" w:beforeAutospacing="0" w:after="60" w:afterAutospacing="0" w:line="276" w:lineRule="auto"/>
        <w:ind w:firstLine="357"/>
        <w:jc w:val="both"/>
        <w:rPr>
          <w:rFonts w:ascii="Times New Roman" w:eastAsia="Calibri" w:hAnsi="Times New Roman" w:cs="Times New Roman"/>
          <w:sz w:val="24"/>
          <w:szCs w:val="24"/>
        </w:rPr>
      </w:pPr>
      <w:r w:rsidRPr="0039067A">
        <w:rPr>
          <w:rFonts w:ascii="Times New Roman" w:eastAsia="Calibri" w:hAnsi="Times New Roman" w:cs="Times New Roman"/>
          <w:sz w:val="24"/>
          <w:szCs w:val="24"/>
        </w:rPr>
        <w:t xml:space="preserve">D’autre part, en analysant l’impact de la transition au SCF sur les capitaux propres (pour les 11 sociétés qui ont fait objet de notre analyse), il apparaît que cet impact est lié principalement à l’augmentation du résultat net relatif à la transition, et qui représente </w:t>
      </w:r>
      <w:r w:rsidRPr="0039067A">
        <w:rPr>
          <w:rFonts w:ascii="Times New Roman" w:eastAsia="Calibri" w:hAnsi="Times New Roman" w:cs="Times New Roman"/>
          <w:szCs w:val="24"/>
        </w:rPr>
        <w:t>1.16%</w:t>
      </w:r>
      <w:r w:rsidRPr="0039067A">
        <w:rPr>
          <w:rFonts w:ascii="Times New Roman" w:eastAsia="Calibri" w:hAnsi="Times New Roman" w:cs="Times New Roman"/>
          <w:sz w:val="24"/>
          <w:szCs w:val="24"/>
        </w:rPr>
        <w:t xml:space="preserve"> des CP PCN, ce qui est équivalent à </w:t>
      </w:r>
      <w:r w:rsidRPr="0039067A">
        <w:rPr>
          <w:rFonts w:ascii="Times New Roman" w:eastAsia="Calibri" w:hAnsi="Times New Roman" w:cs="Times New Roman"/>
          <w:szCs w:val="24"/>
        </w:rPr>
        <w:t xml:space="preserve">267% </w:t>
      </w:r>
      <w:r w:rsidRPr="0039067A">
        <w:rPr>
          <w:rFonts w:ascii="Times New Roman" w:eastAsia="Calibri" w:hAnsi="Times New Roman" w:cs="Times New Roman"/>
          <w:sz w:val="24"/>
          <w:szCs w:val="24"/>
        </w:rPr>
        <w:t xml:space="preserve">de la variation globale des capitaux propres, soit </w:t>
      </w:r>
      <w:r w:rsidRPr="0039067A">
        <w:rPr>
          <w:rFonts w:ascii="Times New Roman" w:eastAsia="Times New Roman" w:hAnsi="Times New Roman" w:cs="Times New Roman"/>
          <w:color w:val="000000"/>
          <w:lang w:eastAsia="fr-FR"/>
        </w:rPr>
        <w:t xml:space="preserve">7 316,92 </w:t>
      </w:r>
      <w:r w:rsidRPr="0039067A">
        <w:rPr>
          <w:rFonts w:ascii="Times New Roman" w:eastAsia="Times New Roman" w:hAnsi="Times New Roman" w:cs="Times New Roman"/>
          <w:color w:val="000000"/>
          <w:sz w:val="24"/>
          <w:szCs w:val="24"/>
          <w:lang w:eastAsia="fr-FR"/>
        </w:rPr>
        <w:t>Millions de DA</w:t>
      </w:r>
      <w:r w:rsidRPr="0039067A">
        <w:rPr>
          <w:rFonts w:ascii="Times New Roman" w:eastAsia="Calibri" w:hAnsi="Times New Roman" w:cs="Times New Roman"/>
          <w:sz w:val="24"/>
          <w:szCs w:val="24"/>
        </w:rPr>
        <w:t xml:space="preserve">. En outre, nous constatons un impact négatif dû à la diminution de l’écart de réévaluation ainsi qu’aux changements de méthodes et d’estimation, qui représente -70% et -97% de l’impact global respectivement. Malgré que l’augmentation du résultat ait influencé la tendance globale de la variation en la rendant positive, l’impact négatif relatif à la réévaluation des actifs et aux changements de méthodes et d’estimation doit être mis en évidence. Vu qu’il nous permettra d’apprécier l’impact d’application des normes SCF sur les capitaux propres. </w:t>
      </w:r>
    </w:p>
    <w:p w:rsidR="00550D4B" w:rsidRDefault="00550D4B" w:rsidP="0039067A">
      <w:pPr>
        <w:spacing w:before="0" w:beforeAutospacing="0" w:after="60" w:afterAutospacing="0" w:line="276" w:lineRule="auto"/>
        <w:rPr>
          <w:rFonts w:ascii="Times New Roman" w:eastAsia="Calibri" w:hAnsi="Times New Roman" w:cs="Times New Roman"/>
          <w:b/>
          <w:sz w:val="24"/>
          <w:szCs w:val="24"/>
        </w:rPr>
      </w:pPr>
    </w:p>
    <w:p w:rsidR="00550D4B" w:rsidRDefault="00550D4B" w:rsidP="0039067A">
      <w:pPr>
        <w:spacing w:before="0" w:beforeAutospacing="0" w:after="60" w:afterAutospacing="0" w:line="276" w:lineRule="auto"/>
        <w:rPr>
          <w:rFonts w:ascii="Times New Roman" w:eastAsia="Calibri" w:hAnsi="Times New Roman" w:cs="Times New Roman"/>
          <w:b/>
          <w:sz w:val="24"/>
          <w:szCs w:val="24"/>
        </w:rPr>
      </w:pPr>
    </w:p>
    <w:p w:rsidR="00550D4B" w:rsidRDefault="00550D4B" w:rsidP="0039067A">
      <w:pPr>
        <w:spacing w:before="0" w:beforeAutospacing="0" w:after="60" w:afterAutospacing="0" w:line="276" w:lineRule="auto"/>
        <w:rPr>
          <w:rFonts w:ascii="Times New Roman" w:eastAsia="Calibri" w:hAnsi="Times New Roman" w:cs="Times New Roman"/>
          <w:b/>
          <w:sz w:val="24"/>
          <w:szCs w:val="24"/>
        </w:rPr>
      </w:pPr>
    </w:p>
    <w:p w:rsidR="00550D4B" w:rsidRDefault="00550D4B" w:rsidP="0039067A">
      <w:pPr>
        <w:spacing w:before="0" w:beforeAutospacing="0" w:after="60" w:afterAutospacing="0" w:line="276" w:lineRule="auto"/>
        <w:rPr>
          <w:rFonts w:ascii="Times New Roman" w:eastAsia="Calibri" w:hAnsi="Times New Roman" w:cs="Times New Roman"/>
          <w:b/>
          <w:sz w:val="24"/>
          <w:szCs w:val="24"/>
        </w:rPr>
      </w:pPr>
    </w:p>
    <w:p w:rsidR="00550D4B" w:rsidRDefault="00550D4B" w:rsidP="0039067A">
      <w:pPr>
        <w:spacing w:before="0" w:beforeAutospacing="0" w:after="60" w:afterAutospacing="0" w:line="276" w:lineRule="auto"/>
        <w:rPr>
          <w:rFonts w:ascii="Times New Roman" w:eastAsia="Calibri" w:hAnsi="Times New Roman" w:cs="Times New Roman"/>
          <w:b/>
          <w:sz w:val="24"/>
          <w:szCs w:val="24"/>
        </w:rPr>
      </w:pPr>
    </w:p>
    <w:p w:rsidR="00550D4B" w:rsidRDefault="00550D4B" w:rsidP="0039067A">
      <w:pPr>
        <w:spacing w:before="0" w:beforeAutospacing="0" w:after="60" w:afterAutospacing="0" w:line="276" w:lineRule="auto"/>
        <w:rPr>
          <w:rFonts w:ascii="Times New Roman" w:eastAsia="Calibri" w:hAnsi="Times New Roman" w:cs="Times New Roman"/>
          <w:b/>
          <w:sz w:val="24"/>
          <w:szCs w:val="24"/>
        </w:rPr>
      </w:pPr>
    </w:p>
    <w:p w:rsidR="00550D4B" w:rsidRDefault="00550D4B" w:rsidP="0039067A">
      <w:pPr>
        <w:spacing w:before="0" w:beforeAutospacing="0" w:after="60" w:afterAutospacing="0" w:line="276" w:lineRule="auto"/>
        <w:rPr>
          <w:rFonts w:ascii="Times New Roman" w:eastAsia="Calibri" w:hAnsi="Times New Roman" w:cs="Times New Roman"/>
          <w:b/>
          <w:sz w:val="24"/>
          <w:szCs w:val="24"/>
        </w:rPr>
      </w:pPr>
    </w:p>
    <w:p w:rsidR="00550D4B" w:rsidRDefault="00550D4B" w:rsidP="0039067A">
      <w:pPr>
        <w:spacing w:before="0" w:beforeAutospacing="0" w:after="60" w:afterAutospacing="0" w:line="276" w:lineRule="auto"/>
        <w:rPr>
          <w:rFonts w:ascii="Times New Roman" w:eastAsia="Calibri" w:hAnsi="Times New Roman" w:cs="Times New Roman"/>
          <w:b/>
          <w:sz w:val="24"/>
          <w:szCs w:val="24"/>
        </w:rPr>
      </w:pPr>
    </w:p>
    <w:p w:rsidR="0039067A" w:rsidRPr="0039067A" w:rsidRDefault="0039067A" w:rsidP="0039067A">
      <w:pPr>
        <w:spacing w:before="0" w:beforeAutospacing="0" w:after="60" w:afterAutospacing="0" w:line="276" w:lineRule="auto"/>
        <w:rPr>
          <w:rFonts w:ascii="Times New Roman" w:eastAsia="Calibri" w:hAnsi="Times New Roman" w:cs="Times New Roman"/>
          <w:b/>
          <w:sz w:val="24"/>
          <w:szCs w:val="24"/>
        </w:rPr>
      </w:pPr>
      <w:r w:rsidRPr="0039067A">
        <w:rPr>
          <w:rFonts w:ascii="Times New Roman" w:eastAsia="Calibri" w:hAnsi="Times New Roman" w:cs="Times New Roman"/>
          <w:b/>
          <w:sz w:val="24"/>
          <w:szCs w:val="24"/>
        </w:rPr>
        <w:lastRenderedPageBreak/>
        <w:t xml:space="preserve">Tableau (10) : analyse de l’impact du SCF sur les capitaux propres (hors l’impact </w:t>
      </w:r>
      <w:proofErr w:type="gramStart"/>
      <w:r w:rsidRPr="0039067A">
        <w:rPr>
          <w:rFonts w:ascii="Times New Roman" w:eastAsia="Calibri" w:hAnsi="Times New Roman" w:cs="Times New Roman"/>
          <w:b/>
          <w:sz w:val="24"/>
          <w:szCs w:val="24"/>
        </w:rPr>
        <w:t>du</w:t>
      </w:r>
      <w:proofErr w:type="gramEnd"/>
      <w:r w:rsidRPr="0039067A">
        <w:rPr>
          <w:rFonts w:ascii="Times New Roman" w:eastAsia="Calibri" w:hAnsi="Times New Roman" w:cs="Times New Roman"/>
          <w:b/>
          <w:sz w:val="24"/>
          <w:szCs w:val="24"/>
        </w:rPr>
        <w:t xml:space="preserve"> reclassement)</w:t>
      </w:r>
    </w:p>
    <w:tbl>
      <w:tblPr>
        <w:tblW w:w="8380" w:type="dxa"/>
        <w:jc w:val="center"/>
        <w:tblInd w:w="55" w:type="dxa"/>
        <w:tblCellMar>
          <w:left w:w="70" w:type="dxa"/>
          <w:right w:w="70" w:type="dxa"/>
        </w:tblCellMar>
        <w:tblLook w:val="04A0" w:firstRow="1" w:lastRow="0" w:firstColumn="1" w:lastColumn="0" w:noHBand="0" w:noVBand="1"/>
      </w:tblPr>
      <w:tblGrid>
        <w:gridCol w:w="3340"/>
        <w:gridCol w:w="1780"/>
        <w:gridCol w:w="1760"/>
        <w:gridCol w:w="1500"/>
      </w:tblGrid>
      <w:tr w:rsidR="0039067A" w:rsidRPr="0039067A" w:rsidTr="0039067A">
        <w:trPr>
          <w:trHeight w:val="422"/>
          <w:jc w:val="center"/>
        </w:trPr>
        <w:tc>
          <w:tcPr>
            <w:tcW w:w="3340" w:type="dxa"/>
            <w:tcBorders>
              <w:top w:val="nil"/>
              <w:left w:val="nil"/>
              <w:bottom w:val="nil"/>
              <w:right w:val="nil"/>
            </w:tcBorders>
            <w:shd w:val="clear" w:color="auto" w:fill="auto"/>
            <w:noWrap/>
            <w:vAlign w:val="bottom"/>
            <w:hideMark/>
          </w:tcPr>
          <w:p w:rsidR="0039067A" w:rsidRPr="0039067A" w:rsidRDefault="0039067A" w:rsidP="0039067A">
            <w:pPr>
              <w:spacing w:before="0" w:beforeAutospacing="0" w:after="0" w:afterAutospacing="0"/>
              <w:jc w:val="left"/>
              <w:rPr>
                <w:rFonts w:ascii="Calibri" w:eastAsia="Times New Roman" w:hAnsi="Calibri" w:cs="Times New Roman"/>
                <w:color w:val="000000"/>
                <w:lang w:eastAsia="fr-FR"/>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067A" w:rsidRPr="0039067A" w:rsidRDefault="0039067A" w:rsidP="0039067A">
            <w:pPr>
              <w:spacing w:before="0" w:beforeAutospacing="0" w:after="0" w:afterAutospacing="0"/>
              <w:rPr>
                <w:rFonts w:ascii="Times New Roman" w:eastAsia="Times New Roman" w:hAnsi="Times New Roman" w:cs="Times New Roman"/>
                <w:color w:val="000000"/>
                <w:lang w:eastAsia="fr-FR"/>
              </w:rPr>
            </w:pPr>
            <w:r w:rsidRPr="0039067A">
              <w:rPr>
                <w:rFonts w:ascii="Times New Roman" w:eastAsia="Times New Roman" w:hAnsi="Times New Roman" w:cs="Times New Roman"/>
                <w:color w:val="000000"/>
                <w:lang w:eastAsia="fr-FR"/>
              </w:rPr>
              <w:t>Impacts</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39067A" w:rsidRPr="0039067A" w:rsidRDefault="0039067A" w:rsidP="0039067A">
            <w:pPr>
              <w:spacing w:before="0" w:beforeAutospacing="0" w:after="0" w:afterAutospacing="0"/>
              <w:rPr>
                <w:rFonts w:ascii="Times New Roman" w:eastAsia="Times New Roman" w:hAnsi="Times New Roman" w:cs="Times New Roman"/>
                <w:color w:val="000000"/>
                <w:lang w:eastAsia="fr-FR"/>
              </w:rPr>
            </w:pPr>
            <w:r w:rsidRPr="0039067A">
              <w:rPr>
                <w:rFonts w:ascii="Times New Roman" w:eastAsia="Times New Roman" w:hAnsi="Times New Roman" w:cs="Times New Roman"/>
                <w:color w:val="000000"/>
                <w:lang w:eastAsia="fr-FR"/>
              </w:rPr>
              <w:t>Impact en % des CP PCN</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39067A" w:rsidRPr="0039067A" w:rsidRDefault="0039067A" w:rsidP="0039067A">
            <w:pPr>
              <w:spacing w:before="0" w:beforeAutospacing="0" w:after="0" w:afterAutospacing="0"/>
              <w:rPr>
                <w:rFonts w:ascii="Times New Roman" w:eastAsia="Times New Roman" w:hAnsi="Times New Roman" w:cs="Times New Roman"/>
                <w:color w:val="000000"/>
                <w:lang w:eastAsia="fr-FR"/>
              </w:rPr>
            </w:pPr>
            <w:r w:rsidRPr="0039067A">
              <w:rPr>
                <w:rFonts w:ascii="Times New Roman" w:eastAsia="Times New Roman" w:hAnsi="Times New Roman" w:cs="Times New Roman"/>
                <w:color w:val="000000"/>
                <w:lang w:eastAsia="fr-FR"/>
              </w:rPr>
              <w:t>% de variation</w:t>
            </w:r>
          </w:p>
        </w:tc>
      </w:tr>
      <w:tr w:rsidR="0039067A" w:rsidRPr="0039067A" w:rsidTr="0039067A">
        <w:trPr>
          <w:trHeight w:val="300"/>
          <w:jc w:val="center"/>
        </w:trPr>
        <w:tc>
          <w:tcPr>
            <w:tcW w:w="3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jc w:val="left"/>
              <w:rPr>
                <w:rFonts w:ascii="Times New Roman" w:eastAsia="Times New Roman" w:hAnsi="Times New Roman" w:cs="Times New Roman"/>
                <w:color w:val="000000"/>
                <w:lang w:eastAsia="fr-FR"/>
              </w:rPr>
            </w:pPr>
            <w:r w:rsidRPr="0039067A">
              <w:rPr>
                <w:rFonts w:ascii="Times New Roman" w:eastAsia="Times New Roman" w:hAnsi="Times New Roman" w:cs="Times New Roman"/>
                <w:color w:val="000000"/>
                <w:lang w:eastAsia="fr-FR"/>
              </w:rPr>
              <w:t>Capitaux propres PCN</w:t>
            </w:r>
          </w:p>
        </w:tc>
        <w:tc>
          <w:tcPr>
            <w:tcW w:w="1780" w:type="dxa"/>
            <w:tcBorders>
              <w:top w:val="nil"/>
              <w:left w:val="nil"/>
              <w:bottom w:val="single" w:sz="4" w:space="0" w:color="auto"/>
              <w:right w:val="single" w:sz="4" w:space="0" w:color="auto"/>
            </w:tcBorders>
            <w:shd w:val="clear" w:color="auto" w:fill="auto"/>
            <w:noWrap/>
            <w:vAlign w:val="center"/>
            <w:hideMark/>
          </w:tcPr>
          <w:p w:rsidR="0039067A" w:rsidRPr="0039067A" w:rsidRDefault="0039067A" w:rsidP="0039067A">
            <w:pPr>
              <w:spacing w:before="0" w:beforeAutospacing="0" w:after="0" w:afterAutospacing="0"/>
              <w:rPr>
                <w:rFonts w:ascii="Calibri" w:eastAsia="Times New Roman" w:hAnsi="Calibri" w:cs="Times New Roman"/>
                <w:color w:val="000000"/>
                <w:lang w:eastAsia="fr-FR"/>
              </w:rPr>
            </w:pPr>
            <w:r w:rsidRPr="0039067A">
              <w:rPr>
                <w:rFonts w:ascii="Calibri" w:eastAsia="Times New Roman" w:hAnsi="Calibri" w:cs="Times New Roman"/>
                <w:color w:val="000000"/>
                <w:lang w:eastAsia="fr-FR"/>
              </w:rPr>
              <w:t>632 426,80</w:t>
            </w:r>
          </w:p>
        </w:tc>
        <w:tc>
          <w:tcPr>
            <w:tcW w:w="1760" w:type="dxa"/>
            <w:tcBorders>
              <w:top w:val="nil"/>
              <w:left w:val="nil"/>
              <w:bottom w:val="single" w:sz="4" w:space="0" w:color="auto"/>
              <w:right w:val="single" w:sz="4" w:space="0" w:color="auto"/>
            </w:tcBorders>
            <w:shd w:val="clear" w:color="auto" w:fill="auto"/>
            <w:noWrap/>
            <w:vAlign w:val="center"/>
            <w:hideMark/>
          </w:tcPr>
          <w:p w:rsidR="0039067A" w:rsidRPr="0039067A" w:rsidRDefault="0039067A" w:rsidP="0039067A">
            <w:pPr>
              <w:spacing w:before="0" w:beforeAutospacing="0" w:after="0" w:afterAutospacing="0"/>
              <w:rPr>
                <w:rFonts w:ascii="Calibri" w:eastAsia="Times New Roman" w:hAnsi="Calibri" w:cs="Times New Roman"/>
                <w:color w:val="000000"/>
                <w:lang w:eastAsia="fr-FR"/>
              </w:rPr>
            </w:pPr>
            <w:r w:rsidRPr="0039067A">
              <w:rPr>
                <w:rFonts w:ascii="Calibri" w:eastAsia="Times New Roman" w:hAnsi="Calibri" w:cs="Times New Roman"/>
                <w:color w:val="000000"/>
                <w:lang w:eastAsia="fr-FR"/>
              </w:rPr>
              <w:t>100%</w:t>
            </w:r>
          </w:p>
        </w:tc>
        <w:tc>
          <w:tcPr>
            <w:tcW w:w="1500" w:type="dxa"/>
            <w:tcBorders>
              <w:top w:val="nil"/>
              <w:left w:val="nil"/>
              <w:bottom w:val="single" w:sz="4" w:space="0" w:color="auto"/>
              <w:right w:val="single" w:sz="4" w:space="0" w:color="auto"/>
            </w:tcBorders>
            <w:shd w:val="clear" w:color="auto" w:fill="auto"/>
            <w:noWrap/>
            <w:vAlign w:val="center"/>
            <w:hideMark/>
          </w:tcPr>
          <w:p w:rsidR="0039067A" w:rsidRPr="0039067A" w:rsidRDefault="0039067A" w:rsidP="0039067A">
            <w:pPr>
              <w:spacing w:before="0" w:beforeAutospacing="0" w:after="0" w:afterAutospacing="0"/>
              <w:rPr>
                <w:rFonts w:ascii="Calibri" w:eastAsia="Times New Roman" w:hAnsi="Calibri" w:cs="Times New Roman"/>
                <w:color w:val="000000"/>
                <w:lang w:eastAsia="fr-FR"/>
              </w:rPr>
            </w:pPr>
            <w:r w:rsidRPr="0039067A">
              <w:rPr>
                <w:rFonts w:ascii="Calibri" w:eastAsia="Times New Roman" w:hAnsi="Calibri" w:cs="Times New Roman"/>
                <w:color w:val="000000"/>
                <w:lang w:eastAsia="fr-FR"/>
              </w:rPr>
              <w:t> </w:t>
            </w:r>
          </w:p>
        </w:tc>
      </w:tr>
      <w:tr w:rsidR="0039067A" w:rsidRPr="0039067A" w:rsidTr="0039067A">
        <w:trPr>
          <w:trHeight w:val="300"/>
          <w:jc w:val="center"/>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jc w:val="left"/>
              <w:rPr>
                <w:rFonts w:ascii="Times New Roman" w:eastAsia="Times New Roman" w:hAnsi="Times New Roman" w:cs="Times New Roman"/>
                <w:color w:val="000000"/>
                <w:lang w:eastAsia="fr-FR"/>
              </w:rPr>
            </w:pPr>
            <w:r w:rsidRPr="0039067A">
              <w:rPr>
                <w:rFonts w:ascii="Times New Roman" w:eastAsia="Times New Roman" w:hAnsi="Times New Roman" w:cs="Times New Roman"/>
                <w:color w:val="000000"/>
                <w:lang w:eastAsia="fr-FR"/>
              </w:rPr>
              <w:t>Variation de l'écart de réévaluation</w:t>
            </w:r>
          </w:p>
        </w:tc>
        <w:tc>
          <w:tcPr>
            <w:tcW w:w="1780" w:type="dxa"/>
            <w:tcBorders>
              <w:top w:val="nil"/>
              <w:left w:val="nil"/>
              <w:bottom w:val="single" w:sz="4" w:space="0" w:color="auto"/>
              <w:right w:val="single" w:sz="4" w:space="0" w:color="auto"/>
            </w:tcBorders>
            <w:shd w:val="clear" w:color="auto" w:fill="auto"/>
            <w:noWrap/>
            <w:vAlign w:val="center"/>
            <w:hideMark/>
          </w:tcPr>
          <w:p w:rsidR="0039067A" w:rsidRPr="0039067A" w:rsidRDefault="0039067A" w:rsidP="0039067A">
            <w:pPr>
              <w:spacing w:before="0" w:beforeAutospacing="0" w:after="0" w:afterAutospacing="0"/>
              <w:rPr>
                <w:rFonts w:ascii="Calibri" w:eastAsia="Times New Roman" w:hAnsi="Calibri" w:cs="Times New Roman"/>
                <w:color w:val="000000"/>
                <w:lang w:eastAsia="fr-FR"/>
              </w:rPr>
            </w:pPr>
            <w:r w:rsidRPr="0039067A">
              <w:rPr>
                <w:rFonts w:ascii="Calibri" w:eastAsia="Times New Roman" w:hAnsi="Calibri" w:cs="Times New Roman"/>
                <w:color w:val="000000"/>
                <w:lang w:eastAsia="fr-FR"/>
              </w:rPr>
              <w:t>-1 912,10</w:t>
            </w:r>
          </w:p>
        </w:tc>
        <w:tc>
          <w:tcPr>
            <w:tcW w:w="1760" w:type="dxa"/>
            <w:tcBorders>
              <w:top w:val="nil"/>
              <w:left w:val="nil"/>
              <w:bottom w:val="single" w:sz="4" w:space="0" w:color="auto"/>
              <w:right w:val="single" w:sz="4" w:space="0" w:color="auto"/>
            </w:tcBorders>
            <w:shd w:val="clear" w:color="auto" w:fill="auto"/>
            <w:noWrap/>
            <w:vAlign w:val="center"/>
            <w:hideMark/>
          </w:tcPr>
          <w:p w:rsidR="0039067A" w:rsidRPr="0039067A" w:rsidRDefault="0039067A" w:rsidP="0039067A">
            <w:pPr>
              <w:spacing w:before="0" w:beforeAutospacing="0" w:after="0" w:afterAutospacing="0"/>
              <w:rPr>
                <w:rFonts w:ascii="Calibri" w:eastAsia="Times New Roman" w:hAnsi="Calibri" w:cs="Times New Roman"/>
                <w:color w:val="000000"/>
                <w:lang w:eastAsia="fr-FR"/>
              </w:rPr>
            </w:pPr>
            <w:r w:rsidRPr="0039067A">
              <w:rPr>
                <w:rFonts w:ascii="Calibri" w:eastAsia="Times New Roman" w:hAnsi="Calibri" w:cs="Times New Roman"/>
                <w:color w:val="000000"/>
                <w:lang w:eastAsia="fr-FR"/>
              </w:rPr>
              <w:t>-0,30%</w:t>
            </w:r>
          </w:p>
        </w:tc>
        <w:tc>
          <w:tcPr>
            <w:tcW w:w="1500" w:type="dxa"/>
            <w:tcBorders>
              <w:top w:val="nil"/>
              <w:left w:val="nil"/>
              <w:bottom w:val="single" w:sz="4" w:space="0" w:color="auto"/>
              <w:right w:val="single" w:sz="4" w:space="0" w:color="auto"/>
            </w:tcBorders>
            <w:shd w:val="clear" w:color="auto" w:fill="auto"/>
            <w:noWrap/>
            <w:vAlign w:val="center"/>
            <w:hideMark/>
          </w:tcPr>
          <w:p w:rsidR="0039067A" w:rsidRPr="0039067A" w:rsidRDefault="0039067A" w:rsidP="0039067A">
            <w:pPr>
              <w:spacing w:before="0" w:beforeAutospacing="0" w:after="0" w:afterAutospacing="0"/>
              <w:rPr>
                <w:rFonts w:ascii="Calibri" w:eastAsia="Times New Roman" w:hAnsi="Calibri" w:cs="Times New Roman"/>
                <w:color w:val="000000"/>
                <w:lang w:eastAsia="fr-FR"/>
              </w:rPr>
            </w:pPr>
            <w:r w:rsidRPr="0039067A">
              <w:rPr>
                <w:rFonts w:ascii="Calibri" w:eastAsia="Times New Roman" w:hAnsi="Calibri" w:cs="Times New Roman"/>
                <w:color w:val="000000"/>
                <w:lang w:eastAsia="fr-FR"/>
              </w:rPr>
              <w:t>-70%</w:t>
            </w:r>
          </w:p>
        </w:tc>
      </w:tr>
      <w:tr w:rsidR="0039067A" w:rsidRPr="0039067A" w:rsidTr="0039067A">
        <w:trPr>
          <w:trHeight w:val="300"/>
          <w:jc w:val="center"/>
        </w:trPr>
        <w:tc>
          <w:tcPr>
            <w:tcW w:w="3340" w:type="dxa"/>
            <w:tcBorders>
              <w:top w:val="nil"/>
              <w:left w:val="single" w:sz="4" w:space="0" w:color="auto"/>
              <w:bottom w:val="single" w:sz="4" w:space="0" w:color="auto"/>
              <w:right w:val="single" w:sz="4" w:space="0" w:color="auto"/>
            </w:tcBorders>
            <w:shd w:val="clear" w:color="auto" w:fill="auto"/>
            <w:vAlign w:val="bottom"/>
            <w:hideMark/>
          </w:tcPr>
          <w:p w:rsidR="0039067A" w:rsidRPr="0039067A" w:rsidRDefault="0039067A" w:rsidP="0039067A">
            <w:pPr>
              <w:spacing w:before="0" w:beforeAutospacing="0" w:after="0" w:afterAutospacing="0"/>
              <w:jc w:val="left"/>
              <w:rPr>
                <w:rFonts w:ascii="Times New Roman" w:eastAsia="Times New Roman" w:hAnsi="Times New Roman" w:cs="Times New Roman"/>
                <w:color w:val="000000"/>
                <w:lang w:eastAsia="fr-FR"/>
              </w:rPr>
            </w:pPr>
            <w:r w:rsidRPr="0039067A">
              <w:rPr>
                <w:rFonts w:ascii="Times New Roman" w:eastAsia="Times New Roman" w:hAnsi="Times New Roman" w:cs="Times New Roman"/>
                <w:color w:val="000000"/>
                <w:lang w:eastAsia="fr-FR"/>
              </w:rPr>
              <w:t>Changement de méthodes (115)</w:t>
            </w:r>
          </w:p>
        </w:tc>
        <w:tc>
          <w:tcPr>
            <w:tcW w:w="1780" w:type="dxa"/>
            <w:tcBorders>
              <w:top w:val="nil"/>
              <w:left w:val="nil"/>
              <w:bottom w:val="single" w:sz="4" w:space="0" w:color="auto"/>
              <w:right w:val="single" w:sz="4" w:space="0" w:color="auto"/>
            </w:tcBorders>
            <w:shd w:val="clear" w:color="auto" w:fill="auto"/>
            <w:noWrap/>
            <w:vAlign w:val="center"/>
            <w:hideMark/>
          </w:tcPr>
          <w:p w:rsidR="0039067A" w:rsidRPr="0039067A" w:rsidRDefault="0039067A" w:rsidP="0039067A">
            <w:pPr>
              <w:spacing w:before="0" w:beforeAutospacing="0" w:after="0" w:afterAutospacing="0"/>
              <w:rPr>
                <w:rFonts w:ascii="Calibri" w:eastAsia="Times New Roman" w:hAnsi="Calibri" w:cs="Times New Roman"/>
                <w:color w:val="000000"/>
                <w:lang w:eastAsia="fr-FR"/>
              </w:rPr>
            </w:pPr>
            <w:r w:rsidRPr="0039067A">
              <w:rPr>
                <w:rFonts w:ascii="Calibri" w:eastAsia="Times New Roman" w:hAnsi="Calibri" w:cs="Times New Roman"/>
                <w:color w:val="000000"/>
                <w:lang w:eastAsia="fr-FR"/>
              </w:rPr>
              <w:t>-2 664,36</w:t>
            </w:r>
          </w:p>
        </w:tc>
        <w:tc>
          <w:tcPr>
            <w:tcW w:w="1760" w:type="dxa"/>
            <w:tcBorders>
              <w:top w:val="nil"/>
              <w:left w:val="nil"/>
              <w:bottom w:val="single" w:sz="4" w:space="0" w:color="auto"/>
              <w:right w:val="single" w:sz="4" w:space="0" w:color="auto"/>
            </w:tcBorders>
            <w:shd w:val="clear" w:color="auto" w:fill="auto"/>
            <w:noWrap/>
            <w:vAlign w:val="center"/>
            <w:hideMark/>
          </w:tcPr>
          <w:p w:rsidR="0039067A" w:rsidRPr="0039067A" w:rsidRDefault="0039067A" w:rsidP="0039067A">
            <w:pPr>
              <w:spacing w:before="0" w:beforeAutospacing="0" w:after="0" w:afterAutospacing="0"/>
              <w:rPr>
                <w:rFonts w:ascii="Calibri" w:eastAsia="Times New Roman" w:hAnsi="Calibri" w:cs="Times New Roman"/>
                <w:color w:val="000000"/>
                <w:lang w:eastAsia="fr-FR"/>
              </w:rPr>
            </w:pPr>
            <w:r w:rsidRPr="0039067A">
              <w:rPr>
                <w:rFonts w:ascii="Calibri" w:eastAsia="Times New Roman" w:hAnsi="Calibri" w:cs="Times New Roman"/>
                <w:color w:val="000000"/>
                <w:lang w:eastAsia="fr-FR"/>
              </w:rPr>
              <w:t>-0,42%</w:t>
            </w:r>
          </w:p>
        </w:tc>
        <w:tc>
          <w:tcPr>
            <w:tcW w:w="1500" w:type="dxa"/>
            <w:tcBorders>
              <w:top w:val="nil"/>
              <w:left w:val="nil"/>
              <w:bottom w:val="single" w:sz="4" w:space="0" w:color="auto"/>
              <w:right w:val="single" w:sz="4" w:space="0" w:color="auto"/>
            </w:tcBorders>
            <w:shd w:val="clear" w:color="auto" w:fill="auto"/>
            <w:noWrap/>
            <w:vAlign w:val="center"/>
            <w:hideMark/>
          </w:tcPr>
          <w:p w:rsidR="0039067A" w:rsidRPr="0039067A" w:rsidRDefault="0039067A" w:rsidP="0039067A">
            <w:pPr>
              <w:spacing w:before="0" w:beforeAutospacing="0" w:after="0" w:afterAutospacing="0"/>
              <w:rPr>
                <w:rFonts w:ascii="Calibri" w:eastAsia="Times New Roman" w:hAnsi="Calibri" w:cs="Times New Roman"/>
                <w:color w:val="000000"/>
                <w:lang w:eastAsia="fr-FR"/>
              </w:rPr>
            </w:pPr>
            <w:r w:rsidRPr="0039067A">
              <w:rPr>
                <w:rFonts w:ascii="Calibri" w:eastAsia="Times New Roman" w:hAnsi="Calibri" w:cs="Times New Roman"/>
                <w:color w:val="000000"/>
                <w:lang w:eastAsia="fr-FR"/>
              </w:rPr>
              <w:t>-97%</w:t>
            </w:r>
          </w:p>
        </w:tc>
      </w:tr>
      <w:tr w:rsidR="0039067A" w:rsidRPr="0039067A" w:rsidTr="0039067A">
        <w:trPr>
          <w:trHeight w:val="300"/>
          <w:jc w:val="center"/>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jc w:val="left"/>
              <w:rPr>
                <w:rFonts w:ascii="Times New Roman" w:eastAsia="Times New Roman" w:hAnsi="Times New Roman" w:cs="Times New Roman"/>
                <w:color w:val="000000"/>
                <w:lang w:eastAsia="fr-FR"/>
              </w:rPr>
            </w:pPr>
            <w:r w:rsidRPr="0039067A">
              <w:rPr>
                <w:rFonts w:ascii="Times New Roman" w:eastAsia="Times New Roman" w:hAnsi="Times New Roman" w:cs="Times New Roman"/>
                <w:color w:val="000000"/>
                <w:lang w:eastAsia="fr-FR"/>
              </w:rPr>
              <w:t>Résultat net SCF</w:t>
            </w:r>
          </w:p>
        </w:tc>
        <w:tc>
          <w:tcPr>
            <w:tcW w:w="1780" w:type="dxa"/>
            <w:tcBorders>
              <w:top w:val="nil"/>
              <w:left w:val="nil"/>
              <w:bottom w:val="single" w:sz="4" w:space="0" w:color="auto"/>
              <w:right w:val="single" w:sz="4" w:space="0" w:color="auto"/>
            </w:tcBorders>
            <w:shd w:val="clear" w:color="auto" w:fill="auto"/>
            <w:noWrap/>
            <w:vAlign w:val="center"/>
            <w:hideMark/>
          </w:tcPr>
          <w:p w:rsidR="0039067A" w:rsidRPr="0039067A" w:rsidRDefault="0039067A" w:rsidP="0039067A">
            <w:pPr>
              <w:spacing w:before="0" w:beforeAutospacing="0" w:after="0" w:afterAutospacing="0"/>
              <w:rPr>
                <w:rFonts w:ascii="Calibri" w:eastAsia="Times New Roman" w:hAnsi="Calibri" w:cs="Times New Roman"/>
                <w:color w:val="000000"/>
                <w:lang w:eastAsia="fr-FR"/>
              </w:rPr>
            </w:pPr>
            <w:r w:rsidRPr="0039067A">
              <w:rPr>
                <w:rFonts w:ascii="Calibri" w:eastAsia="Times New Roman" w:hAnsi="Calibri" w:cs="Times New Roman"/>
                <w:color w:val="000000"/>
                <w:lang w:eastAsia="fr-FR"/>
              </w:rPr>
              <w:t>7 316,92</w:t>
            </w:r>
          </w:p>
        </w:tc>
        <w:tc>
          <w:tcPr>
            <w:tcW w:w="1760" w:type="dxa"/>
            <w:tcBorders>
              <w:top w:val="nil"/>
              <w:left w:val="nil"/>
              <w:bottom w:val="single" w:sz="4" w:space="0" w:color="auto"/>
              <w:right w:val="single" w:sz="4" w:space="0" w:color="auto"/>
            </w:tcBorders>
            <w:shd w:val="clear" w:color="auto" w:fill="auto"/>
            <w:noWrap/>
            <w:vAlign w:val="center"/>
            <w:hideMark/>
          </w:tcPr>
          <w:p w:rsidR="0039067A" w:rsidRPr="0039067A" w:rsidRDefault="0039067A" w:rsidP="0039067A">
            <w:pPr>
              <w:spacing w:before="0" w:beforeAutospacing="0" w:after="0" w:afterAutospacing="0"/>
              <w:rPr>
                <w:rFonts w:ascii="Calibri" w:eastAsia="Times New Roman" w:hAnsi="Calibri" w:cs="Times New Roman"/>
                <w:color w:val="000000"/>
                <w:lang w:eastAsia="fr-FR"/>
              </w:rPr>
            </w:pPr>
            <w:r w:rsidRPr="0039067A">
              <w:rPr>
                <w:rFonts w:ascii="Calibri" w:eastAsia="Times New Roman" w:hAnsi="Calibri" w:cs="Times New Roman"/>
                <w:color w:val="000000"/>
                <w:lang w:eastAsia="fr-FR"/>
              </w:rPr>
              <w:t>1,16%</w:t>
            </w:r>
          </w:p>
        </w:tc>
        <w:tc>
          <w:tcPr>
            <w:tcW w:w="1500" w:type="dxa"/>
            <w:tcBorders>
              <w:top w:val="nil"/>
              <w:left w:val="nil"/>
              <w:bottom w:val="single" w:sz="4" w:space="0" w:color="auto"/>
              <w:right w:val="single" w:sz="4" w:space="0" w:color="auto"/>
            </w:tcBorders>
            <w:shd w:val="clear" w:color="auto" w:fill="auto"/>
            <w:noWrap/>
            <w:vAlign w:val="center"/>
            <w:hideMark/>
          </w:tcPr>
          <w:p w:rsidR="0039067A" w:rsidRPr="0039067A" w:rsidRDefault="0039067A" w:rsidP="0039067A">
            <w:pPr>
              <w:spacing w:before="0" w:beforeAutospacing="0" w:after="0" w:afterAutospacing="0"/>
              <w:rPr>
                <w:rFonts w:ascii="Calibri" w:eastAsia="Times New Roman" w:hAnsi="Calibri" w:cs="Times New Roman"/>
                <w:color w:val="000000"/>
                <w:lang w:eastAsia="fr-FR"/>
              </w:rPr>
            </w:pPr>
            <w:r w:rsidRPr="0039067A">
              <w:rPr>
                <w:rFonts w:ascii="Calibri" w:eastAsia="Times New Roman" w:hAnsi="Calibri" w:cs="Times New Roman"/>
                <w:color w:val="000000"/>
                <w:lang w:eastAsia="fr-FR"/>
              </w:rPr>
              <w:t>267%</w:t>
            </w:r>
          </w:p>
        </w:tc>
      </w:tr>
      <w:tr w:rsidR="0039067A" w:rsidRPr="0039067A" w:rsidTr="0039067A">
        <w:trPr>
          <w:trHeight w:val="300"/>
          <w:jc w:val="center"/>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jc w:val="left"/>
              <w:rPr>
                <w:rFonts w:ascii="Times New Roman" w:eastAsia="Times New Roman" w:hAnsi="Times New Roman" w:cs="Times New Roman"/>
                <w:color w:val="000000"/>
                <w:lang w:eastAsia="fr-FR"/>
              </w:rPr>
            </w:pPr>
            <w:r w:rsidRPr="0039067A">
              <w:rPr>
                <w:rFonts w:ascii="Times New Roman" w:eastAsia="Times New Roman" w:hAnsi="Times New Roman" w:cs="Times New Roman"/>
                <w:color w:val="000000"/>
                <w:lang w:eastAsia="fr-FR"/>
              </w:rPr>
              <w:t>Total de l'impact</w:t>
            </w:r>
          </w:p>
        </w:tc>
        <w:tc>
          <w:tcPr>
            <w:tcW w:w="1780" w:type="dxa"/>
            <w:tcBorders>
              <w:top w:val="nil"/>
              <w:left w:val="nil"/>
              <w:bottom w:val="single" w:sz="4" w:space="0" w:color="auto"/>
              <w:right w:val="single" w:sz="4" w:space="0" w:color="auto"/>
            </w:tcBorders>
            <w:shd w:val="clear" w:color="auto" w:fill="auto"/>
            <w:noWrap/>
            <w:vAlign w:val="center"/>
            <w:hideMark/>
          </w:tcPr>
          <w:p w:rsidR="0039067A" w:rsidRPr="0039067A" w:rsidRDefault="0039067A" w:rsidP="0039067A">
            <w:pPr>
              <w:spacing w:before="0" w:beforeAutospacing="0" w:after="0" w:afterAutospacing="0"/>
              <w:rPr>
                <w:rFonts w:ascii="Calibri" w:eastAsia="Times New Roman" w:hAnsi="Calibri" w:cs="Times New Roman"/>
                <w:color w:val="000000"/>
                <w:lang w:eastAsia="fr-FR"/>
              </w:rPr>
            </w:pPr>
            <w:r w:rsidRPr="0039067A">
              <w:rPr>
                <w:rFonts w:ascii="Calibri" w:eastAsia="Times New Roman" w:hAnsi="Calibri" w:cs="Times New Roman"/>
                <w:color w:val="000000"/>
                <w:lang w:eastAsia="fr-FR"/>
              </w:rPr>
              <w:t>2 740,45</w:t>
            </w:r>
          </w:p>
        </w:tc>
        <w:tc>
          <w:tcPr>
            <w:tcW w:w="1760" w:type="dxa"/>
            <w:tcBorders>
              <w:top w:val="nil"/>
              <w:left w:val="nil"/>
              <w:bottom w:val="single" w:sz="4" w:space="0" w:color="auto"/>
              <w:right w:val="single" w:sz="4" w:space="0" w:color="auto"/>
            </w:tcBorders>
            <w:shd w:val="clear" w:color="auto" w:fill="auto"/>
            <w:noWrap/>
            <w:vAlign w:val="center"/>
            <w:hideMark/>
          </w:tcPr>
          <w:p w:rsidR="0039067A" w:rsidRPr="0039067A" w:rsidRDefault="0039067A" w:rsidP="0039067A">
            <w:pPr>
              <w:spacing w:before="0" w:beforeAutospacing="0" w:after="0" w:afterAutospacing="0"/>
              <w:rPr>
                <w:rFonts w:ascii="Calibri" w:eastAsia="Times New Roman" w:hAnsi="Calibri" w:cs="Times New Roman"/>
                <w:color w:val="000000"/>
                <w:lang w:eastAsia="fr-FR"/>
              </w:rPr>
            </w:pPr>
            <w:r w:rsidRPr="0039067A">
              <w:rPr>
                <w:rFonts w:ascii="Calibri" w:eastAsia="Times New Roman" w:hAnsi="Calibri" w:cs="Times New Roman"/>
                <w:color w:val="000000"/>
                <w:lang w:eastAsia="fr-FR"/>
              </w:rPr>
              <w:t>0,43%</w:t>
            </w:r>
          </w:p>
        </w:tc>
        <w:tc>
          <w:tcPr>
            <w:tcW w:w="1500" w:type="dxa"/>
            <w:tcBorders>
              <w:top w:val="nil"/>
              <w:left w:val="nil"/>
              <w:bottom w:val="single" w:sz="4" w:space="0" w:color="auto"/>
              <w:right w:val="single" w:sz="4" w:space="0" w:color="auto"/>
            </w:tcBorders>
            <w:shd w:val="clear" w:color="auto" w:fill="auto"/>
            <w:noWrap/>
            <w:vAlign w:val="center"/>
            <w:hideMark/>
          </w:tcPr>
          <w:p w:rsidR="0039067A" w:rsidRPr="0039067A" w:rsidRDefault="0039067A" w:rsidP="0039067A">
            <w:pPr>
              <w:spacing w:before="0" w:beforeAutospacing="0" w:after="0" w:afterAutospacing="0"/>
              <w:rPr>
                <w:rFonts w:ascii="Calibri" w:eastAsia="Times New Roman" w:hAnsi="Calibri" w:cs="Times New Roman"/>
                <w:color w:val="000000"/>
                <w:lang w:eastAsia="fr-FR"/>
              </w:rPr>
            </w:pPr>
            <w:r w:rsidRPr="0039067A">
              <w:rPr>
                <w:rFonts w:ascii="Calibri" w:eastAsia="Times New Roman" w:hAnsi="Calibri" w:cs="Times New Roman"/>
                <w:color w:val="000000"/>
                <w:lang w:eastAsia="fr-FR"/>
              </w:rPr>
              <w:t>100%</w:t>
            </w:r>
          </w:p>
        </w:tc>
      </w:tr>
      <w:tr w:rsidR="0039067A" w:rsidRPr="0039067A" w:rsidTr="0039067A">
        <w:trPr>
          <w:trHeight w:val="300"/>
          <w:jc w:val="center"/>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rsidR="0039067A" w:rsidRPr="0039067A" w:rsidRDefault="0039067A" w:rsidP="0039067A">
            <w:pPr>
              <w:spacing w:before="0" w:beforeAutospacing="0" w:after="0" w:afterAutospacing="0"/>
              <w:jc w:val="left"/>
              <w:rPr>
                <w:rFonts w:ascii="Times New Roman" w:eastAsia="Times New Roman" w:hAnsi="Times New Roman" w:cs="Times New Roman"/>
                <w:color w:val="000000"/>
                <w:lang w:eastAsia="fr-FR"/>
              </w:rPr>
            </w:pPr>
            <w:r w:rsidRPr="0039067A">
              <w:rPr>
                <w:rFonts w:ascii="Times New Roman" w:eastAsia="Times New Roman" w:hAnsi="Times New Roman" w:cs="Times New Roman"/>
                <w:color w:val="000000"/>
                <w:lang w:eastAsia="fr-FR"/>
              </w:rPr>
              <w:t>Capitaux propres SCF</w:t>
            </w:r>
          </w:p>
        </w:tc>
        <w:tc>
          <w:tcPr>
            <w:tcW w:w="1780" w:type="dxa"/>
            <w:tcBorders>
              <w:top w:val="nil"/>
              <w:left w:val="nil"/>
              <w:bottom w:val="single" w:sz="4" w:space="0" w:color="auto"/>
              <w:right w:val="single" w:sz="4" w:space="0" w:color="auto"/>
            </w:tcBorders>
            <w:shd w:val="clear" w:color="auto" w:fill="auto"/>
            <w:noWrap/>
            <w:vAlign w:val="center"/>
            <w:hideMark/>
          </w:tcPr>
          <w:p w:rsidR="0039067A" w:rsidRPr="0039067A" w:rsidRDefault="0039067A" w:rsidP="0039067A">
            <w:pPr>
              <w:spacing w:before="0" w:beforeAutospacing="0" w:after="0" w:afterAutospacing="0"/>
              <w:rPr>
                <w:rFonts w:ascii="Calibri" w:eastAsia="Times New Roman" w:hAnsi="Calibri" w:cs="Times New Roman"/>
                <w:color w:val="000000"/>
                <w:lang w:eastAsia="fr-FR"/>
              </w:rPr>
            </w:pPr>
            <w:r w:rsidRPr="0039067A">
              <w:rPr>
                <w:rFonts w:ascii="Calibri" w:eastAsia="Times New Roman" w:hAnsi="Calibri" w:cs="Times New Roman"/>
                <w:color w:val="000000"/>
                <w:lang w:eastAsia="fr-FR"/>
              </w:rPr>
              <w:t>635 167,25</w:t>
            </w:r>
          </w:p>
        </w:tc>
        <w:tc>
          <w:tcPr>
            <w:tcW w:w="1760" w:type="dxa"/>
            <w:tcBorders>
              <w:top w:val="nil"/>
              <w:left w:val="nil"/>
              <w:bottom w:val="single" w:sz="4" w:space="0" w:color="auto"/>
              <w:right w:val="single" w:sz="4" w:space="0" w:color="auto"/>
            </w:tcBorders>
            <w:shd w:val="clear" w:color="auto" w:fill="auto"/>
            <w:noWrap/>
            <w:vAlign w:val="center"/>
            <w:hideMark/>
          </w:tcPr>
          <w:p w:rsidR="0039067A" w:rsidRPr="0039067A" w:rsidRDefault="0039067A" w:rsidP="0039067A">
            <w:pPr>
              <w:spacing w:before="0" w:beforeAutospacing="0" w:after="0" w:afterAutospacing="0" w:line="276" w:lineRule="auto"/>
              <w:rPr>
                <w:rFonts w:ascii="Calibri" w:eastAsia="Calibri" w:hAnsi="Calibri" w:cs="Arial"/>
                <w:color w:val="000000"/>
              </w:rPr>
            </w:pPr>
            <w:r w:rsidRPr="0039067A">
              <w:rPr>
                <w:rFonts w:ascii="Calibri" w:eastAsia="Calibri" w:hAnsi="Calibri" w:cs="Arial"/>
                <w:color w:val="000000"/>
              </w:rPr>
              <w:t>100,43%</w:t>
            </w:r>
          </w:p>
        </w:tc>
        <w:tc>
          <w:tcPr>
            <w:tcW w:w="1500" w:type="dxa"/>
            <w:tcBorders>
              <w:top w:val="nil"/>
              <w:left w:val="nil"/>
              <w:bottom w:val="single" w:sz="4" w:space="0" w:color="auto"/>
              <w:right w:val="single" w:sz="4" w:space="0" w:color="auto"/>
            </w:tcBorders>
            <w:shd w:val="clear" w:color="auto" w:fill="auto"/>
            <w:noWrap/>
            <w:vAlign w:val="center"/>
            <w:hideMark/>
          </w:tcPr>
          <w:p w:rsidR="0039067A" w:rsidRPr="0039067A" w:rsidRDefault="0039067A" w:rsidP="0039067A">
            <w:pPr>
              <w:spacing w:before="0" w:beforeAutospacing="0" w:after="0" w:afterAutospacing="0"/>
              <w:rPr>
                <w:rFonts w:ascii="Calibri" w:eastAsia="Times New Roman" w:hAnsi="Calibri" w:cs="Times New Roman"/>
                <w:color w:val="000000"/>
                <w:lang w:eastAsia="fr-FR"/>
              </w:rPr>
            </w:pPr>
            <w:r w:rsidRPr="0039067A">
              <w:rPr>
                <w:rFonts w:ascii="Calibri" w:eastAsia="Times New Roman" w:hAnsi="Calibri" w:cs="Times New Roman"/>
                <w:color w:val="000000"/>
                <w:lang w:eastAsia="fr-FR"/>
              </w:rPr>
              <w:t> </w:t>
            </w:r>
          </w:p>
        </w:tc>
      </w:tr>
    </w:tbl>
    <w:p w:rsidR="0039067A" w:rsidRPr="0039067A" w:rsidRDefault="0039067A" w:rsidP="0039067A">
      <w:pPr>
        <w:spacing w:before="0" w:beforeAutospacing="0" w:after="60" w:afterAutospacing="0" w:line="276" w:lineRule="auto"/>
        <w:jc w:val="both"/>
        <w:rPr>
          <w:rFonts w:ascii="Times New Roman" w:eastAsia="Calibri" w:hAnsi="Times New Roman" w:cs="Times New Roman"/>
          <w:sz w:val="24"/>
          <w:szCs w:val="24"/>
        </w:rPr>
      </w:pPr>
      <w:r w:rsidRPr="0039067A">
        <w:rPr>
          <w:rFonts w:ascii="Times New Roman" w:eastAsia="Calibri" w:hAnsi="Times New Roman" w:cs="Times New Roman"/>
          <w:i/>
          <w:szCs w:val="24"/>
        </w:rPr>
        <w:t>Sources : établis sur la base des données financières des sociétés de l’échantillon</w:t>
      </w:r>
    </w:p>
    <w:p w:rsidR="0039067A" w:rsidRPr="0039067A" w:rsidRDefault="0039067A" w:rsidP="0039067A">
      <w:pPr>
        <w:spacing w:before="0" w:beforeAutospacing="0" w:after="60" w:afterAutospacing="0" w:line="276" w:lineRule="auto"/>
        <w:ind w:firstLine="360"/>
        <w:jc w:val="both"/>
        <w:rPr>
          <w:rFonts w:ascii="Times New Roman" w:eastAsia="Calibri" w:hAnsi="Times New Roman" w:cs="Times New Roman"/>
          <w:sz w:val="24"/>
          <w:szCs w:val="24"/>
        </w:rPr>
      </w:pPr>
      <w:r w:rsidRPr="0039067A">
        <w:rPr>
          <w:rFonts w:ascii="Times New Roman" w:eastAsia="Calibri" w:hAnsi="Times New Roman" w:cs="Times New Roman"/>
          <w:sz w:val="24"/>
          <w:szCs w:val="24"/>
        </w:rPr>
        <w:t>Dans le même objectif, l’impact relatif au changement de méthode et d’estimation est expliqué dans le tableau suivant :</w:t>
      </w:r>
    </w:p>
    <w:p w:rsidR="0039067A" w:rsidRPr="0039067A" w:rsidRDefault="0039067A" w:rsidP="0039067A">
      <w:pPr>
        <w:spacing w:before="0" w:beforeAutospacing="0" w:after="60" w:afterAutospacing="0" w:line="276" w:lineRule="auto"/>
        <w:ind w:firstLine="357"/>
        <w:rPr>
          <w:rFonts w:ascii="Times New Roman" w:eastAsia="Calibri" w:hAnsi="Times New Roman" w:cs="Times New Roman"/>
          <w:b/>
          <w:sz w:val="24"/>
          <w:szCs w:val="24"/>
        </w:rPr>
      </w:pPr>
      <w:r w:rsidRPr="0039067A">
        <w:rPr>
          <w:rFonts w:ascii="Times New Roman" w:eastAsia="Calibri" w:hAnsi="Times New Roman" w:cs="Times New Roman"/>
          <w:b/>
          <w:sz w:val="24"/>
          <w:szCs w:val="24"/>
        </w:rPr>
        <w:t>Tableau (11) : Impact sur les CP relatif aux Changements de méthodes et d’estimation</w:t>
      </w:r>
    </w:p>
    <w:tbl>
      <w:tblPr>
        <w:tblW w:w="5260" w:type="dxa"/>
        <w:jc w:val="center"/>
        <w:tblInd w:w="56" w:type="dxa"/>
        <w:tblCellMar>
          <w:left w:w="70" w:type="dxa"/>
          <w:right w:w="70" w:type="dxa"/>
        </w:tblCellMar>
        <w:tblLook w:val="04A0" w:firstRow="1" w:lastRow="0" w:firstColumn="1" w:lastColumn="0" w:noHBand="0" w:noVBand="1"/>
      </w:tblPr>
      <w:tblGrid>
        <w:gridCol w:w="3480"/>
        <w:gridCol w:w="1780"/>
      </w:tblGrid>
      <w:tr w:rsidR="0039067A" w:rsidRPr="0039067A" w:rsidTr="0039067A">
        <w:trPr>
          <w:trHeight w:val="300"/>
          <w:jc w:val="center"/>
        </w:trPr>
        <w:tc>
          <w:tcPr>
            <w:tcW w:w="3480" w:type="dxa"/>
            <w:tcBorders>
              <w:top w:val="single" w:sz="4" w:space="0" w:color="auto"/>
              <w:left w:val="single" w:sz="4" w:space="0" w:color="auto"/>
              <w:bottom w:val="single" w:sz="4" w:space="0" w:color="auto"/>
              <w:right w:val="nil"/>
            </w:tcBorders>
            <w:shd w:val="clear" w:color="000000" w:fill="auto"/>
            <w:noWrap/>
            <w:vAlign w:val="bottom"/>
            <w:hideMark/>
          </w:tcPr>
          <w:p w:rsidR="0039067A" w:rsidRPr="0039067A" w:rsidRDefault="0039067A" w:rsidP="0039067A">
            <w:pPr>
              <w:spacing w:before="0" w:beforeAutospacing="0" w:after="0" w:afterAutospacing="0"/>
              <w:rPr>
                <w:rFonts w:ascii="Calibri" w:eastAsia="Times New Roman" w:hAnsi="Calibri" w:cs="Calibri"/>
                <w:b/>
                <w:bCs/>
                <w:color w:val="000000"/>
                <w:lang w:eastAsia="fr-FR"/>
              </w:rPr>
            </w:pPr>
            <w:r w:rsidRPr="0039067A">
              <w:rPr>
                <w:rFonts w:ascii="Calibri" w:eastAsia="Times New Roman" w:hAnsi="Calibri" w:cs="Calibri"/>
                <w:color w:val="000000"/>
                <w:lang w:eastAsia="fr-FR"/>
              </w:rPr>
              <w:t xml:space="preserve">Impact dû aux Changements de méthodes et d’estimation </w:t>
            </w:r>
          </w:p>
        </w:tc>
        <w:tc>
          <w:tcPr>
            <w:tcW w:w="1780"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39067A" w:rsidRPr="0039067A" w:rsidRDefault="0039067A" w:rsidP="0039067A">
            <w:pPr>
              <w:spacing w:before="0" w:beforeAutospacing="0" w:after="0" w:afterAutospacing="0"/>
              <w:rPr>
                <w:rFonts w:ascii="Calibri" w:eastAsia="Times New Roman" w:hAnsi="Calibri" w:cs="Calibri"/>
                <w:b/>
                <w:bCs/>
                <w:color w:val="000000"/>
                <w:lang w:eastAsia="fr-FR"/>
              </w:rPr>
            </w:pPr>
            <w:r w:rsidRPr="0039067A">
              <w:rPr>
                <w:rFonts w:ascii="Calibri" w:eastAsia="Times New Roman" w:hAnsi="Calibri" w:cs="Calibri"/>
                <w:b/>
                <w:bCs/>
                <w:color w:val="000000"/>
                <w:lang w:eastAsia="fr-FR"/>
              </w:rPr>
              <w:t>-2 664,36</w:t>
            </w:r>
          </w:p>
        </w:tc>
      </w:tr>
      <w:tr w:rsidR="0039067A" w:rsidRPr="0039067A" w:rsidTr="0039067A">
        <w:trPr>
          <w:trHeight w:val="300"/>
          <w:jc w:val="center"/>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jc w:val="left"/>
              <w:rPr>
                <w:rFonts w:ascii="Calibri" w:eastAsia="Times New Roman" w:hAnsi="Calibri" w:cs="Calibri"/>
                <w:color w:val="000000"/>
                <w:lang w:eastAsia="fr-FR"/>
              </w:rPr>
            </w:pPr>
            <w:r w:rsidRPr="0039067A">
              <w:rPr>
                <w:rFonts w:ascii="Calibri" w:eastAsia="Times New Roman" w:hAnsi="Calibri" w:cs="Calibri"/>
                <w:color w:val="000000"/>
                <w:lang w:eastAsia="fr-FR"/>
              </w:rPr>
              <w:t>Charge des exercices antérieurs</w:t>
            </w:r>
          </w:p>
        </w:tc>
        <w:tc>
          <w:tcPr>
            <w:tcW w:w="1780" w:type="dxa"/>
            <w:tcBorders>
              <w:top w:val="nil"/>
              <w:left w:val="nil"/>
              <w:bottom w:val="single" w:sz="4" w:space="0" w:color="auto"/>
              <w:right w:val="single" w:sz="4" w:space="0" w:color="auto"/>
            </w:tcBorders>
            <w:shd w:val="clear" w:color="auto" w:fill="auto"/>
            <w:noWrap/>
            <w:vAlign w:val="center"/>
            <w:hideMark/>
          </w:tcPr>
          <w:p w:rsidR="0039067A" w:rsidRPr="0039067A" w:rsidRDefault="0039067A" w:rsidP="0039067A">
            <w:pPr>
              <w:spacing w:before="0" w:beforeAutospacing="0" w:after="0" w:afterAutospacing="0"/>
              <w:rPr>
                <w:rFonts w:ascii="Calibri" w:eastAsia="Times New Roman" w:hAnsi="Calibri" w:cs="Calibri"/>
                <w:color w:val="000000"/>
                <w:lang w:eastAsia="fr-FR"/>
              </w:rPr>
            </w:pPr>
            <w:r w:rsidRPr="0039067A">
              <w:rPr>
                <w:rFonts w:ascii="Calibri" w:eastAsia="Times New Roman" w:hAnsi="Calibri" w:cs="Calibri"/>
                <w:color w:val="000000"/>
                <w:lang w:eastAsia="fr-FR"/>
              </w:rPr>
              <w:t>-2 380,84</w:t>
            </w:r>
          </w:p>
        </w:tc>
      </w:tr>
      <w:tr w:rsidR="0039067A" w:rsidRPr="0039067A" w:rsidTr="0039067A">
        <w:trPr>
          <w:trHeight w:val="300"/>
          <w:jc w:val="center"/>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jc w:val="left"/>
              <w:rPr>
                <w:rFonts w:ascii="Calibri" w:eastAsia="Times New Roman" w:hAnsi="Calibri" w:cs="Calibri"/>
                <w:color w:val="000000"/>
                <w:lang w:eastAsia="fr-FR"/>
              </w:rPr>
            </w:pPr>
            <w:r w:rsidRPr="0039067A">
              <w:rPr>
                <w:rFonts w:ascii="Calibri" w:eastAsia="Times New Roman" w:hAnsi="Calibri" w:cs="Calibri"/>
                <w:color w:val="000000"/>
                <w:lang w:eastAsia="fr-FR"/>
              </w:rPr>
              <w:t>Produits des exercices antérieurs</w:t>
            </w:r>
          </w:p>
        </w:tc>
        <w:tc>
          <w:tcPr>
            <w:tcW w:w="1780" w:type="dxa"/>
            <w:tcBorders>
              <w:top w:val="nil"/>
              <w:left w:val="nil"/>
              <w:bottom w:val="single" w:sz="4" w:space="0" w:color="auto"/>
              <w:right w:val="single" w:sz="4" w:space="0" w:color="auto"/>
            </w:tcBorders>
            <w:shd w:val="clear" w:color="auto" w:fill="auto"/>
            <w:noWrap/>
            <w:vAlign w:val="center"/>
            <w:hideMark/>
          </w:tcPr>
          <w:p w:rsidR="0039067A" w:rsidRPr="0039067A" w:rsidRDefault="0039067A" w:rsidP="0039067A">
            <w:pPr>
              <w:spacing w:before="0" w:beforeAutospacing="0" w:after="0" w:afterAutospacing="0"/>
              <w:rPr>
                <w:rFonts w:ascii="Calibri" w:eastAsia="Times New Roman" w:hAnsi="Calibri" w:cs="Calibri"/>
                <w:color w:val="000000"/>
                <w:lang w:eastAsia="fr-FR"/>
              </w:rPr>
            </w:pPr>
            <w:r w:rsidRPr="0039067A">
              <w:rPr>
                <w:rFonts w:ascii="Calibri" w:eastAsia="Times New Roman" w:hAnsi="Calibri" w:cs="Calibri"/>
                <w:color w:val="000000"/>
                <w:lang w:eastAsia="fr-FR"/>
              </w:rPr>
              <w:t>2 908,38</w:t>
            </w:r>
          </w:p>
        </w:tc>
      </w:tr>
      <w:tr w:rsidR="0039067A" w:rsidRPr="0039067A" w:rsidTr="0039067A">
        <w:trPr>
          <w:trHeight w:val="300"/>
          <w:jc w:val="center"/>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jc w:val="left"/>
              <w:rPr>
                <w:rFonts w:ascii="Calibri" w:eastAsia="Times New Roman" w:hAnsi="Calibri" w:cs="Calibri"/>
                <w:color w:val="000000"/>
                <w:lang w:eastAsia="fr-FR"/>
              </w:rPr>
            </w:pPr>
            <w:r w:rsidRPr="0039067A">
              <w:rPr>
                <w:rFonts w:ascii="Calibri" w:eastAsia="Times New Roman" w:hAnsi="Calibri" w:cs="Calibri"/>
                <w:color w:val="000000"/>
                <w:lang w:eastAsia="fr-FR"/>
              </w:rPr>
              <w:t>Provisions pour charge de personnel</w:t>
            </w:r>
          </w:p>
        </w:tc>
        <w:tc>
          <w:tcPr>
            <w:tcW w:w="1780" w:type="dxa"/>
            <w:tcBorders>
              <w:top w:val="nil"/>
              <w:left w:val="nil"/>
              <w:bottom w:val="single" w:sz="4" w:space="0" w:color="auto"/>
              <w:right w:val="single" w:sz="4" w:space="0" w:color="auto"/>
            </w:tcBorders>
            <w:shd w:val="clear" w:color="auto" w:fill="auto"/>
            <w:noWrap/>
            <w:vAlign w:val="center"/>
            <w:hideMark/>
          </w:tcPr>
          <w:p w:rsidR="0039067A" w:rsidRPr="0039067A" w:rsidRDefault="0039067A" w:rsidP="0039067A">
            <w:pPr>
              <w:spacing w:before="0" w:beforeAutospacing="0" w:after="0" w:afterAutospacing="0"/>
              <w:rPr>
                <w:rFonts w:ascii="Calibri" w:eastAsia="Times New Roman" w:hAnsi="Calibri" w:cs="Calibri"/>
                <w:color w:val="000000"/>
                <w:lang w:eastAsia="fr-FR"/>
              </w:rPr>
            </w:pPr>
            <w:r w:rsidRPr="0039067A">
              <w:rPr>
                <w:rFonts w:ascii="Calibri" w:eastAsia="Times New Roman" w:hAnsi="Calibri" w:cs="Calibri"/>
                <w:color w:val="000000"/>
                <w:lang w:eastAsia="fr-FR"/>
              </w:rPr>
              <w:t>-2 796,85</w:t>
            </w:r>
          </w:p>
        </w:tc>
      </w:tr>
      <w:tr w:rsidR="0039067A" w:rsidRPr="0039067A" w:rsidTr="0039067A">
        <w:trPr>
          <w:trHeight w:val="300"/>
          <w:jc w:val="center"/>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jc w:val="left"/>
              <w:rPr>
                <w:rFonts w:ascii="Calibri" w:eastAsia="Times New Roman" w:hAnsi="Calibri" w:cs="Calibri"/>
                <w:color w:val="000000"/>
                <w:lang w:eastAsia="fr-FR"/>
              </w:rPr>
            </w:pPr>
            <w:r w:rsidRPr="0039067A">
              <w:rPr>
                <w:rFonts w:ascii="Calibri" w:eastAsia="Times New Roman" w:hAnsi="Calibri" w:cs="Calibri"/>
                <w:color w:val="000000"/>
                <w:lang w:eastAsia="fr-FR"/>
              </w:rPr>
              <w:t>Impôts différés</w:t>
            </w:r>
          </w:p>
        </w:tc>
        <w:tc>
          <w:tcPr>
            <w:tcW w:w="1780" w:type="dxa"/>
            <w:tcBorders>
              <w:top w:val="nil"/>
              <w:left w:val="nil"/>
              <w:bottom w:val="single" w:sz="4" w:space="0" w:color="auto"/>
              <w:right w:val="single" w:sz="4" w:space="0" w:color="auto"/>
            </w:tcBorders>
            <w:shd w:val="clear" w:color="auto" w:fill="auto"/>
            <w:noWrap/>
            <w:vAlign w:val="center"/>
            <w:hideMark/>
          </w:tcPr>
          <w:p w:rsidR="0039067A" w:rsidRPr="0039067A" w:rsidRDefault="0039067A" w:rsidP="0039067A">
            <w:pPr>
              <w:spacing w:before="0" w:beforeAutospacing="0" w:after="0" w:afterAutospacing="0"/>
              <w:rPr>
                <w:rFonts w:ascii="Calibri" w:eastAsia="Times New Roman" w:hAnsi="Calibri" w:cs="Calibri"/>
                <w:color w:val="000000"/>
                <w:lang w:eastAsia="fr-FR"/>
              </w:rPr>
            </w:pPr>
            <w:r w:rsidRPr="0039067A">
              <w:rPr>
                <w:rFonts w:ascii="Calibri" w:eastAsia="Times New Roman" w:hAnsi="Calibri" w:cs="Calibri"/>
                <w:color w:val="000000"/>
                <w:lang w:eastAsia="fr-FR"/>
              </w:rPr>
              <w:t>830,21</w:t>
            </w:r>
          </w:p>
        </w:tc>
      </w:tr>
      <w:tr w:rsidR="0039067A" w:rsidRPr="0039067A" w:rsidTr="0039067A">
        <w:trPr>
          <w:trHeight w:val="300"/>
          <w:jc w:val="center"/>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jc w:val="left"/>
              <w:rPr>
                <w:rFonts w:ascii="Calibri" w:eastAsia="Times New Roman" w:hAnsi="Calibri" w:cs="Calibri"/>
                <w:color w:val="000000"/>
                <w:lang w:eastAsia="fr-FR"/>
              </w:rPr>
            </w:pPr>
            <w:r w:rsidRPr="0039067A">
              <w:rPr>
                <w:rFonts w:ascii="Calibri" w:eastAsia="Times New Roman" w:hAnsi="Calibri" w:cs="Calibri"/>
                <w:color w:val="000000"/>
                <w:lang w:eastAsia="fr-FR"/>
              </w:rPr>
              <w:t>Provision pour charges</w:t>
            </w:r>
          </w:p>
        </w:tc>
        <w:tc>
          <w:tcPr>
            <w:tcW w:w="1780" w:type="dxa"/>
            <w:tcBorders>
              <w:top w:val="nil"/>
              <w:left w:val="nil"/>
              <w:bottom w:val="single" w:sz="4" w:space="0" w:color="auto"/>
              <w:right w:val="single" w:sz="4" w:space="0" w:color="auto"/>
            </w:tcBorders>
            <w:shd w:val="clear" w:color="auto" w:fill="auto"/>
            <w:noWrap/>
            <w:vAlign w:val="center"/>
            <w:hideMark/>
          </w:tcPr>
          <w:p w:rsidR="0039067A" w:rsidRPr="0039067A" w:rsidRDefault="0039067A" w:rsidP="0039067A">
            <w:pPr>
              <w:spacing w:before="0" w:beforeAutospacing="0" w:after="0" w:afterAutospacing="0"/>
              <w:rPr>
                <w:rFonts w:ascii="Calibri" w:eastAsia="Times New Roman" w:hAnsi="Calibri" w:cs="Calibri"/>
                <w:color w:val="000000"/>
                <w:lang w:eastAsia="fr-FR"/>
              </w:rPr>
            </w:pPr>
            <w:r w:rsidRPr="0039067A">
              <w:rPr>
                <w:rFonts w:ascii="Calibri" w:eastAsia="Times New Roman" w:hAnsi="Calibri" w:cs="Calibri"/>
                <w:color w:val="000000"/>
                <w:lang w:eastAsia="fr-FR"/>
              </w:rPr>
              <w:t>2,34</w:t>
            </w:r>
          </w:p>
        </w:tc>
      </w:tr>
      <w:tr w:rsidR="0039067A" w:rsidRPr="0039067A" w:rsidTr="0039067A">
        <w:trPr>
          <w:trHeight w:val="300"/>
          <w:jc w:val="center"/>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jc w:val="left"/>
              <w:rPr>
                <w:rFonts w:ascii="Calibri" w:eastAsia="Times New Roman" w:hAnsi="Calibri" w:cs="Calibri"/>
                <w:color w:val="000000"/>
                <w:lang w:eastAsia="fr-FR"/>
              </w:rPr>
            </w:pPr>
            <w:r w:rsidRPr="0039067A">
              <w:rPr>
                <w:rFonts w:ascii="Calibri" w:eastAsia="Times New Roman" w:hAnsi="Calibri" w:cs="Calibri"/>
                <w:color w:val="000000"/>
                <w:lang w:eastAsia="fr-FR"/>
              </w:rPr>
              <w:t>Annulation de la provision pour GE</w:t>
            </w:r>
          </w:p>
        </w:tc>
        <w:tc>
          <w:tcPr>
            <w:tcW w:w="1780" w:type="dxa"/>
            <w:tcBorders>
              <w:top w:val="nil"/>
              <w:left w:val="nil"/>
              <w:bottom w:val="single" w:sz="4" w:space="0" w:color="auto"/>
              <w:right w:val="single" w:sz="4" w:space="0" w:color="auto"/>
            </w:tcBorders>
            <w:shd w:val="clear" w:color="auto" w:fill="auto"/>
            <w:noWrap/>
            <w:vAlign w:val="center"/>
            <w:hideMark/>
          </w:tcPr>
          <w:p w:rsidR="0039067A" w:rsidRPr="0039067A" w:rsidRDefault="0039067A" w:rsidP="0039067A">
            <w:pPr>
              <w:spacing w:before="0" w:beforeAutospacing="0" w:after="0" w:afterAutospacing="0"/>
              <w:rPr>
                <w:rFonts w:ascii="Calibri" w:eastAsia="Times New Roman" w:hAnsi="Calibri" w:cs="Calibri"/>
                <w:color w:val="000000"/>
                <w:lang w:eastAsia="fr-FR"/>
              </w:rPr>
            </w:pPr>
            <w:r w:rsidRPr="0039067A">
              <w:rPr>
                <w:rFonts w:ascii="Calibri" w:eastAsia="Times New Roman" w:hAnsi="Calibri" w:cs="Calibri"/>
                <w:color w:val="000000"/>
                <w:lang w:eastAsia="fr-FR"/>
              </w:rPr>
              <w:t>-1 227,61</w:t>
            </w:r>
          </w:p>
        </w:tc>
      </w:tr>
    </w:tbl>
    <w:p w:rsidR="0039067A" w:rsidRPr="0039067A" w:rsidRDefault="0039067A" w:rsidP="0039067A">
      <w:pPr>
        <w:spacing w:before="120" w:beforeAutospacing="0" w:after="120" w:afterAutospacing="0" w:line="276" w:lineRule="auto"/>
        <w:ind w:firstLine="360"/>
        <w:jc w:val="both"/>
        <w:rPr>
          <w:rFonts w:ascii="Times New Roman" w:eastAsia="Calibri" w:hAnsi="Times New Roman" w:cs="Times New Roman"/>
          <w:sz w:val="24"/>
          <w:szCs w:val="24"/>
        </w:rPr>
      </w:pPr>
      <w:r w:rsidRPr="0039067A">
        <w:rPr>
          <w:rFonts w:ascii="Times New Roman" w:eastAsia="Calibri" w:hAnsi="Times New Roman" w:cs="Times New Roman"/>
          <w:i/>
          <w:szCs w:val="24"/>
        </w:rPr>
        <w:t>Sources : établis sur la base des données financières des sociétés de l’échantillon</w:t>
      </w:r>
    </w:p>
    <w:p w:rsidR="0039067A" w:rsidRPr="0039067A" w:rsidRDefault="0039067A" w:rsidP="0039067A">
      <w:pPr>
        <w:spacing w:before="180" w:beforeAutospacing="0" w:after="180" w:afterAutospacing="0" w:line="276" w:lineRule="auto"/>
        <w:jc w:val="both"/>
        <w:rPr>
          <w:rFonts w:ascii="Times New Roman" w:eastAsia="Calibri" w:hAnsi="Times New Roman" w:cs="Times New Roman"/>
          <w:b/>
          <w:sz w:val="26"/>
          <w:szCs w:val="26"/>
        </w:rPr>
      </w:pPr>
      <w:r w:rsidRPr="0039067A">
        <w:rPr>
          <w:rFonts w:ascii="Times New Roman" w:eastAsia="Calibri" w:hAnsi="Times New Roman" w:cs="Times New Roman"/>
          <w:b/>
          <w:sz w:val="26"/>
          <w:szCs w:val="26"/>
        </w:rPr>
        <w:t>3.3. L’impact du SCF sur les résultats des sociétés du Groupe</w:t>
      </w:r>
    </w:p>
    <w:p w:rsidR="0039067A" w:rsidRPr="0039067A" w:rsidRDefault="0039067A" w:rsidP="0039067A">
      <w:pPr>
        <w:spacing w:before="60" w:beforeAutospacing="0" w:after="0" w:afterAutospacing="0" w:line="276" w:lineRule="auto"/>
        <w:ind w:firstLine="360"/>
        <w:jc w:val="both"/>
        <w:rPr>
          <w:rFonts w:ascii="Times New Roman" w:eastAsia="Calibri" w:hAnsi="Times New Roman" w:cs="Times New Roman"/>
          <w:sz w:val="24"/>
          <w:szCs w:val="24"/>
        </w:rPr>
      </w:pPr>
      <w:r w:rsidRPr="0039067A">
        <w:rPr>
          <w:rFonts w:ascii="Times New Roman" w:eastAsia="Calibri" w:hAnsi="Times New Roman" w:cs="Times New Roman"/>
          <w:sz w:val="24"/>
          <w:szCs w:val="24"/>
        </w:rPr>
        <w:t>La</w:t>
      </w:r>
      <w:r w:rsidRPr="0039067A">
        <w:rPr>
          <w:rFonts w:ascii="Times New Roman" w:eastAsia="Calibri" w:hAnsi="Times New Roman" w:cs="Times New Roman"/>
          <w:b/>
          <w:sz w:val="24"/>
          <w:szCs w:val="24"/>
        </w:rPr>
        <w:t xml:space="preserve"> </w:t>
      </w:r>
      <w:r w:rsidRPr="0039067A">
        <w:rPr>
          <w:rFonts w:ascii="Times New Roman" w:eastAsia="Calibri" w:hAnsi="Times New Roman" w:cs="Times New Roman"/>
          <w:sz w:val="24"/>
          <w:szCs w:val="24"/>
        </w:rPr>
        <w:t xml:space="preserve">comparaison entre les résultats PCN et SCF des 33 sociétés du Groupe </w:t>
      </w:r>
      <w:proofErr w:type="spellStart"/>
      <w:r w:rsidRPr="0039067A">
        <w:rPr>
          <w:rFonts w:ascii="Times New Roman" w:eastAsia="Calibri" w:hAnsi="Times New Roman" w:cs="Times New Roman"/>
          <w:sz w:val="24"/>
          <w:szCs w:val="24"/>
        </w:rPr>
        <w:t>Sonelgaz</w:t>
      </w:r>
      <w:proofErr w:type="spellEnd"/>
      <w:r w:rsidRPr="0039067A">
        <w:rPr>
          <w:rFonts w:ascii="Times New Roman" w:eastAsia="Calibri" w:hAnsi="Times New Roman" w:cs="Times New Roman"/>
          <w:sz w:val="24"/>
          <w:szCs w:val="24"/>
        </w:rPr>
        <w:t xml:space="preserve">, a permis d’avoir les résultats récapitulés dans le tableau suivant. </w:t>
      </w:r>
    </w:p>
    <w:p w:rsidR="0039067A" w:rsidRPr="0039067A" w:rsidRDefault="0039067A" w:rsidP="0039067A">
      <w:pPr>
        <w:spacing w:before="60" w:beforeAutospacing="0" w:after="0" w:afterAutospacing="0" w:line="276" w:lineRule="auto"/>
        <w:rPr>
          <w:rFonts w:ascii="Times New Roman" w:eastAsia="Calibri" w:hAnsi="Times New Roman" w:cs="Times New Roman"/>
          <w:b/>
          <w:sz w:val="26"/>
          <w:szCs w:val="26"/>
        </w:rPr>
      </w:pPr>
      <w:r w:rsidRPr="0039067A">
        <w:rPr>
          <w:rFonts w:ascii="Times New Roman" w:eastAsia="Calibri" w:hAnsi="Times New Roman" w:cs="Times New Roman"/>
          <w:b/>
          <w:sz w:val="26"/>
          <w:szCs w:val="26"/>
        </w:rPr>
        <w:t xml:space="preserve">Tableau (12) : </w:t>
      </w:r>
      <w:r w:rsidRPr="0039067A">
        <w:rPr>
          <w:rFonts w:ascii="Times New Roman" w:eastAsia="Calibri" w:hAnsi="Times New Roman" w:cs="Times New Roman"/>
          <w:b/>
          <w:sz w:val="24"/>
          <w:szCs w:val="24"/>
        </w:rPr>
        <w:t>Impact global du SCF sur les résultats</w:t>
      </w:r>
    </w:p>
    <w:tbl>
      <w:tblPr>
        <w:tblW w:w="7237" w:type="dxa"/>
        <w:jc w:val="center"/>
        <w:tblInd w:w="55" w:type="dxa"/>
        <w:tblCellMar>
          <w:left w:w="70" w:type="dxa"/>
          <w:right w:w="70" w:type="dxa"/>
        </w:tblCellMar>
        <w:tblLook w:val="04A0" w:firstRow="1" w:lastRow="0" w:firstColumn="1" w:lastColumn="0" w:noHBand="0" w:noVBand="1"/>
      </w:tblPr>
      <w:tblGrid>
        <w:gridCol w:w="1560"/>
        <w:gridCol w:w="1420"/>
        <w:gridCol w:w="1360"/>
        <w:gridCol w:w="1480"/>
        <w:gridCol w:w="1417"/>
      </w:tblGrid>
      <w:tr w:rsidR="0039067A" w:rsidRPr="0039067A" w:rsidTr="0039067A">
        <w:trPr>
          <w:trHeight w:val="225"/>
          <w:jc w:val="center"/>
        </w:trPr>
        <w:tc>
          <w:tcPr>
            <w:tcW w:w="1560"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39067A" w:rsidRPr="0039067A" w:rsidRDefault="0039067A" w:rsidP="0039067A">
            <w:pPr>
              <w:spacing w:before="0" w:beforeAutospacing="0" w:after="0" w:afterAutospacing="0"/>
              <w:rPr>
                <w:rFonts w:ascii="Calibri" w:eastAsia="Times New Roman" w:hAnsi="Calibri" w:cs="Calibri"/>
                <w:color w:val="000000"/>
                <w:lang w:eastAsia="fr-FR"/>
              </w:rPr>
            </w:pPr>
            <w:r w:rsidRPr="0039067A">
              <w:rPr>
                <w:rFonts w:ascii="Calibri" w:eastAsia="Times New Roman" w:hAnsi="Calibri" w:cs="Calibri"/>
                <w:color w:val="000000"/>
                <w:lang w:eastAsia="fr-FR"/>
              </w:rPr>
              <w:t> </w:t>
            </w:r>
          </w:p>
        </w:tc>
        <w:tc>
          <w:tcPr>
            <w:tcW w:w="1420" w:type="dxa"/>
            <w:tcBorders>
              <w:top w:val="single" w:sz="4" w:space="0" w:color="auto"/>
              <w:left w:val="nil"/>
              <w:bottom w:val="single" w:sz="4" w:space="0" w:color="auto"/>
              <w:right w:val="single" w:sz="4" w:space="0" w:color="auto"/>
            </w:tcBorders>
            <w:shd w:val="clear" w:color="000000" w:fill="auto"/>
            <w:vAlign w:val="center"/>
            <w:hideMark/>
          </w:tcPr>
          <w:p w:rsidR="0039067A" w:rsidRPr="0039067A" w:rsidRDefault="0039067A" w:rsidP="0039067A">
            <w:pPr>
              <w:spacing w:before="0" w:beforeAutospacing="0" w:after="0" w:afterAutospacing="0"/>
              <w:rPr>
                <w:rFonts w:ascii="Times New Roman" w:eastAsia="Times New Roman" w:hAnsi="Times New Roman" w:cs="Times New Roman"/>
                <w:color w:val="000000"/>
                <w:szCs w:val="24"/>
                <w:lang w:eastAsia="fr-FR"/>
              </w:rPr>
            </w:pPr>
            <w:r w:rsidRPr="0039067A">
              <w:rPr>
                <w:rFonts w:ascii="Times New Roman" w:eastAsia="Times New Roman" w:hAnsi="Times New Roman" w:cs="Times New Roman"/>
                <w:color w:val="000000"/>
                <w:szCs w:val="24"/>
                <w:lang w:eastAsia="fr-FR"/>
              </w:rPr>
              <w:t>Résultat PCN</w:t>
            </w:r>
          </w:p>
        </w:tc>
        <w:tc>
          <w:tcPr>
            <w:tcW w:w="1360" w:type="dxa"/>
            <w:tcBorders>
              <w:top w:val="single" w:sz="4" w:space="0" w:color="auto"/>
              <w:left w:val="nil"/>
              <w:bottom w:val="single" w:sz="4" w:space="0" w:color="auto"/>
              <w:right w:val="single" w:sz="4" w:space="0" w:color="auto"/>
            </w:tcBorders>
            <w:shd w:val="clear" w:color="000000" w:fill="auto"/>
            <w:vAlign w:val="center"/>
            <w:hideMark/>
          </w:tcPr>
          <w:p w:rsidR="0039067A" w:rsidRPr="0039067A" w:rsidRDefault="0039067A" w:rsidP="0039067A">
            <w:pPr>
              <w:spacing w:before="0" w:beforeAutospacing="0" w:after="0" w:afterAutospacing="0"/>
              <w:rPr>
                <w:rFonts w:ascii="Times New Roman" w:eastAsia="Times New Roman" w:hAnsi="Times New Roman" w:cs="Times New Roman"/>
                <w:color w:val="000000"/>
                <w:szCs w:val="24"/>
                <w:lang w:eastAsia="fr-FR"/>
              </w:rPr>
            </w:pPr>
            <w:r w:rsidRPr="0039067A">
              <w:rPr>
                <w:rFonts w:ascii="Times New Roman" w:eastAsia="Times New Roman" w:hAnsi="Times New Roman" w:cs="Times New Roman"/>
                <w:color w:val="000000"/>
                <w:szCs w:val="24"/>
                <w:lang w:eastAsia="fr-FR"/>
              </w:rPr>
              <w:t>Résultat SCF</w:t>
            </w:r>
          </w:p>
        </w:tc>
        <w:tc>
          <w:tcPr>
            <w:tcW w:w="1480" w:type="dxa"/>
            <w:tcBorders>
              <w:top w:val="single" w:sz="4" w:space="0" w:color="auto"/>
              <w:left w:val="nil"/>
              <w:bottom w:val="single" w:sz="4" w:space="0" w:color="auto"/>
              <w:right w:val="single" w:sz="4" w:space="0" w:color="auto"/>
            </w:tcBorders>
            <w:shd w:val="clear" w:color="000000" w:fill="auto"/>
            <w:vAlign w:val="center"/>
            <w:hideMark/>
          </w:tcPr>
          <w:p w:rsidR="0039067A" w:rsidRPr="0039067A" w:rsidRDefault="0039067A" w:rsidP="0039067A">
            <w:pPr>
              <w:spacing w:before="0" w:beforeAutospacing="0" w:after="0" w:afterAutospacing="0"/>
              <w:rPr>
                <w:rFonts w:ascii="Times New Roman" w:eastAsia="Times New Roman" w:hAnsi="Times New Roman" w:cs="Times New Roman"/>
                <w:color w:val="000000"/>
                <w:szCs w:val="24"/>
                <w:lang w:eastAsia="fr-FR"/>
              </w:rPr>
            </w:pPr>
            <w:r w:rsidRPr="0039067A">
              <w:rPr>
                <w:rFonts w:ascii="Times New Roman" w:eastAsia="Times New Roman" w:hAnsi="Times New Roman" w:cs="Times New Roman"/>
                <w:color w:val="000000"/>
                <w:szCs w:val="24"/>
                <w:lang w:eastAsia="fr-FR"/>
              </w:rPr>
              <w:t>VAR Résultat</w:t>
            </w:r>
          </w:p>
        </w:tc>
        <w:tc>
          <w:tcPr>
            <w:tcW w:w="1417" w:type="dxa"/>
            <w:tcBorders>
              <w:top w:val="single" w:sz="4" w:space="0" w:color="auto"/>
              <w:left w:val="nil"/>
              <w:bottom w:val="single" w:sz="4" w:space="0" w:color="auto"/>
              <w:right w:val="single" w:sz="4" w:space="0" w:color="auto"/>
            </w:tcBorders>
            <w:shd w:val="clear" w:color="000000" w:fill="auto"/>
            <w:vAlign w:val="center"/>
            <w:hideMark/>
          </w:tcPr>
          <w:p w:rsidR="0039067A" w:rsidRPr="0039067A" w:rsidRDefault="0039067A" w:rsidP="0039067A">
            <w:pPr>
              <w:spacing w:before="0" w:beforeAutospacing="0" w:after="0" w:afterAutospacing="0"/>
              <w:rPr>
                <w:rFonts w:ascii="Times New Roman" w:eastAsia="Times New Roman" w:hAnsi="Times New Roman" w:cs="Times New Roman"/>
                <w:color w:val="000000"/>
                <w:szCs w:val="24"/>
                <w:lang w:eastAsia="fr-FR"/>
              </w:rPr>
            </w:pPr>
            <w:r w:rsidRPr="0039067A">
              <w:rPr>
                <w:rFonts w:ascii="Times New Roman" w:eastAsia="Times New Roman" w:hAnsi="Times New Roman" w:cs="Times New Roman"/>
                <w:color w:val="000000"/>
                <w:szCs w:val="24"/>
                <w:lang w:eastAsia="fr-FR"/>
              </w:rPr>
              <w:t>VAR REL Résultat</w:t>
            </w:r>
          </w:p>
        </w:tc>
      </w:tr>
      <w:tr w:rsidR="0039067A" w:rsidRPr="0039067A" w:rsidTr="0039067A">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jc w:val="left"/>
              <w:rPr>
                <w:rFonts w:ascii="TimesNewRoman" w:eastAsia="Times New Roman" w:hAnsi="TimesNewRoman" w:cs="Calibri"/>
                <w:color w:val="000000"/>
                <w:sz w:val="20"/>
                <w:szCs w:val="20"/>
                <w:lang w:eastAsia="fr-FR"/>
              </w:rPr>
            </w:pPr>
            <w:r w:rsidRPr="0039067A">
              <w:rPr>
                <w:rFonts w:ascii="TimesNewRoman" w:eastAsia="Times New Roman" w:hAnsi="TimesNewRoman" w:cs="Calibri"/>
                <w:color w:val="000000"/>
                <w:sz w:val="20"/>
                <w:szCs w:val="20"/>
                <w:lang w:eastAsia="fr-FR"/>
              </w:rPr>
              <w:t xml:space="preserve">Moyenne </w:t>
            </w:r>
          </w:p>
        </w:tc>
        <w:tc>
          <w:tcPr>
            <w:tcW w:w="1420" w:type="dxa"/>
            <w:tcBorders>
              <w:top w:val="nil"/>
              <w:left w:val="nil"/>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rPr>
                <w:rFonts w:ascii="Calibri" w:eastAsia="Times New Roman" w:hAnsi="Calibri" w:cs="Times New Roman"/>
                <w:color w:val="000000"/>
                <w:lang w:eastAsia="fr-FR"/>
              </w:rPr>
            </w:pPr>
            <w:r w:rsidRPr="0039067A">
              <w:rPr>
                <w:rFonts w:ascii="Calibri" w:eastAsia="Times New Roman" w:hAnsi="Calibri" w:cs="Times New Roman"/>
                <w:color w:val="000000"/>
                <w:lang w:eastAsia="fr-FR"/>
              </w:rPr>
              <w:t>75,83</w:t>
            </w:r>
          </w:p>
        </w:tc>
        <w:tc>
          <w:tcPr>
            <w:tcW w:w="1360" w:type="dxa"/>
            <w:tcBorders>
              <w:top w:val="nil"/>
              <w:left w:val="nil"/>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rPr>
                <w:rFonts w:ascii="Calibri" w:eastAsia="Times New Roman" w:hAnsi="Calibri" w:cs="Times New Roman"/>
                <w:color w:val="000000"/>
                <w:lang w:eastAsia="fr-FR"/>
              </w:rPr>
            </w:pPr>
            <w:r w:rsidRPr="0039067A">
              <w:rPr>
                <w:rFonts w:ascii="Calibri" w:eastAsia="Times New Roman" w:hAnsi="Calibri" w:cs="Times New Roman"/>
                <w:color w:val="000000"/>
                <w:lang w:eastAsia="fr-FR"/>
              </w:rPr>
              <w:t>450,25</w:t>
            </w:r>
          </w:p>
        </w:tc>
        <w:tc>
          <w:tcPr>
            <w:tcW w:w="1480" w:type="dxa"/>
            <w:tcBorders>
              <w:top w:val="nil"/>
              <w:left w:val="nil"/>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rPr>
                <w:rFonts w:ascii="Calibri" w:eastAsia="Times New Roman" w:hAnsi="Calibri" w:cs="Times New Roman"/>
                <w:color w:val="000000"/>
                <w:lang w:eastAsia="fr-FR"/>
              </w:rPr>
            </w:pPr>
            <w:r w:rsidRPr="0039067A">
              <w:rPr>
                <w:rFonts w:ascii="Calibri" w:eastAsia="Times New Roman" w:hAnsi="Calibri" w:cs="Times New Roman"/>
                <w:color w:val="000000"/>
                <w:lang w:eastAsia="fr-FR"/>
              </w:rPr>
              <w:t>374,42</w:t>
            </w:r>
          </w:p>
        </w:tc>
        <w:tc>
          <w:tcPr>
            <w:tcW w:w="1417" w:type="dxa"/>
            <w:tcBorders>
              <w:top w:val="nil"/>
              <w:left w:val="nil"/>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rPr>
                <w:rFonts w:ascii="Calibri" w:eastAsia="Times New Roman" w:hAnsi="Calibri" w:cs="Times New Roman"/>
                <w:color w:val="000000"/>
                <w:lang w:eastAsia="fr-FR"/>
              </w:rPr>
            </w:pPr>
            <w:r w:rsidRPr="0039067A">
              <w:rPr>
                <w:rFonts w:ascii="Calibri" w:eastAsia="Times New Roman" w:hAnsi="Calibri" w:cs="Times New Roman"/>
                <w:color w:val="000000"/>
                <w:lang w:eastAsia="fr-FR"/>
              </w:rPr>
              <w:t>71%</w:t>
            </w:r>
          </w:p>
        </w:tc>
      </w:tr>
      <w:tr w:rsidR="0039067A" w:rsidRPr="0039067A" w:rsidTr="0039067A">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jc w:val="left"/>
              <w:rPr>
                <w:rFonts w:ascii="TimesNewRoman" w:eastAsia="Times New Roman" w:hAnsi="TimesNewRoman" w:cs="Calibri"/>
                <w:color w:val="000000"/>
                <w:sz w:val="20"/>
                <w:szCs w:val="20"/>
                <w:lang w:eastAsia="fr-FR"/>
              </w:rPr>
            </w:pPr>
            <w:r w:rsidRPr="0039067A">
              <w:rPr>
                <w:rFonts w:ascii="TimesNewRoman" w:eastAsia="Times New Roman" w:hAnsi="TimesNewRoman" w:cs="Calibri"/>
                <w:color w:val="000000"/>
                <w:sz w:val="20"/>
                <w:szCs w:val="20"/>
                <w:lang w:eastAsia="fr-FR"/>
              </w:rPr>
              <w:t xml:space="preserve">Médiane </w:t>
            </w:r>
          </w:p>
        </w:tc>
        <w:tc>
          <w:tcPr>
            <w:tcW w:w="1420" w:type="dxa"/>
            <w:tcBorders>
              <w:top w:val="nil"/>
              <w:left w:val="nil"/>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rPr>
                <w:rFonts w:ascii="Calibri" w:eastAsia="Times New Roman" w:hAnsi="Calibri" w:cs="Times New Roman"/>
                <w:color w:val="000000"/>
                <w:lang w:eastAsia="fr-FR"/>
              </w:rPr>
            </w:pPr>
            <w:r w:rsidRPr="0039067A">
              <w:rPr>
                <w:rFonts w:ascii="Calibri" w:eastAsia="Times New Roman" w:hAnsi="Calibri" w:cs="Times New Roman"/>
                <w:color w:val="000000"/>
                <w:lang w:eastAsia="fr-FR"/>
              </w:rPr>
              <w:t>165,91</w:t>
            </w:r>
          </w:p>
        </w:tc>
        <w:tc>
          <w:tcPr>
            <w:tcW w:w="1360" w:type="dxa"/>
            <w:tcBorders>
              <w:top w:val="nil"/>
              <w:left w:val="nil"/>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rPr>
                <w:rFonts w:ascii="Calibri" w:eastAsia="Times New Roman" w:hAnsi="Calibri" w:cs="Times New Roman"/>
                <w:color w:val="000000"/>
                <w:lang w:eastAsia="fr-FR"/>
              </w:rPr>
            </w:pPr>
            <w:r w:rsidRPr="0039067A">
              <w:rPr>
                <w:rFonts w:ascii="Calibri" w:eastAsia="Times New Roman" w:hAnsi="Calibri" w:cs="Times New Roman"/>
                <w:color w:val="000000"/>
                <w:lang w:eastAsia="fr-FR"/>
              </w:rPr>
              <w:t>200,22</w:t>
            </w:r>
          </w:p>
        </w:tc>
        <w:tc>
          <w:tcPr>
            <w:tcW w:w="1480" w:type="dxa"/>
            <w:tcBorders>
              <w:top w:val="nil"/>
              <w:left w:val="nil"/>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rPr>
                <w:rFonts w:ascii="Calibri" w:eastAsia="Times New Roman" w:hAnsi="Calibri" w:cs="Times New Roman"/>
                <w:color w:val="000000"/>
                <w:lang w:eastAsia="fr-FR"/>
              </w:rPr>
            </w:pPr>
            <w:r w:rsidRPr="0039067A">
              <w:rPr>
                <w:rFonts w:ascii="Calibri" w:eastAsia="Times New Roman" w:hAnsi="Calibri" w:cs="Times New Roman"/>
                <w:color w:val="000000"/>
                <w:lang w:eastAsia="fr-FR"/>
              </w:rPr>
              <w:t>0,00</w:t>
            </w:r>
          </w:p>
        </w:tc>
        <w:tc>
          <w:tcPr>
            <w:tcW w:w="1417" w:type="dxa"/>
            <w:tcBorders>
              <w:top w:val="nil"/>
              <w:left w:val="nil"/>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rPr>
                <w:rFonts w:ascii="Calibri" w:eastAsia="Times New Roman" w:hAnsi="Calibri" w:cs="Times New Roman"/>
                <w:color w:val="000000"/>
                <w:lang w:eastAsia="fr-FR"/>
              </w:rPr>
            </w:pPr>
            <w:r w:rsidRPr="0039067A">
              <w:rPr>
                <w:rFonts w:ascii="Calibri" w:eastAsia="Times New Roman" w:hAnsi="Calibri" w:cs="Times New Roman"/>
                <w:color w:val="000000"/>
                <w:lang w:eastAsia="fr-FR"/>
              </w:rPr>
              <w:t>0%</w:t>
            </w:r>
          </w:p>
        </w:tc>
      </w:tr>
      <w:tr w:rsidR="0039067A" w:rsidRPr="0039067A" w:rsidTr="0039067A">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jc w:val="left"/>
              <w:rPr>
                <w:rFonts w:ascii="TimesNewRoman" w:eastAsia="Times New Roman" w:hAnsi="TimesNewRoman" w:cs="Calibri"/>
                <w:color w:val="000000"/>
                <w:sz w:val="20"/>
                <w:szCs w:val="20"/>
                <w:lang w:eastAsia="fr-FR"/>
              </w:rPr>
            </w:pPr>
            <w:r w:rsidRPr="0039067A">
              <w:rPr>
                <w:rFonts w:ascii="TimesNewRoman" w:eastAsia="Times New Roman" w:hAnsi="TimesNewRoman" w:cs="Calibri"/>
                <w:color w:val="000000"/>
                <w:sz w:val="20"/>
                <w:szCs w:val="20"/>
                <w:lang w:eastAsia="fr-FR"/>
              </w:rPr>
              <w:t xml:space="preserve">Ecart-type (n) </w:t>
            </w:r>
          </w:p>
        </w:tc>
        <w:tc>
          <w:tcPr>
            <w:tcW w:w="1420" w:type="dxa"/>
            <w:tcBorders>
              <w:top w:val="nil"/>
              <w:left w:val="nil"/>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rPr>
                <w:rFonts w:ascii="Calibri" w:eastAsia="Times New Roman" w:hAnsi="Calibri" w:cs="Times New Roman"/>
                <w:color w:val="000000"/>
                <w:lang w:eastAsia="fr-FR"/>
              </w:rPr>
            </w:pPr>
            <w:r w:rsidRPr="0039067A">
              <w:rPr>
                <w:rFonts w:ascii="Calibri" w:eastAsia="Times New Roman" w:hAnsi="Calibri" w:cs="Times New Roman"/>
                <w:color w:val="000000"/>
                <w:lang w:eastAsia="fr-FR"/>
              </w:rPr>
              <w:t>1 190,66</w:t>
            </w:r>
          </w:p>
        </w:tc>
        <w:tc>
          <w:tcPr>
            <w:tcW w:w="1360" w:type="dxa"/>
            <w:tcBorders>
              <w:top w:val="nil"/>
              <w:left w:val="nil"/>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rPr>
                <w:rFonts w:ascii="Calibri" w:eastAsia="Times New Roman" w:hAnsi="Calibri" w:cs="Times New Roman"/>
                <w:color w:val="000000"/>
                <w:lang w:eastAsia="fr-FR"/>
              </w:rPr>
            </w:pPr>
            <w:r w:rsidRPr="0039067A">
              <w:rPr>
                <w:rFonts w:ascii="Calibri" w:eastAsia="Times New Roman" w:hAnsi="Calibri" w:cs="Times New Roman"/>
                <w:color w:val="000000"/>
                <w:lang w:eastAsia="fr-FR"/>
              </w:rPr>
              <w:t>1 267,97</w:t>
            </w:r>
          </w:p>
        </w:tc>
        <w:tc>
          <w:tcPr>
            <w:tcW w:w="1480" w:type="dxa"/>
            <w:tcBorders>
              <w:top w:val="nil"/>
              <w:left w:val="nil"/>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rPr>
                <w:rFonts w:ascii="Calibri" w:eastAsia="Times New Roman" w:hAnsi="Calibri" w:cs="Times New Roman"/>
                <w:color w:val="000000"/>
                <w:lang w:eastAsia="fr-FR"/>
              </w:rPr>
            </w:pPr>
            <w:r w:rsidRPr="0039067A">
              <w:rPr>
                <w:rFonts w:ascii="Calibri" w:eastAsia="Times New Roman" w:hAnsi="Calibri" w:cs="Times New Roman"/>
                <w:color w:val="000000"/>
                <w:lang w:eastAsia="fr-FR"/>
              </w:rPr>
              <w:t>910,66</w:t>
            </w:r>
          </w:p>
        </w:tc>
        <w:tc>
          <w:tcPr>
            <w:tcW w:w="1417" w:type="dxa"/>
            <w:tcBorders>
              <w:top w:val="nil"/>
              <w:left w:val="nil"/>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rPr>
                <w:rFonts w:ascii="Calibri" w:eastAsia="Times New Roman" w:hAnsi="Calibri" w:cs="Times New Roman"/>
                <w:color w:val="000000"/>
                <w:lang w:eastAsia="fr-FR"/>
              </w:rPr>
            </w:pPr>
            <w:r w:rsidRPr="0039067A">
              <w:rPr>
                <w:rFonts w:ascii="Calibri" w:eastAsia="Times New Roman" w:hAnsi="Calibri" w:cs="Times New Roman"/>
                <w:color w:val="000000"/>
                <w:lang w:eastAsia="fr-FR"/>
              </w:rPr>
              <w:t>441%</w:t>
            </w:r>
          </w:p>
        </w:tc>
      </w:tr>
      <w:tr w:rsidR="0039067A" w:rsidRPr="0039067A" w:rsidTr="0039067A">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jc w:val="left"/>
              <w:rPr>
                <w:rFonts w:ascii="TimesNewRoman" w:eastAsia="Times New Roman" w:hAnsi="TimesNewRoman" w:cs="Calibri"/>
                <w:color w:val="000000"/>
                <w:sz w:val="20"/>
                <w:szCs w:val="20"/>
                <w:lang w:eastAsia="fr-FR"/>
              </w:rPr>
            </w:pPr>
            <w:r w:rsidRPr="0039067A">
              <w:rPr>
                <w:rFonts w:ascii="TimesNewRoman" w:eastAsia="Times New Roman" w:hAnsi="TimesNewRoman" w:cs="Calibri"/>
                <w:color w:val="000000"/>
                <w:sz w:val="20"/>
                <w:szCs w:val="20"/>
                <w:lang w:eastAsia="fr-FR"/>
              </w:rPr>
              <w:t xml:space="preserve">Minimum </w:t>
            </w:r>
          </w:p>
        </w:tc>
        <w:tc>
          <w:tcPr>
            <w:tcW w:w="1420" w:type="dxa"/>
            <w:tcBorders>
              <w:top w:val="nil"/>
              <w:left w:val="nil"/>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rPr>
                <w:rFonts w:ascii="Calibri" w:eastAsia="Times New Roman" w:hAnsi="Calibri" w:cs="Times New Roman"/>
                <w:color w:val="000000"/>
                <w:lang w:eastAsia="fr-FR"/>
              </w:rPr>
            </w:pPr>
            <w:r w:rsidRPr="0039067A">
              <w:rPr>
                <w:rFonts w:ascii="Calibri" w:eastAsia="Times New Roman" w:hAnsi="Calibri" w:cs="Times New Roman"/>
                <w:color w:val="000000"/>
                <w:lang w:eastAsia="fr-FR"/>
              </w:rPr>
              <w:t>-4 415,67</w:t>
            </w:r>
          </w:p>
        </w:tc>
        <w:tc>
          <w:tcPr>
            <w:tcW w:w="1360" w:type="dxa"/>
            <w:tcBorders>
              <w:top w:val="nil"/>
              <w:left w:val="nil"/>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rPr>
                <w:rFonts w:ascii="Calibri" w:eastAsia="Times New Roman" w:hAnsi="Calibri" w:cs="Times New Roman"/>
                <w:color w:val="000000"/>
                <w:lang w:eastAsia="fr-FR"/>
              </w:rPr>
            </w:pPr>
            <w:r w:rsidRPr="0039067A">
              <w:rPr>
                <w:rFonts w:ascii="Calibri" w:eastAsia="Times New Roman" w:hAnsi="Calibri" w:cs="Times New Roman"/>
                <w:color w:val="000000"/>
                <w:lang w:eastAsia="fr-FR"/>
              </w:rPr>
              <w:t>-2 853,48</w:t>
            </w:r>
          </w:p>
        </w:tc>
        <w:tc>
          <w:tcPr>
            <w:tcW w:w="1480" w:type="dxa"/>
            <w:tcBorders>
              <w:top w:val="nil"/>
              <w:left w:val="nil"/>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rPr>
                <w:rFonts w:ascii="Calibri" w:eastAsia="Times New Roman" w:hAnsi="Calibri" w:cs="Times New Roman"/>
                <w:color w:val="000000"/>
                <w:lang w:eastAsia="fr-FR"/>
              </w:rPr>
            </w:pPr>
            <w:r w:rsidRPr="0039067A">
              <w:rPr>
                <w:rFonts w:ascii="Calibri" w:eastAsia="Times New Roman" w:hAnsi="Calibri" w:cs="Times New Roman"/>
                <w:color w:val="000000"/>
                <w:lang w:eastAsia="fr-FR"/>
              </w:rPr>
              <w:t>-305,25</w:t>
            </w:r>
          </w:p>
        </w:tc>
        <w:tc>
          <w:tcPr>
            <w:tcW w:w="1417" w:type="dxa"/>
            <w:tcBorders>
              <w:top w:val="nil"/>
              <w:left w:val="nil"/>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rPr>
                <w:rFonts w:ascii="Calibri" w:eastAsia="Times New Roman" w:hAnsi="Calibri" w:cs="Times New Roman"/>
                <w:color w:val="000000"/>
                <w:lang w:eastAsia="fr-FR"/>
              </w:rPr>
            </w:pPr>
            <w:r w:rsidRPr="0039067A">
              <w:rPr>
                <w:rFonts w:ascii="Calibri" w:eastAsia="Times New Roman" w:hAnsi="Calibri" w:cs="Times New Roman"/>
                <w:color w:val="000000"/>
                <w:lang w:eastAsia="fr-FR"/>
              </w:rPr>
              <w:t>-719%</w:t>
            </w:r>
          </w:p>
        </w:tc>
      </w:tr>
      <w:tr w:rsidR="0039067A" w:rsidRPr="0039067A" w:rsidTr="0039067A">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jc w:val="left"/>
              <w:rPr>
                <w:rFonts w:ascii="TimesNewRoman" w:eastAsia="Times New Roman" w:hAnsi="TimesNewRoman" w:cs="Calibri"/>
                <w:color w:val="000000"/>
                <w:sz w:val="20"/>
                <w:szCs w:val="20"/>
                <w:lang w:eastAsia="fr-FR"/>
              </w:rPr>
            </w:pPr>
            <w:r w:rsidRPr="0039067A">
              <w:rPr>
                <w:rFonts w:ascii="TimesNewRoman" w:eastAsia="Times New Roman" w:hAnsi="TimesNewRoman" w:cs="Calibri"/>
                <w:color w:val="000000"/>
                <w:sz w:val="20"/>
                <w:szCs w:val="20"/>
                <w:lang w:eastAsia="fr-FR"/>
              </w:rPr>
              <w:t xml:space="preserve">Maximum </w:t>
            </w:r>
          </w:p>
        </w:tc>
        <w:tc>
          <w:tcPr>
            <w:tcW w:w="1420" w:type="dxa"/>
            <w:tcBorders>
              <w:top w:val="nil"/>
              <w:left w:val="nil"/>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rPr>
                <w:rFonts w:ascii="Calibri" w:eastAsia="Times New Roman" w:hAnsi="Calibri" w:cs="Times New Roman"/>
                <w:color w:val="000000"/>
                <w:lang w:eastAsia="fr-FR"/>
              </w:rPr>
            </w:pPr>
            <w:r w:rsidRPr="0039067A">
              <w:rPr>
                <w:rFonts w:ascii="Calibri" w:eastAsia="Times New Roman" w:hAnsi="Calibri" w:cs="Times New Roman"/>
                <w:color w:val="000000"/>
                <w:lang w:eastAsia="fr-FR"/>
              </w:rPr>
              <w:t>1 846,48</w:t>
            </w:r>
          </w:p>
        </w:tc>
        <w:tc>
          <w:tcPr>
            <w:tcW w:w="1360" w:type="dxa"/>
            <w:tcBorders>
              <w:top w:val="nil"/>
              <w:left w:val="nil"/>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rPr>
                <w:rFonts w:ascii="Calibri" w:eastAsia="Times New Roman" w:hAnsi="Calibri" w:cs="Times New Roman"/>
                <w:color w:val="000000"/>
                <w:lang w:eastAsia="fr-FR"/>
              </w:rPr>
            </w:pPr>
            <w:r w:rsidRPr="0039067A">
              <w:rPr>
                <w:rFonts w:ascii="Calibri" w:eastAsia="Times New Roman" w:hAnsi="Calibri" w:cs="Times New Roman"/>
                <w:color w:val="000000"/>
                <w:lang w:eastAsia="fr-FR"/>
              </w:rPr>
              <w:t>4 894,21</w:t>
            </w:r>
          </w:p>
        </w:tc>
        <w:tc>
          <w:tcPr>
            <w:tcW w:w="1480" w:type="dxa"/>
            <w:tcBorders>
              <w:top w:val="nil"/>
              <w:left w:val="nil"/>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rPr>
                <w:rFonts w:ascii="Calibri" w:eastAsia="Times New Roman" w:hAnsi="Calibri" w:cs="Times New Roman"/>
                <w:color w:val="000000"/>
                <w:lang w:eastAsia="fr-FR"/>
              </w:rPr>
            </w:pPr>
            <w:r w:rsidRPr="0039067A">
              <w:rPr>
                <w:rFonts w:ascii="Calibri" w:eastAsia="Times New Roman" w:hAnsi="Calibri" w:cs="Times New Roman"/>
                <w:color w:val="000000"/>
                <w:lang w:eastAsia="fr-FR"/>
              </w:rPr>
              <w:t>3 511,19</w:t>
            </w:r>
          </w:p>
        </w:tc>
        <w:tc>
          <w:tcPr>
            <w:tcW w:w="1417" w:type="dxa"/>
            <w:tcBorders>
              <w:top w:val="nil"/>
              <w:left w:val="nil"/>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rPr>
                <w:rFonts w:ascii="Calibri" w:eastAsia="Times New Roman" w:hAnsi="Calibri" w:cs="Times New Roman"/>
                <w:color w:val="000000"/>
                <w:lang w:eastAsia="fr-FR"/>
              </w:rPr>
            </w:pPr>
            <w:r w:rsidRPr="0039067A">
              <w:rPr>
                <w:rFonts w:ascii="Calibri" w:eastAsia="Times New Roman" w:hAnsi="Calibri" w:cs="Times New Roman"/>
                <w:color w:val="000000"/>
                <w:lang w:eastAsia="fr-FR"/>
              </w:rPr>
              <w:t>2377%</w:t>
            </w:r>
          </w:p>
        </w:tc>
      </w:tr>
      <w:tr w:rsidR="0039067A" w:rsidRPr="0039067A" w:rsidTr="0039067A">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jc w:val="left"/>
              <w:rPr>
                <w:rFonts w:ascii="TimesNewRoman" w:eastAsia="Times New Roman" w:hAnsi="TimesNewRoman" w:cs="Calibri"/>
                <w:color w:val="000000"/>
                <w:sz w:val="20"/>
                <w:szCs w:val="20"/>
                <w:lang w:eastAsia="fr-FR"/>
              </w:rPr>
            </w:pPr>
            <w:r w:rsidRPr="0039067A">
              <w:rPr>
                <w:rFonts w:ascii="TimesNewRoman" w:eastAsia="Times New Roman" w:hAnsi="TimesNewRoman" w:cs="Calibri"/>
                <w:color w:val="000000"/>
                <w:sz w:val="20"/>
                <w:szCs w:val="20"/>
                <w:lang w:eastAsia="fr-FR"/>
              </w:rPr>
              <w:t xml:space="preserve">1er Quartile </w:t>
            </w:r>
          </w:p>
        </w:tc>
        <w:tc>
          <w:tcPr>
            <w:tcW w:w="1420" w:type="dxa"/>
            <w:tcBorders>
              <w:top w:val="nil"/>
              <w:left w:val="nil"/>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rPr>
                <w:rFonts w:ascii="Calibri" w:eastAsia="Times New Roman" w:hAnsi="Calibri" w:cs="Times New Roman"/>
                <w:color w:val="000000"/>
                <w:lang w:eastAsia="fr-FR"/>
              </w:rPr>
            </w:pPr>
            <w:r w:rsidRPr="0039067A">
              <w:rPr>
                <w:rFonts w:ascii="Calibri" w:eastAsia="Times New Roman" w:hAnsi="Calibri" w:cs="Times New Roman"/>
                <w:color w:val="000000"/>
                <w:lang w:eastAsia="fr-FR"/>
              </w:rPr>
              <w:t>8,07</w:t>
            </w:r>
          </w:p>
        </w:tc>
        <w:tc>
          <w:tcPr>
            <w:tcW w:w="1360" w:type="dxa"/>
            <w:tcBorders>
              <w:top w:val="nil"/>
              <w:left w:val="nil"/>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rPr>
                <w:rFonts w:ascii="Calibri" w:eastAsia="Times New Roman" w:hAnsi="Calibri" w:cs="Times New Roman"/>
                <w:color w:val="000000"/>
                <w:lang w:eastAsia="fr-FR"/>
              </w:rPr>
            </w:pPr>
            <w:r w:rsidRPr="0039067A">
              <w:rPr>
                <w:rFonts w:ascii="Calibri" w:eastAsia="Times New Roman" w:hAnsi="Calibri" w:cs="Times New Roman"/>
                <w:color w:val="000000"/>
                <w:lang w:eastAsia="fr-FR"/>
              </w:rPr>
              <w:t>22,73</w:t>
            </w:r>
          </w:p>
        </w:tc>
        <w:tc>
          <w:tcPr>
            <w:tcW w:w="1480" w:type="dxa"/>
            <w:tcBorders>
              <w:top w:val="nil"/>
              <w:left w:val="nil"/>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rPr>
                <w:rFonts w:ascii="Calibri" w:eastAsia="Times New Roman" w:hAnsi="Calibri" w:cs="Times New Roman"/>
                <w:color w:val="000000"/>
                <w:lang w:eastAsia="fr-FR"/>
              </w:rPr>
            </w:pPr>
            <w:r w:rsidRPr="0039067A">
              <w:rPr>
                <w:rFonts w:ascii="Calibri" w:eastAsia="Times New Roman" w:hAnsi="Calibri" w:cs="Times New Roman"/>
                <w:color w:val="000000"/>
                <w:lang w:eastAsia="fr-FR"/>
              </w:rPr>
              <w:t>-11,20</w:t>
            </w:r>
          </w:p>
        </w:tc>
        <w:tc>
          <w:tcPr>
            <w:tcW w:w="1417" w:type="dxa"/>
            <w:tcBorders>
              <w:top w:val="nil"/>
              <w:left w:val="nil"/>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rPr>
                <w:rFonts w:ascii="Calibri" w:eastAsia="Times New Roman" w:hAnsi="Calibri" w:cs="Times New Roman"/>
                <w:color w:val="000000"/>
                <w:lang w:eastAsia="fr-FR"/>
              </w:rPr>
            </w:pPr>
            <w:r w:rsidRPr="0039067A">
              <w:rPr>
                <w:rFonts w:ascii="Calibri" w:eastAsia="Times New Roman" w:hAnsi="Calibri" w:cs="Times New Roman"/>
                <w:color w:val="000000"/>
                <w:lang w:eastAsia="fr-FR"/>
              </w:rPr>
              <w:t>-4%</w:t>
            </w:r>
          </w:p>
        </w:tc>
      </w:tr>
      <w:tr w:rsidR="0039067A" w:rsidRPr="0039067A" w:rsidTr="0039067A">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jc w:val="left"/>
              <w:rPr>
                <w:rFonts w:ascii="TimesNewRoman" w:eastAsia="Times New Roman" w:hAnsi="TimesNewRoman" w:cs="Calibri"/>
                <w:color w:val="000000"/>
                <w:sz w:val="20"/>
                <w:szCs w:val="20"/>
                <w:lang w:eastAsia="fr-FR"/>
              </w:rPr>
            </w:pPr>
            <w:r w:rsidRPr="0039067A">
              <w:rPr>
                <w:rFonts w:ascii="TimesNewRoman" w:eastAsia="Times New Roman" w:hAnsi="TimesNewRoman" w:cs="Calibri"/>
                <w:color w:val="000000"/>
                <w:sz w:val="20"/>
                <w:szCs w:val="20"/>
                <w:lang w:eastAsia="fr-FR"/>
              </w:rPr>
              <w:t>3ème Quartile</w:t>
            </w:r>
          </w:p>
        </w:tc>
        <w:tc>
          <w:tcPr>
            <w:tcW w:w="1420" w:type="dxa"/>
            <w:tcBorders>
              <w:top w:val="nil"/>
              <w:left w:val="nil"/>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rPr>
                <w:rFonts w:ascii="Calibri" w:eastAsia="Times New Roman" w:hAnsi="Calibri" w:cs="Times New Roman"/>
                <w:color w:val="000000"/>
                <w:lang w:eastAsia="fr-FR"/>
              </w:rPr>
            </w:pPr>
            <w:r w:rsidRPr="0039067A">
              <w:rPr>
                <w:rFonts w:ascii="Calibri" w:eastAsia="Times New Roman" w:hAnsi="Calibri" w:cs="Times New Roman"/>
                <w:color w:val="000000"/>
                <w:lang w:eastAsia="fr-FR"/>
              </w:rPr>
              <w:t>450,19</w:t>
            </w:r>
          </w:p>
        </w:tc>
        <w:tc>
          <w:tcPr>
            <w:tcW w:w="1360" w:type="dxa"/>
            <w:tcBorders>
              <w:top w:val="nil"/>
              <w:left w:val="nil"/>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rPr>
                <w:rFonts w:ascii="Calibri" w:eastAsia="Times New Roman" w:hAnsi="Calibri" w:cs="Times New Roman"/>
                <w:color w:val="000000"/>
                <w:lang w:eastAsia="fr-FR"/>
              </w:rPr>
            </w:pPr>
            <w:r w:rsidRPr="0039067A">
              <w:rPr>
                <w:rFonts w:ascii="Calibri" w:eastAsia="Times New Roman" w:hAnsi="Calibri" w:cs="Times New Roman"/>
                <w:color w:val="000000"/>
                <w:lang w:eastAsia="fr-FR"/>
              </w:rPr>
              <w:t>523,10</w:t>
            </w:r>
          </w:p>
        </w:tc>
        <w:tc>
          <w:tcPr>
            <w:tcW w:w="1480" w:type="dxa"/>
            <w:tcBorders>
              <w:top w:val="nil"/>
              <w:left w:val="nil"/>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rPr>
                <w:rFonts w:ascii="Calibri" w:eastAsia="Times New Roman" w:hAnsi="Calibri" w:cs="Times New Roman"/>
                <w:color w:val="000000"/>
                <w:lang w:eastAsia="fr-FR"/>
              </w:rPr>
            </w:pPr>
            <w:r w:rsidRPr="0039067A">
              <w:rPr>
                <w:rFonts w:ascii="Calibri" w:eastAsia="Times New Roman" w:hAnsi="Calibri" w:cs="Times New Roman"/>
                <w:color w:val="000000"/>
                <w:lang w:eastAsia="fr-FR"/>
              </w:rPr>
              <w:t>146,02</w:t>
            </w:r>
          </w:p>
        </w:tc>
        <w:tc>
          <w:tcPr>
            <w:tcW w:w="1417" w:type="dxa"/>
            <w:tcBorders>
              <w:top w:val="nil"/>
              <w:left w:val="nil"/>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rPr>
                <w:rFonts w:ascii="Calibri" w:eastAsia="Times New Roman" w:hAnsi="Calibri" w:cs="Times New Roman"/>
                <w:color w:val="000000"/>
                <w:lang w:eastAsia="fr-FR"/>
              </w:rPr>
            </w:pPr>
            <w:r w:rsidRPr="0039067A">
              <w:rPr>
                <w:rFonts w:ascii="Calibri" w:eastAsia="Times New Roman" w:hAnsi="Calibri" w:cs="Times New Roman"/>
                <w:color w:val="000000"/>
                <w:lang w:eastAsia="fr-FR"/>
              </w:rPr>
              <w:t>33%</w:t>
            </w:r>
          </w:p>
        </w:tc>
      </w:tr>
    </w:tbl>
    <w:p w:rsidR="0039067A" w:rsidRPr="0039067A" w:rsidRDefault="0039067A" w:rsidP="0039067A">
      <w:pPr>
        <w:spacing w:before="120" w:beforeAutospacing="0" w:after="120" w:afterAutospacing="0" w:line="276" w:lineRule="auto"/>
        <w:ind w:firstLine="360"/>
        <w:jc w:val="both"/>
        <w:rPr>
          <w:rFonts w:ascii="Times New Roman" w:eastAsia="Calibri" w:hAnsi="Times New Roman" w:cs="Times New Roman"/>
          <w:sz w:val="24"/>
          <w:szCs w:val="24"/>
        </w:rPr>
      </w:pPr>
      <w:r w:rsidRPr="0039067A">
        <w:rPr>
          <w:rFonts w:ascii="Times New Roman" w:eastAsia="Calibri" w:hAnsi="Times New Roman" w:cs="Times New Roman"/>
          <w:i/>
          <w:szCs w:val="24"/>
        </w:rPr>
        <w:t>Sources : établis sur la base des données financières des sociétés de l’échantillon</w:t>
      </w:r>
    </w:p>
    <w:p w:rsidR="0039067A" w:rsidRPr="0039067A" w:rsidRDefault="0039067A" w:rsidP="0039067A">
      <w:pPr>
        <w:spacing w:before="0" w:beforeAutospacing="0" w:after="60" w:afterAutospacing="0" w:line="276" w:lineRule="auto"/>
        <w:ind w:firstLine="357"/>
        <w:jc w:val="both"/>
        <w:rPr>
          <w:rFonts w:ascii="Times New Roman" w:eastAsia="Calibri" w:hAnsi="Times New Roman" w:cs="Times New Roman"/>
          <w:sz w:val="24"/>
          <w:szCs w:val="24"/>
        </w:rPr>
      </w:pPr>
      <w:r w:rsidRPr="0039067A">
        <w:rPr>
          <w:rFonts w:ascii="Times New Roman" w:eastAsia="Calibri" w:hAnsi="Times New Roman" w:cs="Times New Roman"/>
          <w:sz w:val="24"/>
          <w:szCs w:val="24"/>
        </w:rPr>
        <w:t>La lecture de ces résultats permet de tirer les constats suivants :</w:t>
      </w:r>
    </w:p>
    <w:p w:rsidR="0039067A" w:rsidRPr="0039067A" w:rsidRDefault="0039067A" w:rsidP="0039067A">
      <w:pPr>
        <w:spacing w:before="0" w:beforeAutospacing="0" w:after="60" w:afterAutospacing="0" w:line="276" w:lineRule="auto"/>
        <w:ind w:firstLine="357"/>
        <w:jc w:val="both"/>
        <w:rPr>
          <w:rFonts w:ascii="Times New Roman" w:eastAsia="Calibri" w:hAnsi="Times New Roman" w:cs="Times New Roman"/>
          <w:sz w:val="24"/>
          <w:szCs w:val="24"/>
        </w:rPr>
      </w:pPr>
      <w:r w:rsidRPr="0039067A">
        <w:rPr>
          <w:rFonts w:ascii="Times New Roman" w:eastAsia="Calibri" w:hAnsi="Times New Roman" w:cs="Times New Roman"/>
          <w:sz w:val="24"/>
          <w:szCs w:val="24"/>
        </w:rPr>
        <w:lastRenderedPageBreak/>
        <w:t xml:space="preserve">En premier, les quartiles montrent que 25% des sociétés ont eu un impact relatif supérieur </w:t>
      </w:r>
      <w:proofErr w:type="gramStart"/>
      <w:r w:rsidRPr="0039067A">
        <w:rPr>
          <w:rFonts w:ascii="Times New Roman" w:eastAsia="Calibri" w:hAnsi="Times New Roman" w:cs="Times New Roman"/>
          <w:sz w:val="24"/>
          <w:szCs w:val="24"/>
        </w:rPr>
        <w:t>à</w:t>
      </w:r>
      <w:proofErr w:type="gramEnd"/>
      <w:r w:rsidRPr="0039067A">
        <w:rPr>
          <w:rFonts w:ascii="Times New Roman" w:eastAsia="Calibri" w:hAnsi="Times New Roman" w:cs="Times New Roman"/>
          <w:sz w:val="24"/>
          <w:szCs w:val="24"/>
        </w:rPr>
        <w:t xml:space="preserve"> </w:t>
      </w:r>
      <w:r w:rsidRPr="0039067A">
        <w:rPr>
          <w:rFonts w:ascii="Times New Roman" w:eastAsia="Calibri" w:hAnsi="Times New Roman" w:cs="Times New Roman"/>
          <w:sz w:val="20"/>
          <w:szCs w:val="24"/>
        </w:rPr>
        <w:t>+</w:t>
      </w:r>
      <w:r w:rsidRPr="0039067A">
        <w:rPr>
          <w:rFonts w:ascii="Times New Roman" w:eastAsia="Calibri" w:hAnsi="Times New Roman" w:cs="Times New Roman"/>
          <w:szCs w:val="24"/>
        </w:rPr>
        <w:t xml:space="preserve"> </w:t>
      </w:r>
      <w:r w:rsidRPr="0039067A">
        <w:rPr>
          <w:rFonts w:ascii="Times New Roman" w:eastAsia="Calibri" w:hAnsi="Times New Roman" w:cs="Times New Roman"/>
          <w:sz w:val="24"/>
          <w:szCs w:val="24"/>
        </w:rPr>
        <w:t xml:space="preserve">33% du résultat PCN contre 25% qui ont enregistré un impact relatif inférieur à </w:t>
      </w:r>
      <w:r w:rsidRPr="0039067A">
        <w:rPr>
          <w:rFonts w:ascii="Times New Roman" w:eastAsia="Calibri" w:hAnsi="Times New Roman" w:cs="Times New Roman"/>
          <w:szCs w:val="24"/>
        </w:rPr>
        <w:t>- 4%</w:t>
      </w:r>
      <w:r w:rsidRPr="0039067A">
        <w:rPr>
          <w:rFonts w:ascii="Times New Roman" w:eastAsia="Calibri" w:hAnsi="Times New Roman" w:cs="Times New Roman"/>
          <w:sz w:val="24"/>
          <w:szCs w:val="24"/>
        </w:rPr>
        <w:t xml:space="preserve">. </w:t>
      </w:r>
    </w:p>
    <w:p w:rsidR="0039067A" w:rsidRPr="0039067A" w:rsidRDefault="0039067A" w:rsidP="0039067A">
      <w:pPr>
        <w:spacing w:before="0" w:beforeAutospacing="0" w:after="60" w:afterAutospacing="0" w:line="276" w:lineRule="auto"/>
        <w:ind w:firstLine="357"/>
        <w:jc w:val="both"/>
        <w:rPr>
          <w:rFonts w:ascii="Times New Roman" w:eastAsia="Calibri" w:hAnsi="Times New Roman" w:cs="Times New Roman"/>
          <w:sz w:val="24"/>
          <w:szCs w:val="24"/>
        </w:rPr>
      </w:pPr>
      <w:r w:rsidRPr="0039067A">
        <w:rPr>
          <w:rFonts w:ascii="Times New Roman" w:eastAsia="Calibri" w:hAnsi="Times New Roman" w:cs="Times New Roman"/>
          <w:sz w:val="24"/>
          <w:szCs w:val="24"/>
        </w:rPr>
        <w:t xml:space="preserve">Ainsi, au même titre que la variation des capitaux propres, il est notable que la dispersion de l’impact relatif est très forte : la valeur maximum est de </w:t>
      </w:r>
      <w:r w:rsidRPr="0039067A">
        <w:rPr>
          <w:rFonts w:ascii="Times New Roman" w:eastAsia="Calibri" w:hAnsi="Times New Roman" w:cs="Times New Roman"/>
          <w:sz w:val="20"/>
          <w:szCs w:val="24"/>
        </w:rPr>
        <w:t>+</w:t>
      </w:r>
      <w:r w:rsidRPr="0039067A">
        <w:rPr>
          <w:rFonts w:ascii="Times New Roman" w:eastAsia="Calibri" w:hAnsi="Times New Roman" w:cs="Times New Roman"/>
          <w:sz w:val="24"/>
          <w:szCs w:val="24"/>
        </w:rPr>
        <w:t xml:space="preserve"> </w:t>
      </w:r>
      <w:r w:rsidRPr="0039067A">
        <w:rPr>
          <w:rFonts w:ascii="Times New Roman" w:eastAsia="Times New Roman" w:hAnsi="Times New Roman" w:cs="Times New Roman"/>
          <w:color w:val="000000"/>
          <w:lang w:eastAsia="fr-FR"/>
        </w:rPr>
        <w:t>2 377%</w:t>
      </w:r>
      <w:r w:rsidRPr="0039067A">
        <w:rPr>
          <w:rFonts w:ascii="Times New Roman" w:eastAsia="Calibri" w:hAnsi="Times New Roman" w:cs="Times New Roman"/>
          <w:sz w:val="24"/>
          <w:szCs w:val="24"/>
        </w:rPr>
        <w:t xml:space="preserve"> et la valeur minimum est de -719%, aussi l’écart-type de la variation relative est égal à 441%. </w:t>
      </w:r>
    </w:p>
    <w:p w:rsidR="0039067A" w:rsidRPr="0039067A" w:rsidRDefault="0039067A" w:rsidP="0039067A">
      <w:pPr>
        <w:spacing w:before="0" w:beforeAutospacing="0" w:after="60" w:afterAutospacing="0" w:line="276" w:lineRule="auto"/>
        <w:ind w:firstLine="357"/>
        <w:jc w:val="both"/>
        <w:rPr>
          <w:rFonts w:ascii="Times New Roman" w:eastAsia="Calibri" w:hAnsi="Times New Roman" w:cs="Times New Roman"/>
          <w:sz w:val="24"/>
          <w:szCs w:val="24"/>
        </w:rPr>
      </w:pPr>
      <w:r w:rsidRPr="0039067A">
        <w:rPr>
          <w:rFonts w:ascii="Times New Roman" w:eastAsia="Calibri" w:hAnsi="Times New Roman" w:cs="Times New Roman"/>
          <w:sz w:val="24"/>
          <w:szCs w:val="24"/>
        </w:rPr>
        <w:t xml:space="preserve">D’autre part, il apparaît un impact moyen positif de la transition sur les résultats, avec une variation moyenne absolue égale à </w:t>
      </w:r>
      <w:r w:rsidRPr="0039067A">
        <w:rPr>
          <w:rFonts w:ascii="Times New Roman" w:eastAsia="Calibri" w:hAnsi="Times New Roman" w:cs="Times New Roman"/>
          <w:szCs w:val="24"/>
        </w:rPr>
        <w:t xml:space="preserve">374.42 </w:t>
      </w:r>
      <w:r w:rsidRPr="0039067A">
        <w:rPr>
          <w:rFonts w:ascii="Times New Roman" w:eastAsia="Calibri" w:hAnsi="Times New Roman" w:cs="Times New Roman"/>
          <w:sz w:val="24"/>
          <w:szCs w:val="24"/>
        </w:rPr>
        <w:t xml:space="preserve">Millions de dinars et une variation moyenne relative de </w:t>
      </w:r>
      <w:r w:rsidRPr="0039067A">
        <w:rPr>
          <w:rFonts w:ascii="Times New Roman" w:eastAsia="Calibri" w:hAnsi="Times New Roman" w:cs="Times New Roman"/>
          <w:szCs w:val="24"/>
        </w:rPr>
        <w:t xml:space="preserve">71% </w:t>
      </w:r>
      <w:r w:rsidRPr="0039067A">
        <w:rPr>
          <w:rFonts w:ascii="Times New Roman" w:eastAsia="Calibri" w:hAnsi="Times New Roman" w:cs="Times New Roman"/>
          <w:sz w:val="24"/>
          <w:szCs w:val="24"/>
        </w:rPr>
        <w:t>du résultat PCN. Cependant, il est notable que 50% des résultats ont diminué suit à la transition, vu que l’impact relatif moyen estimé par la médiane est égal à 0% (ainsi que la médiane relative à la variation absolue).</w:t>
      </w:r>
    </w:p>
    <w:p w:rsidR="0039067A" w:rsidRPr="0039067A" w:rsidRDefault="0039067A" w:rsidP="0039067A">
      <w:pPr>
        <w:spacing w:before="0" w:beforeAutospacing="0" w:after="60" w:afterAutospacing="0" w:line="276" w:lineRule="auto"/>
        <w:ind w:firstLine="357"/>
        <w:jc w:val="both"/>
        <w:rPr>
          <w:rFonts w:ascii="Times New Roman" w:eastAsia="Calibri" w:hAnsi="Times New Roman" w:cs="Times New Roman"/>
          <w:sz w:val="24"/>
          <w:szCs w:val="24"/>
        </w:rPr>
      </w:pPr>
      <w:r w:rsidRPr="0039067A">
        <w:rPr>
          <w:rFonts w:ascii="Times New Roman" w:eastAsia="Calibri" w:hAnsi="Times New Roman" w:cs="Times New Roman"/>
          <w:sz w:val="24"/>
          <w:szCs w:val="24"/>
        </w:rPr>
        <w:t xml:space="preserve">Ces résultats peuvent induire à des interprétations contradictoires, d’une part la variation moyenne des résultats est positive (même très importante) ce qui peut être interprété par un impact globalement favorable de la transition, et au même temps nous constatons que 50% des sociétés ont eu un impact négatif sur leurs résultats. </w:t>
      </w:r>
    </w:p>
    <w:p w:rsidR="0039067A" w:rsidRPr="0039067A" w:rsidRDefault="0039067A" w:rsidP="0039067A">
      <w:pPr>
        <w:spacing w:before="0" w:beforeAutospacing="0" w:after="60" w:afterAutospacing="0" w:line="276" w:lineRule="auto"/>
        <w:ind w:firstLine="357"/>
        <w:jc w:val="both"/>
        <w:rPr>
          <w:rFonts w:ascii="Times New Roman" w:eastAsia="Calibri" w:hAnsi="Times New Roman" w:cs="Times New Roman"/>
          <w:sz w:val="24"/>
          <w:szCs w:val="24"/>
        </w:rPr>
      </w:pPr>
      <w:r w:rsidRPr="0039067A">
        <w:rPr>
          <w:rFonts w:ascii="Times New Roman" w:eastAsia="Calibri" w:hAnsi="Times New Roman" w:cs="Times New Roman"/>
          <w:sz w:val="24"/>
          <w:szCs w:val="24"/>
        </w:rPr>
        <w:t xml:space="preserve">Dans ce cas, le recours au test de </w:t>
      </w:r>
      <w:proofErr w:type="spellStart"/>
      <w:r w:rsidRPr="0039067A">
        <w:rPr>
          <w:rFonts w:ascii="Times New Roman" w:eastAsia="Calibri" w:hAnsi="Times New Roman" w:cs="Times New Roman"/>
          <w:sz w:val="24"/>
          <w:szCs w:val="24"/>
        </w:rPr>
        <w:t>Wilcoxon</w:t>
      </w:r>
      <w:proofErr w:type="spellEnd"/>
      <w:r w:rsidRPr="0039067A">
        <w:rPr>
          <w:rFonts w:ascii="Times New Roman" w:eastAsia="Calibri" w:hAnsi="Times New Roman" w:cs="Times New Roman"/>
          <w:sz w:val="24"/>
          <w:szCs w:val="24"/>
        </w:rPr>
        <w:t xml:space="preserve"> nous a permis de déterminer la tendance de l’impact sur les résultats des sociétés dû à la transition au SCF. Les résultats de ce test sont présentés dans le tableau ci-après. </w:t>
      </w:r>
    </w:p>
    <w:p w:rsidR="0039067A" w:rsidRPr="0039067A" w:rsidRDefault="0039067A" w:rsidP="0039067A">
      <w:pPr>
        <w:tabs>
          <w:tab w:val="left" w:pos="4860"/>
        </w:tabs>
        <w:spacing w:before="0" w:beforeAutospacing="0" w:after="60" w:afterAutospacing="0" w:line="276" w:lineRule="auto"/>
        <w:ind w:firstLine="357"/>
        <w:rPr>
          <w:rFonts w:ascii="Times New Roman" w:eastAsia="Calibri" w:hAnsi="Times New Roman" w:cs="Times New Roman"/>
          <w:b/>
          <w:sz w:val="24"/>
          <w:szCs w:val="24"/>
        </w:rPr>
      </w:pPr>
      <w:r w:rsidRPr="0039067A">
        <w:rPr>
          <w:rFonts w:ascii="Times New Roman" w:eastAsia="Calibri" w:hAnsi="Times New Roman" w:cs="Times New Roman"/>
          <w:b/>
          <w:sz w:val="24"/>
          <w:szCs w:val="24"/>
        </w:rPr>
        <w:t xml:space="preserve">Tableau (13) : Résultats du test de </w:t>
      </w:r>
      <w:proofErr w:type="spellStart"/>
      <w:r w:rsidRPr="0039067A">
        <w:rPr>
          <w:rFonts w:ascii="Times New Roman" w:eastAsia="Calibri" w:hAnsi="Times New Roman" w:cs="Times New Roman"/>
          <w:b/>
          <w:sz w:val="24"/>
          <w:szCs w:val="24"/>
        </w:rPr>
        <w:t>Wilcoxon</w:t>
      </w:r>
      <w:proofErr w:type="spellEnd"/>
      <w:r w:rsidRPr="0039067A">
        <w:rPr>
          <w:rFonts w:ascii="Times New Roman" w:eastAsia="Calibri" w:hAnsi="Times New Roman" w:cs="Times New Roman"/>
          <w:b/>
          <w:sz w:val="24"/>
          <w:szCs w:val="24"/>
        </w:rPr>
        <w:t xml:space="preserve"> concernant la variation des résultats</w:t>
      </w:r>
    </w:p>
    <w:tbl>
      <w:tblPr>
        <w:tblW w:w="7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1"/>
        <w:gridCol w:w="989"/>
        <w:gridCol w:w="996"/>
        <w:gridCol w:w="1419"/>
      </w:tblGrid>
      <w:tr w:rsidR="0039067A" w:rsidRPr="0039067A" w:rsidTr="0039067A">
        <w:trPr>
          <w:jc w:val="center"/>
        </w:trPr>
        <w:tc>
          <w:tcPr>
            <w:tcW w:w="4261" w:type="dxa"/>
            <w:shd w:val="clear" w:color="auto" w:fill="auto"/>
            <w:vAlign w:val="center"/>
          </w:tcPr>
          <w:p w:rsidR="0039067A" w:rsidRPr="0039067A" w:rsidRDefault="0039067A" w:rsidP="0039067A">
            <w:pPr>
              <w:autoSpaceDE w:val="0"/>
              <w:autoSpaceDN w:val="0"/>
              <w:adjustRightInd w:val="0"/>
              <w:spacing w:before="0" w:beforeAutospacing="0" w:after="0" w:afterAutospacing="0"/>
              <w:rPr>
                <w:rFonts w:ascii="Times New Roman" w:eastAsia="Calibri" w:hAnsi="Times New Roman" w:cs="Times New Roman"/>
                <w:sz w:val="24"/>
                <w:szCs w:val="20"/>
              </w:rPr>
            </w:pPr>
            <w:r w:rsidRPr="0039067A">
              <w:rPr>
                <w:rFonts w:ascii="Times New Roman" w:eastAsia="Calibri" w:hAnsi="Times New Roman" w:cs="Times New Roman"/>
                <w:sz w:val="24"/>
                <w:szCs w:val="20"/>
              </w:rPr>
              <w:t>Résultat SCF - Résultat PCN</w:t>
            </w:r>
          </w:p>
        </w:tc>
        <w:tc>
          <w:tcPr>
            <w:tcW w:w="989" w:type="dxa"/>
            <w:shd w:val="clear" w:color="auto" w:fill="auto"/>
            <w:vAlign w:val="center"/>
          </w:tcPr>
          <w:p w:rsidR="0039067A" w:rsidRPr="0039067A" w:rsidRDefault="0039067A" w:rsidP="0039067A">
            <w:pPr>
              <w:autoSpaceDE w:val="0"/>
              <w:autoSpaceDN w:val="0"/>
              <w:adjustRightInd w:val="0"/>
              <w:spacing w:before="0" w:beforeAutospacing="0" w:after="0" w:afterAutospacing="0"/>
              <w:rPr>
                <w:rFonts w:ascii="Times New Roman" w:eastAsia="Calibri" w:hAnsi="Times New Roman" w:cs="Times New Roman"/>
                <w:sz w:val="24"/>
                <w:szCs w:val="20"/>
              </w:rPr>
            </w:pPr>
            <w:r w:rsidRPr="0039067A">
              <w:rPr>
                <w:rFonts w:ascii="Times New Roman" w:eastAsia="Calibri" w:hAnsi="Times New Roman" w:cs="Times New Roman"/>
                <w:sz w:val="24"/>
                <w:szCs w:val="20"/>
              </w:rPr>
              <w:t>N</w:t>
            </w:r>
          </w:p>
        </w:tc>
        <w:tc>
          <w:tcPr>
            <w:tcW w:w="996" w:type="dxa"/>
            <w:shd w:val="clear" w:color="auto" w:fill="auto"/>
            <w:vAlign w:val="center"/>
          </w:tcPr>
          <w:p w:rsidR="0039067A" w:rsidRPr="0039067A" w:rsidRDefault="0039067A" w:rsidP="0039067A">
            <w:pPr>
              <w:autoSpaceDE w:val="0"/>
              <w:autoSpaceDN w:val="0"/>
              <w:adjustRightInd w:val="0"/>
              <w:spacing w:before="0" w:beforeAutospacing="0" w:after="0" w:afterAutospacing="0"/>
              <w:rPr>
                <w:rFonts w:ascii="Times New Roman" w:eastAsia="Calibri" w:hAnsi="Times New Roman" w:cs="Times New Roman"/>
                <w:sz w:val="24"/>
                <w:szCs w:val="20"/>
              </w:rPr>
            </w:pPr>
            <w:r w:rsidRPr="0039067A">
              <w:rPr>
                <w:rFonts w:ascii="Times New Roman" w:eastAsia="Calibri" w:hAnsi="Times New Roman" w:cs="Times New Roman"/>
                <w:sz w:val="24"/>
                <w:szCs w:val="20"/>
              </w:rPr>
              <w:t>Rang moyen</w:t>
            </w:r>
          </w:p>
        </w:tc>
        <w:tc>
          <w:tcPr>
            <w:tcW w:w="1419" w:type="dxa"/>
            <w:shd w:val="clear" w:color="auto" w:fill="auto"/>
            <w:vAlign w:val="center"/>
          </w:tcPr>
          <w:p w:rsidR="0039067A" w:rsidRPr="0039067A" w:rsidRDefault="0039067A" w:rsidP="0039067A">
            <w:pPr>
              <w:autoSpaceDE w:val="0"/>
              <w:autoSpaceDN w:val="0"/>
              <w:adjustRightInd w:val="0"/>
              <w:spacing w:before="0" w:beforeAutospacing="0" w:after="0" w:afterAutospacing="0"/>
              <w:rPr>
                <w:rFonts w:ascii="Times New Roman" w:eastAsia="Calibri" w:hAnsi="Times New Roman" w:cs="Times New Roman"/>
                <w:sz w:val="24"/>
                <w:szCs w:val="20"/>
                <w:lang w:val="en-US"/>
              </w:rPr>
            </w:pPr>
            <w:r w:rsidRPr="0039067A">
              <w:rPr>
                <w:rFonts w:ascii="Times New Roman" w:eastAsia="Calibri" w:hAnsi="Times New Roman" w:cs="Times New Roman"/>
                <w:sz w:val="24"/>
                <w:szCs w:val="20"/>
              </w:rPr>
              <w:t>Somme des rangs</w:t>
            </w:r>
          </w:p>
        </w:tc>
      </w:tr>
      <w:tr w:rsidR="0039067A" w:rsidRPr="0039067A" w:rsidTr="0039067A">
        <w:trPr>
          <w:jc w:val="center"/>
        </w:trPr>
        <w:tc>
          <w:tcPr>
            <w:tcW w:w="4261" w:type="dxa"/>
            <w:shd w:val="clear" w:color="auto" w:fill="auto"/>
            <w:vAlign w:val="center"/>
          </w:tcPr>
          <w:p w:rsidR="0039067A" w:rsidRPr="0039067A" w:rsidRDefault="0039067A" w:rsidP="0039067A">
            <w:pPr>
              <w:autoSpaceDE w:val="0"/>
              <w:autoSpaceDN w:val="0"/>
              <w:adjustRightInd w:val="0"/>
              <w:spacing w:before="0" w:beforeAutospacing="0" w:after="0" w:afterAutospacing="0"/>
              <w:jc w:val="both"/>
              <w:rPr>
                <w:rFonts w:ascii="Times New Roman" w:eastAsia="Calibri" w:hAnsi="Times New Roman" w:cs="Times New Roman"/>
                <w:sz w:val="24"/>
                <w:szCs w:val="20"/>
                <w:lang w:val="en-US"/>
              </w:rPr>
            </w:pPr>
            <w:r w:rsidRPr="0039067A">
              <w:rPr>
                <w:rFonts w:ascii="Times New Roman" w:eastAsia="Calibri" w:hAnsi="Times New Roman" w:cs="Times New Roman"/>
                <w:sz w:val="24"/>
                <w:szCs w:val="20"/>
              </w:rPr>
              <w:t>Rangs</w:t>
            </w:r>
            <w:r w:rsidRPr="0039067A">
              <w:rPr>
                <w:rFonts w:ascii="Times New Roman" w:eastAsia="Calibri" w:hAnsi="Times New Roman" w:cs="Times New Roman"/>
                <w:sz w:val="24"/>
                <w:szCs w:val="20"/>
                <w:lang w:val="en-US"/>
              </w:rPr>
              <w:t xml:space="preserve"> </w:t>
            </w:r>
            <w:r w:rsidRPr="0039067A">
              <w:rPr>
                <w:rFonts w:ascii="Times New Roman" w:eastAsia="Calibri" w:hAnsi="Times New Roman" w:cs="Times New Roman"/>
                <w:sz w:val="24"/>
                <w:szCs w:val="20"/>
              </w:rPr>
              <w:t>négatifs</w:t>
            </w:r>
          </w:p>
        </w:tc>
        <w:tc>
          <w:tcPr>
            <w:tcW w:w="989" w:type="dxa"/>
            <w:shd w:val="clear" w:color="auto" w:fill="auto"/>
            <w:vAlign w:val="center"/>
          </w:tcPr>
          <w:p w:rsidR="0039067A" w:rsidRPr="0039067A" w:rsidRDefault="0039067A" w:rsidP="0039067A">
            <w:pPr>
              <w:autoSpaceDE w:val="0"/>
              <w:autoSpaceDN w:val="0"/>
              <w:adjustRightInd w:val="0"/>
              <w:spacing w:before="0" w:beforeAutospacing="0" w:after="0" w:afterAutospacing="0"/>
              <w:rPr>
                <w:rFonts w:ascii="Calibri" w:eastAsia="Calibri" w:hAnsi="Calibri" w:cs="Times New Roman"/>
                <w:szCs w:val="20"/>
                <w:lang w:val="en-US"/>
              </w:rPr>
            </w:pPr>
            <w:r w:rsidRPr="0039067A">
              <w:rPr>
                <w:rFonts w:ascii="Calibri" w:eastAsia="Calibri" w:hAnsi="Calibri" w:cs="Times New Roman"/>
                <w:szCs w:val="20"/>
                <w:lang w:val="en-US"/>
              </w:rPr>
              <w:t>16 a</w:t>
            </w:r>
          </w:p>
        </w:tc>
        <w:tc>
          <w:tcPr>
            <w:tcW w:w="996" w:type="dxa"/>
            <w:shd w:val="clear" w:color="auto" w:fill="auto"/>
            <w:vAlign w:val="center"/>
          </w:tcPr>
          <w:p w:rsidR="0039067A" w:rsidRPr="0039067A" w:rsidRDefault="0039067A" w:rsidP="0039067A">
            <w:pPr>
              <w:autoSpaceDE w:val="0"/>
              <w:autoSpaceDN w:val="0"/>
              <w:adjustRightInd w:val="0"/>
              <w:spacing w:before="0" w:beforeAutospacing="0" w:after="0" w:afterAutospacing="0"/>
              <w:rPr>
                <w:rFonts w:ascii="Calibri" w:eastAsia="Calibri" w:hAnsi="Calibri" w:cs="Times New Roman"/>
                <w:szCs w:val="20"/>
                <w:lang w:val="en-US"/>
              </w:rPr>
            </w:pPr>
            <w:r w:rsidRPr="0039067A">
              <w:rPr>
                <w:rFonts w:ascii="Calibri" w:eastAsia="Calibri" w:hAnsi="Calibri" w:cs="Times New Roman"/>
                <w:szCs w:val="20"/>
                <w:lang w:val="en-US"/>
              </w:rPr>
              <w:t>11,31</w:t>
            </w:r>
          </w:p>
        </w:tc>
        <w:tc>
          <w:tcPr>
            <w:tcW w:w="1419" w:type="dxa"/>
            <w:shd w:val="clear" w:color="auto" w:fill="auto"/>
            <w:vAlign w:val="center"/>
          </w:tcPr>
          <w:p w:rsidR="0039067A" w:rsidRPr="0039067A" w:rsidRDefault="0039067A" w:rsidP="0039067A">
            <w:pPr>
              <w:autoSpaceDE w:val="0"/>
              <w:autoSpaceDN w:val="0"/>
              <w:adjustRightInd w:val="0"/>
              <w:spacing w:before="0" w:beforeAutospacing="0" w:after="0" w:afterAutospacing="0"/>
              <w:rPr>
                <w:rFonts w:ascii="Calibri" w:eastAsia="Calibri" w:hAnsi="Calibri" w:cs="Times New Roman"/>
                <w:szCs w:val="20"/>
                <w:lang w:val="en-US"/>
              </w:rPr>
            </w:pPr>
            <w:r w:rsidRPr="0039067A">
              <w:rPr>
                <w:rFonts w:ascii="Calibri" w:eastAsia="Calibri" w:hAnsi="Calibri" w:cs="Times New Roman"/>
                <w:szCs w:val="20"/>
                <w:lang w:val="en-US"/>
              </w:rPr>
              <w:t>181,00</w:t>
            </w:r>
          </w:p>
        </w:tc>
      </w:tr>
      <w:tr w:rsidR="0039067A" w:rsidRPr="0039067A" w:rsidTr="0039067A">
        <w:trPr>
          <w:jc w:val="center"/>
        </w:trPr>
        <w:tc>
          <w:tcPr>
            <w:tcW w:w="4261" w:type="dxa"/>
            <w:shd w:val="clear" w:color="auto" w:fill="auto"/>
            <w:vAlign w:val="center"/>
          </w:tcPr>
          <w:p w:rsidR="0039067A" w:rsidRPr="0039067A" w:rsidRDefault="0039067A" w:rsidP="0039067A">
            <w:pPr>
              <w:autoSpaceDE w:val="0"/>
              <w:autoSpaceDN w:val="0"/>
              <w:adjustRightInd w:val="0"/>
              <w:spacing w:before="0" w:beforeAutospacing="0" w:after="0" w:afterAutospacing="0"/>
              <w:jc w:val="both"/>
              <w:rPr>
                <w:rFonts w:ascii="Times New Roman" w:eastAsia="Calibri" w:hAnsi="Times New Roman" w:cs="Times New Roman"/>
                <w:sz w:val="24"/>
                <w:szCs w:val="20"/>
                <w:lang w:val="en-US"/>
              </w:rPr>
            </w:pPr>
            <w:r w:rsidRPr="0039067A">
              <w:rPr>
                <w:rFonts w:ascii="Times New Roman" w:eastAsia="Calibri" w:hAnsi="Times New Roman" w:cs="Times New Roman"/>
                <w:sz w:val="24"/>
                <w:szCs w:val="20"/>
              </w:rPr>
              <w:t>Rangs positifs</w:t>
            </w:r>
          </w:p>
        </w:tc>
        <w:tc>
          <w:tcPr>
            <w:tcW w:w="989" w:type="dxa"/>
            <w:shd w:val="clear" w:color="auto" w:fill="auto"/>
            <w:vAlign w:val="center"/>
          </w:tcPr>
          <w:p w:rsidR="0039067A" w:rsidRPr="0039067A" w:rsidRDefault="0039067A" w:rsidP="0039067A">
            <w:pPr>
              <w:autoSpaceDE w:val="0"/>
              <w:autoSpaceDN w:val="0"/>
              <w:adjustRightInd w:val="0"/>
              <w:spacing w:before="0" w:beforeAutospacing="0" w:after="0" w:afterAutospacing="0"/>
              <w:rPr>
                <w:rFonts w:ascii="Calibri" w:eastAsia="Calibri" w:hAnsi="Calibri" w:cs="Times New Roman"/>
                <w:szCs w:val="20"/>
                <w:lang w:val="en-US"/>
              </w:rPr>
            </w:pPr>
            <w:r w:rsidRPr="0039067A">
              <w:rPr>
                <w:rFonts w:ascii="Calibri" w:eastAsia="Calibri" w:hAnsi="Calibri" w:cs="Times New Roman"/>
                <w:szCs w:val="20"/>
                <w:lang w:val="en-US"/>
              </w:rPr>
              <w:t>14 b</w:t>
            </w:r>
          </w:p>
        </w:tc>
        <w:tc>
          <w:tcPr>
            <w:tcW w:w="996" w:type="dxa"/>
            <w:shd w:val="clear" w:color="auto" w:fill="auto"/>
            <w:vAlign w:val="center"/>
          </w:tcPr>
          <w:p w:rsidR="0039067A" w:rsidRPr="0039067A" w:rsidRDefault="0039067A" w:rsidP="0039067A">
            <w:pPr>
              <w:autoSpaceDE w:val="0"/>
              <w:autoSpaceDN w:val="0"/>
              <w:adjustRightInd w:val="0"/>
              <w:spacing w:before="0" w:beforeAutospacing="0" w:after="0" w:afterAutospacing="0"/>
              <w:rPr>
                <w:rFonts w:ascii="Calibri" w:eastAsia="Calibri" w:hAnsi="Calibri" w:cs="Times New Roman"/>
                <w:szCs w:val="20"/>
                <w:lang w:val="en-US"/>
              </w:rPr>
            </w:pPr>
            <w:r w:rsidRPr="0039067A">
              <w:rPr>
                <w:rFonts w:ascii="Calibri" w:eastAsia="Calibri" w:hAnsi="Calibri" w:cs="Times New Roman"/>
                <w:szCs w:val="20"/>
                <w:lang w:val="en-US"/>
              </w:rPr>
              <w:t>20,29</w:t>
            </w:r>
          </w:p>
        </w:tc>
        <w:tc>
          <w:tcPr>
            <w:tcW w:w="1419" w:type="dxa"/>
            <w:shd w:val="clear" w:color="auto" w:fill="auto"/>
            <w:vAlign w:val="center"/>
          </w:tcPr>
          <w:p w:rsidR="0039067A" w:rsidRPr="0039067A" w:rsidRDefault="0039067A" w:rsidP="0039067A">
            <w:pPr>
              <w:autoSpaceDE w:val="0"/>
              <w:autoSpaceDN w:val="0"/>
              <w:adjustRightInd w:val="0"/>
              <w:spacing w:before="0" w:beforeAutospacing="0" w:after="0" w:afterAutospacing="0"/>
              <w:rPr>
                <w:rFonts w:ascii="Calibri" w:eastAsia="Calibri" w:hAnsi="Calibri" w:cs="Times New Roman"/>
                <w:szCs w:val="20"/>
                <w:lang w:val="en-US"/>
              </w:rPr>
            </w:pPr>
            <w:r w:rsidRPr="0039067A">
              <w:rPr>
                <w:rFonts w:ascii="Calibri" w:eastAsia="Calibri" w:hAnsi="Calibri" w:cs="Times New Roman"/>
                <w:szCs w:val="20"/>
                <w:lang w:val="en-US"/>
              </w:rPr>
              <w:t>284,00</w:t>
            </w:r>
          </w:p>
        </w:tc>
      </w:tr>
      <w:tr w:rsidR="0039067A" w:rsidRPr="0039067A" w:rsidTr="0039067A">
        <w:trPr>
          <w:jc w:val="center"/>
        </w:trPr>
        <w:tc>
          <w:tcPr>
            <w:tcW w:w="4261" w:type="dxa"/>
            <w:tcBorders>
              <w:bottom w:val="single" w:sz="4" w:space="0" w:color="auto"/>
            </w:tcBorders>
            <w:shd w:val="clear" w:color="auto" w:fill="auto"/>
            <w:vAlign w:val="center"/>
          </w:tcPr>
          <w:p w:rsidR="0039067A" w:rsidRPr="0039067A" w:rsidRDefault="0039067A" w:rsidP="0039067A">
            <w:pPr>
              <w:autoSpaceDE w:val="0"/>
              <w:autoSpaceDN w:val="0"/>
              <w:adjustRightInd w:val="0"/>
              <w:spacing w:before="0" w:beforeAutospacing="0" w:after="0" w:afterAutospacing="0"/>
              <w:jc w:val="both"/>
              <w:rPr>
                <w:rFonts w:ascii="Times New Roman" w:eastAsia="Calibri" w:hAnsi="Times New Roman" w:cs="Times New Roman"/>
                <w:sz w:val="24"/>
                <w:szCs w:val="20"/>
                <w:lang w:val="en-US"/>
              </w:rPr>
            </w:pPr>
            <w:r w:rsidRPr="0039067A">
              <w:rPr>
                <w:rFonts w:ascii="Times New Roman" w:eastAsia="Calibri" w:hAnsi="Times New Roman" w:cs="Times New Roman"/>
                <w:sz w:val="24"/>
                <w:szCs w:val="20"/>
                <w:lang w:val="en-US"/>
              </w:rPr>
              <w:t xml:space="preserve">Ex </w:t>
            </w:r>
            <w:r w:rsidRPr="0039067A">
              <w:rPr>
                <w:rFonts w:ascii="Times New Roman" w:eastAsia="Calibri" w:hAnsi="Times New Roman" w:cs="Times New Roman"/>
                <w:sz w:val="24"/>
                <w:szCs w:val="20"/>
              </w:rPr>
              <w:t>aequo</w:t>
            </w:r>
          </w:p>
        </w:tc>
        <w:tc>
          <w:tcPr>
            <w:tcW w:w="989" w:type="dxa"/>
            <w:tcBorders>
              <w:bottom w:val="single" w:sz="4" w:space="0" w:color="auto"/>
            </w:tcBorders>
            <w:shd w:val="clear" w:color="auto" w:fill="auto"/>
            <w:vAlign w:val="center"/>
          </w:tcPr>
          <w:p w:rsidR="0039067A" w:rsidRPr="0039067A" w:rsidRDefault="0039067A" w:rsidP="0039067A">
            <w:pPr>
              <w:autoSpaceDE w:val="0"/>
              <w:autoSpaceDN w:val="0"/>
              <w:adjustRightInd w:val="0"/>
              <w:spacing w:before="0" w:beforeAutospacing="0" w:after="0" w:afterAutospacing="0"/>
              <w:rPr>
                <w:rFonts w:ascii="Calibri" w:eastAsia="Calibri" w:hAnsi="Calibri" w:cs="Times New Roman"/>
                <w:szCs w:val="20"/>
                <w:lang w:val="en-US"/>
              </w:rPr>
            </w:pPr>
            <w:r w:rsidRPr="0039067A">
              <w:rPr>
                <w:rFonts w:ascii="Calibri" w:eastAsia="Calibri" w:hAnsi="Calibri" w:cs="Times New Roman"/>
                <w:szCs w:val="20"/>
                <w:lang w:val="en-US"/>
              </w:rPr>
              <w:t>3 c</w:t>
            </w:r>
          </w:p>
        </w:tc>
        <w:tc>
          <w:tcPr>
            <w:tcW w:w="996" w:type="dxa"/>
            <w:shd w:val="clear" w:color="auto" w:fill="auto"/>
            <w:vAlign w:val="center"/>
          </w:tcPr>
          <w:p w:rsidR="0039067A" w:rsidRPr="0039067A" w:rsidRDefault="0039067A" w:rsidP="0039067A">
            <w:pPr>
              <w:autoSpaceDE w:val="0"/>
              <w:autoSpaceDN w:val="0"/>
              <w:adjustRightInd w:val="0"/>
              <w:spacing w:before="0" w:beforeAutospacing="0" w:after="0" w:afterAutospacing="0"/>
              <w:rPr>
                <w:rFonts w:ascii="Calibri" w:eastAsia="Calibri" w:hAnsi="Calibri" w:cs="Times New Roman"/>
                <w:szCs w:val="20"/>
                <w:lang w:val="en-US"/>
              </w:rPr>
            </w:pPr>
          </w:p>
        </w:tc>
        <w:tc>
          <w:tcPr>
            <w:tcW w:w="1419" w:type="dxa"/>
            <w:shd w:val="clear" w:color="auto" w:fill="auto"/>
            <w:vAlign w:val="center"/>
          </w:tcPr>
          <w:p w:rsidR="0039067A" w:rsidRPr="0039067A" w:rsidRDefault="0039067A" w:rsidP="0039067A">
            <w:pPr>
              <w:autoSpaceDE w:val="0"/>
              <w:autoSpaceDN w:val="0"/>
              <w:adjustRightInd w:val="0"/>
              <w:spacing w:before="0" w:beforeAutospacing="0" w:after="0" w:afterAutospacing="0"/>
              <w:rPr>
                <w:rFonts w:ascii="Calibri" w:eastAsia="Calibri" w:hAnsi="Calibri" w:cs="Times New Roman"/>
                <w:szCs w:val="20"/>
                <w:lang w:val="en-US"/>
              </w:rPr>
            </w:pPr>
          </w:p>
        </w:tc>
      </w:tr>
      <w:tr w:rsidR="0039067A" w:rsidRPr="0039067A" w:rsidTr="0039067A">
        <w:trPr>
          <w:jc w:val="center"/>
        </w:trPr>
        <w:tc>
          <w:tcPr>
            <w:tcW w:w="4261" w:type="dxa"/>
            <w:shd w:val="clear" w:color="auto" w:fill="auto"/>
            <w:vAlign w:val="center"/>
          </w:tcPr>
          <w:p w:rsidR="0039067A" w:rsidRPr="0039067A" w:rsidRDefault="0039067A" w:rsidP="0039067A">
            <w:pPr>
              <w:autoSpaceDE w:val="0"/>
              <w:autoSpaceDN w:val="0"/>
              <w:adjustRightInd w:val="0"/>
              <w:spacing w:before="0" w:beforeAutospacing="0" w:after="0" w:afterAutospacing="0"/>
              <w:ind w:left="708"/>
              <w:jc w:val="right"/>
              <w:rPr>
                <w:rFonts w:ascii="Times New Roman" w:eastAsia="Calibri" w:hAnsi="Times New Roman" w:cs="Times New Roman"/>
                <w:sz w:val="24"/>
                <w:szCs w:val="20"/>
                <w:lang w:val="en-US"/>
              </w:rPr>
            </w:pPr>
            <w:r w:rsidRPr="0039067A">
              <w:rPr>
                <w:rFonts w:ascii="Times New Roman" w:eastAsia="Calibri" w:hAnsi="Times New Roman" w:cs="Times New Roman"/>
                <w:sz w:val="24"/>
                <w:szCs w:val="20"/>
                <w:lang w:val="en-US"/>
              </w:rPr>
              <w:t>Total</w:t>
            </w:r>
          </w:p>
        </w:tc>
        <w:tc>
          <w:tcPr>
            <w:tcW w:w="989" w:type="dxa"/>
            <w:shd w:val="clear" w:color="auto" w:fill="auto"/>
            <w:vAlign w:val="center"/>
          </w:tcPr>
          <w:p w:rsidR="0039067A" w:rsidRPr="0039067A" w:rsidRDefault="0039067A" w:rsidP="0039067A">
            <w:pPr>
              <w:autoSpaceDE w:val="0"/>
              <w:autoSpaceDN w:val="0"/>
              <w:adjustRightInd w:val="0"/>
              <w:spacing w:before="0" w:beforeAutospacing="0" w:after="0" w:afterAutospacing="0"/>
              <w:rPr>
                <w:rFonts w:ascii="Calibri" w:eastAsia="Calibri" w:hAnsi="Calibri" w:cs="Times New Roman"/>
                <w:szCs w:val="20"/>
                <w:lang w:val="en-US"/>
              </w:rPr>
            </w:pPr>
            <w:r w:rsidRPr="0039067A">
              <w:rPr>
                <w:rFonts w:ascii="Calibri" w:eastAsia="Calibri" w:hAnsi="Calibri" w:cs="Times New Roman"/>
                <w:szCs w:val="20"/>
                <w:lang w:val="en-US"/>
              </w:rPr>
              <w:t>33</w:t>
            </w:r>
          </w:p>
        </w:tc>
        <w:tc>
          <w:tcPr>
            <w:tcW w:w="996" w:type="dxa"/>
            <w:shd w:val="clear" w:color="auto" w:fill="auto"/>
            <w:vAlign w:val="center"/>
          </w:tcPr>
          <w:p w:rsidR="0039067A" w:rsidRPr="0039067A" w:rsidRDefault="0039067A" w:rsidP="0039067A">
            <w:pPr>
              <w:autoSpaceDE w:val="0"/>
              <w:autoSpaceDN w:val="0"/>
              <w:adjustRightInd w:val="0"/>
              <w:spacing w:before="0" w:beforeAutospacing="0" w:after="0" w:afterAutospacing="0"/>
              <w:rPr>
                <w:rFonts w:ascii="Calibri" w:eastAsia="Calibri" w:hAnsi="Calibri" w:cs="Times New Roman"/>
                <w:szCs w:val="20"/>
                <w:lang w:val="en-US"/>
              </w:rPr>
            </w:pPr>
          </w:p>
        </w:tc>
        <w:tc>
          <w:tcPr>
            <w:tcW w:w="1419" w:type="dxa"/>
            <w:shd w:val="clear" w:color="auto" w:fill="auto"/>
            <w:vAlign w:val="center"/>
          </w:tcPr>
          <w:p w:rsidR="0039067A" w:rsidRPr="0039067A" w:rsidRDefault="0039067A" w:rsidP="0039067A">
            <w:pPr>
              <w:autoSpaceDE w:val="0"/>
              <w:autoSpaceDN w:val="0"/>
              <w:adjustRightInd w:val="0"/>
              <w:spacing w:before="0" w:beforeAutospacing="0" w:after="0" w:afterAutospacing="0"/>
              <w:rPr>
                <w:rFonts w:ascii="Calibri" w:eastAsia="Calibri" w:hAnsi="Calibri" w:cs="Times New Roman"/>
                <w:szCs w:val="20"/>
                <w:lang w:val="en-US"/>
              </w:rPr>
            </w:pPr>
          </w:p>
        </w:tc>
      </w:tr>
      <w:tr w:rsidR="0039067A" w:rsidRPr="0039067A" w:rsidTr="0039067A">
        <w:trPr>
          <w:jc w:val="center"/>
        </w:trPr>
        <w:tc>
          <w:tcPr>
            <w:tcW w:w="4261" w:type="dxa"/>
            <w:shd w:val="clear" w:color="auto" w:fill="auto"/>
            <w:vAlign w:val="center"/>
          </w:tcPr>
          <w:p w:rsidR="0039067A" w:rsidRPr="0039067A" w:rsidRDefault="0039067A" w:rsidP="0039067A">
            <w:pPr>
              <w:autoSpaceDE w:val="0"/>
              <w:autoSpaceDN w:val="0"/>
              <w:adjustRightInd w:val="0"/>
              <w:spacing w:before="0" w:beforeAutospacing="0" w:after="0" w:afterAutospacing="0"/>
              <w:rPr>
                <w:rFonts w:ascii="Times New Roman" w:eastAsia="Calibri" w:hAnsi="Times New Roman" w:cs="Times New Roman"/>
                <w:sz w:val="24"/>
                <w:szCs w:val="20"/>
                <w:lang w:val="en-US"/>
              </w:rPr>
            </w:pPr>
            <w:r w:rsidRPr="0039067A">
              <w:rPr>
                <w:rFonts w:ascii="Times New Roman" w:eastAsia="Calibri" w:hAnsi="Times New Roman" w:cs="Times New Roman"/>
                <w:sz w:val="24"/>
                <w:szCs w:val="20"/>
                <w:lang w:val="en-US"/>
              </w:rPr>
              <w:t>Z</w:t>
            </w:r>
          </w:p>
        </w:tc>
        <w:tc>
          <w:tcPr>
            <w:tcW w:w="989" w:type="dxa"/>
            <w:shd w:val="clear" w:color="auto" w:fill="auto"/>
            <w:vAlign w:val="center"/>
          </w:tcPr>
          <w:p w:rsidR="0039067A" w:rsidRPr="0039067A" w:rsidRDefault="0039067A" w:rsidP="0039067A">
            <w:pPr>
              <w:autoSpaceDE w:val="0"/>
              <w:autoSpaceDN w:val="0"/>
              <w:adjustRightInd w:val="0"/>
              <w:spacing w:before="0" w:beforeAutospacing="0" w:after="0" w:afterAutospacing="0"/>
              <w:rPr>
                <w:rFonts w:ascii="Calibri" w:eastAsia="Calibri" w:hAnsi="Calibri" w:cs="Times New Roman"/>
                <w:szCs w:val="20"/>
                <w:lang w:val="en-US"/>
              </w:rPr>
            </w:pPr>
            <w:r w:rsidRPr="0039067A">
              <w:rPr>
                <w:rFonts w:ascii="Calibri" w:eastAsia="Calibri" w:hAnsi="Calibri" w:cs="Times New Roman"/>
                <w:szCs w:val="20"/>
                <w:lang w:val="en-US"/>
              </w:rPr>
              <w:t>-1,059 d</w:t>
            </w:r>
          </w:p>
        </w:tc>
        <w:tc>
          <w:tcPr>
            <w:tcW w:w="996" w:type="dxa"/>
            <w:shd w:val="clear" w:color="auto" w:fill="auto"/>
            <w:vAlign w:val="center"/>
          </w:tcPr>
          <w:p w:rsidR="0039067A" w:rsidRPr="0039067A" w:rsidRDefault="0039067A" w:rsidP="0039067A">
            <w:pPr>
              <w:autoSpaceDE w:val="0"/>
              <w:autoSpaceDN w:val="0"/>
              <w:adjustRightInd w:val="0"/>
              <w:spacing w:before="0" w:beforeAutospacing="0" w:after="0" w:afterAutospacing="0"/>
              <w:rPr>
                <w:rFonts w:ascii="Calibri" w:eastAsia="Calibri" w:hAnsi="Calibri" w:cs="Times New Roman"/>
                <w:szCs w:val="20"/>
                <w:lang w:val="en-US"/>
              </w:rPr>
            </w:pPr>
          </w:p>
        </w:tc>
        <w:tc>
          <w:tcPr>
            <w:tcW w:w="1419" w:type="dxa"/>
            <w:shd w:val="clear" w:color="auto" w:fill="auto"/>
            <w:vAlign w:val="center"/>
          </w:tcPr>
          <w:p w:rsidR="0039067A" w:rsidRPr="0039067A" w:rsidRDefault="0039067A" w:rsidP="0039067A">
            <w:pPr>
              <w:autoSpaceDE w:val="0"/>
              <w:autoSpaceDN w:val="0"/>
              <w:adjustRightInd w:val="0"/>
              <w:spacing w:before="0" w:beforeAutospacing="0" w:after="0" w:afterAutospacing="0"/>
              <w:rPr>
                <w:rFonts w:ascii="Calibri" w:eastAsia="Calibri" w:hAnsi="Calibri" w:cs="Times New Roman"/>
                <w:szCs w:val="20"/>
                <w:lang w:val="en-US"/>
              </w:rPr>
            </w:pPr>
          </w:p>
        </w:tc>
      </w:tr>
      <w:tr w:rsidR="0039067A" w:rsidRPr="0039067A" w:rsidTr="0039067A">
        <w:trPr>
          <w:jc w:val="center"/>
        </w:trPr>
        <w:tc>
          <w:tcPr>
            <w:tcW w:w="4261" w:type="dxa"/>
            <w:vAlign w:val="center"/>
          </w:tcPr>
          <w:p w:rsidR="0039067A" w:rsidRPr="0039067A" w:rsidRDefault="0039067A" w:rsidP="0039067A">
            <w:pPr>
              <w:autoSpaceDE w:val="0"/>
              <w:autoSpaceDN w:val="0"/>
              <w:adjustRightInd w:val="0"/>
              <w:spacing w:before="0" w:beforeAutospacing="0" w:after="0" w:afterAutospacing="0"/>
              <w:jc w:val="both"/>
              <w:rPr>
                <w:rFonts w:ascii="Times New Roman" w:eastAsia="Calibri" w:hAnsi="Times New Roman" w:cs="Times New Roman"/>
                <w:sz w:val="24"/>
                <w:szCs w:val="20"/>
                <w:lang w:val="en-US"/>
              </w:rPr>
            </w:pPr>
            <w:r w:rsidRPr="0039067A">
              <w:rPr>
                <w:rFonts w:ascii="Times New Roman" w:eastAsia="Calibri" w:hAnsi="Times New Roman" w:cs="Times New Roman"/>
                <w:sz w:val="24"/>
                <w:szCs w:val="20"/>
                <w:lang w:val="en-US"/>
              </w:rPr>
              <w:t xml:space="preserve">Signification </w:t>
            </w:r>
            <w:r w:rsidRPr="0039067A">
              <w:rPr>
                <w:rFonts w:ascii="Times New Roman" w:eastAsia="Calibri" w:hAnsi="Times New Roman" w:cs="Times New Roman"/>
                <w:sz w:val="24"/>
                <w:szCs w:val="20"/>
              </w:rPr>
              <w:t>asymptotique</w:t>
            </w:r>
            <w:r w:rsidRPr="0039067A">
              <w:rPr>
                <w:rFonts w:ascii="Times New Roman" w:eastAsia="Calibri" w:hAnsi="Times New Roman" w:cs="Times New Roman"/>
                <w:sz w:val="24"/>
                <w:szCs w:val="20"/>
                <w:lang w:val="en-US"/>
              </w:rPr>
              <w:t xml:space="preserve"> (</w:t>
            </w:r>
            <w:r w:rsidRPr="0039067A">
              <w:rPr>
                <w:rFonts w:ascii="Times New Roman" w:eastAsia="Calibri" w:hAnsi="Times New Roman" w:cs="Times New Roman"/>
                <w:sz w:val="24"/>
                <w:szCs w:val="20"/>
              </w:rPr>
              <w:t>bilatérale</w:t>
            </w:r>
            <w:r w:rsidRPr="0039067A">
              <w:rPr>
                <w:rFonts w:ascii="Times New Roman" w:eastAsia="Calibri" w:hAnsi="Times New Roman" w:cs="Times New Roman"/>
                <w:sz w:val="24"/>
                <w:szCs w:val="20"/>
                <w:lang w:val="en-US"/>
              </w:rPr>
              <w:t>)</w:t>
            </w:r>
          </w:p>
        </w:tc>
        <w:tc>
          <w:tcPr>
            <w:tcW w:w="989" w:type="dxa"/>
            <w:vAlign w:val="center"/>
          </w:tcPr>
          <w:p w:rsidR="0039067A" w:rsidRPr="0039067A" w:rsidRDefault="0039067A" w:rsidP="0039067A">
            <w:pPr>
              <w:autoSpaceDE w:val="0"/>
              <w:autoSpaceDN w:val="0"/>
              <w:adjustRightInd w:val="0"/>
              <w:spacing w:before="0" w:beforeAutospacing="0" w:after="0" w:afterAutospacing="0"/>
              <w:rPr>
                <w:rFonts w:ascii="Calibri" w:eastAsia="Calibri" w:hAnsi="Calibri" w:cs="Times New Roman"/>
                <w:szCs w:val="20"/>
                <w:lang w:val="en-US"/>
              </w:rPr>
            </w:pPr>
            <w:r w:rsidRPr="0039067A">
              <w:rPr>
                <w:rFonts w:ascii="Calibri" w:eastAsia="Calibri" w:hAnsi="Calibri" w:cs="Times New Roman"/>
                <w:szCs w:val="20"/>
                <w:lang w:val="en-US"/>
              </w:rPr>
              <w:t>0,289</w:t>
            </w:r>
          </w:p>
        </w:tc>
        <w:tc>
          <w:tcPr>
            <w:tcW w:w="996" w:type="dxa"/>
            <w:vAlign w:val="center"/>
          </w:tcPr>
          <w:p w:rsidR="0039067A" w:rsidRPr="0039067A" w:rsidRDefault="0039067A" w:rsidP="0039067A">
            <w:pPr>
              <w:autoSpaceDE w:val="0"/>
              <w:autoSpaceDN w:val="0"/>
              <w:adjustRightInd w:val="0"/>
              <w:spacing w:before="0" w:beforeAutospacing="0" w:after="0" w:afterAutospacing="0"/>
              <w:rPr>
                <w:rFonts w:ascii="Calibri" w:eastAsia="Calibri" w:hAnsi="Calibri" w:cs="Times New Roman"/>
                <w:szCs w:val="20"/>
                <w:lang w:val="en-US"/>
              </w:rPr>
            </w:pPr>
          </w:p>
        </w:tc>
        <w:tc>
          <w:tcPr>
            <w:tcW w:w="1419" w:type="dxa"/>
            <w:vAlign w:val="center"/>
          </w:tcPr>
          <w:p w:rsidR="0039067A" w:rsidRPr="0039067A" w:rsidRDefault="0039067A" w:rsidP="0039067A">
            <w:pPr>
              <w:autoSpaceDE w:val="0"/>
              <w:autoSpaceDN w:val="0"/>
              <w:adjustRightInd w:val="0"/>
              <w:spacing w:before="0" w:beforeAutospacing="0" w:after="0" w:afterAutospacing="0"/>
              <w:rPr>
                <w:rFonts w:ascii="Calibri" w:eastAsia="Calibri" w:hAnsi="Calibri" w:cs="Times New Roman"/>
                <w:szCs w:val="20"/>
                <w:lang w:val="en-US"/>
              </w:rPr>
            </w:pPr>
          </w:p>
        </w:tc>
      </w:tr>
    </w:tbl>
    <w:p w:rsidR="0039067A" w:rsidRPr="0039067A" w:rsidRDefault="0039067A" w:rsidP="0039067A">
      <w:pPr>
        <w:autoSpaceDE w:val="0"/>
        <w:autoSpaceDN w:val="0"/>
        <w:adjustRightInd w:val="0"/>
        <w:spacing w:before="60" w:beforeAutospacing="0" w:after="0" w:afterAutospacing="0"/>
        <w:jc w:val="left"/>
        <w:rPr>
          <w:rFonts w:ascii="Times New Roman" w:eastAsia="Calibri" w:hAnsi="Times New Roman" w:cs="Times New Roman"/>
          <w:szCs w:val="20"/>
        </w:rPr>
      </w:pPr>
      <w:r w:rsidRPr="0039067A">
        <w:rPr>
          <w:rFonts w:ascii="Times New Roman" w:eastAsia="Calibri" w:hAnsi="Times New Roman" w:cs="Times New Roman"/>
          <w:b/>
          <w:szCs w:val="20"/>
        </w:rPr>
        <w:tab/>
      </w:r>
      <w:proofErr w:type="gramStart"/>
      <w:r w:rsidRPr="0039067A">
        <w:rPr>
          <w:rFonts w:ascii="Times New Roman" w:eastAsia="Calibri" w:hAnsi="Times New Roman" w:cs="Times New Roman"/>
          <w:b/>
          <w:szCs w:val="20"/>
        </w:rPr>
        <w:t>a</w:t>
      </w:r>
      <w:proofErr w:type="gramEnd"/>
      <w:r w:rsidRPr="0039067A">
        <w:rPr>
          <w:rFonts w:ascii="Times New Roman" w:eastAsia="Calibri" w:hAnsi="Times New Roman" w:cs="Times New Roman"/>
          <w:b/>
          <w:szCs w:val="20"/>
        </w:rPr>
        <w:t xml:space="preserve"> </w:t>
      </w:r>
      <w:r w:rsidRPr="0039067A">
        <w:rPr>
          <w:rFonts w:ascii="Times New Roman" w:eastAsia="Calibri" w:hAnsi="Times New Roman" w:cs="Times New Roman"/>
          <w:szCs w:val="20"/>
        </w:rPr>
        <w:t xml:space="preserve"> résultat SCF &lt; résultat PCN</w:t>
      </w:r>
    </w:p>
    <w:p w:rsidR="0039067A" w:rsidRPr="0039067A" w:rsidRDefault="0039067A" w:rsidP="0039067A">
      <w:pPr>
        <w:autoSpaceDE w:val="0"/>
        <w:autoSpaceDN w:val="0"/>
        <w:adjustRightInd w:val="0"/>
        <w:spacing w:before="60" w:beforeAutospacing="0" w:after="0" w:afterAutospacing="0"/>
        <w:jc w:val="left"/>
        <w:rPr>
          <w:rFonts w:ascii="Times New Roman" w:eastAsia="Calibri" w:hAnsi="Times New Roman" w:cs="Times New Roman"/>
          <w:szCs w:val="20"/>
        </w:rPr>
      </w:pPr>
      <w:r w:rsidRPr="0039067A">
        <w:rPr>
          <w:rFonts w:ascii="Times New Roman" w:eastAsia="Calibri" w:hAnsi="Times New Roman" w:cs="Times New Roman"/>
          <w:b/>
          <w:szCs w:val="20"/>
        </w:rPr>
        <w:tab/>
      </w:r>
      <w:proofErr w:type="gramStart"/>
      <w:r w:rsidRPr="0039067A">
        <w:rPr>
          <w:rFonts w:ascii="Times New Roman" w:eastAsia="Calibri" w:hAnsi="Times New Roman" w:cs="Times New Roman"/>
          <w:b/>
          <w:szCs w:val="20"/>
        </w:rPr>
        <w:t>b</w:t>
      </w:r>
      <w:proofErr w:type="gramEnd"/>
      <w:r w:rsidRPr="0039067A">
        <w:rPr>
          <w:rFonts w:ascii="Times New Roman" w:eastAsia="Calibri" w:hAnsi="Times New Roman" w:cs="Times New Roman"/>
          <w:b/>
          <w:szCs w:val="20"/>
        </w:rPr>
        <w:t xml:space="preserve"> </w:t>
      </w:r>
      <w:r w:rsidRPr="0039067A">
        <w:rPr>
          <w:rFonts w:ascii="Times New Roman" w:eastAsia="Calibri" w:hAnsi="Times New Roman" w:cs="Times New Roman"/>
          <w:szCs w:val="20"/>
        </w:rPr>
        <w:t xml:space="preserve"> résultat SCF &gt; résultat PCN</w:t>
      </w:r>
    </w:p>
    <w:p w:rsidR="0039067A" w:rsidRPr="0039067A" w:rsidRDefault="0039067A" w:rsidP="0039067A">
      <w:pPr>
        <w:autoSpaceDE w:val="0"/>
        <w:autoSpaceDN w:val="0"/>
        <w:adjustRightInd w:val="0"/>
        <w:spacing w:before="60" w:beforeAutospacing="0" w:after="0" w:afterAutospacing="0"/>
        <w:jc w:val="left"/>
        <w:rPr>
          <w:rFonts w:ascii="Times New Roman" w:eastAsia="Calibri" w:hAnsi="Times New Roman" w:cs="Times New Roman"/>
          <w:szCs w:val="20"/>
        </w:rPr>
      </w:pPr>
      <w:r w:rsidRPr="0039067A">
        <w:rPr>
          <w:rFonts w:ascii="Times New Roman" w:eastAsia="Calibri" w:hAnsi="Times New Roman" w:cs="Times New Roman"/>
          <w:b/>
          <w:szCs w:val="20"/>
        </w:rPr>
        <w:tab/>
      </w:r>
      <w:proofErr w:type="gramStart"/>
      <w:r w:rsidRPr="0039067A">
        <w:rPr>
          <w:rFonts w:ascii="Times New Roman" w:eastAsia="Calibri" w:hAnsi="Times New Roman" w:cs="Times New Roman"/>
          <w:b/>
          <w:szCs w:val="20"/>
        </w:rPr>
        <w:t>c</w:t>
      </w:r>
      <w:proofErr w:type="gramEnd"/>
      <w:r w:rsidRPr="0039067A">
        <w:rPr>
          <w:rFonts w:ascii="Times New Roman" w:eastAsia="Calibri" w:hAnsi="Times New Roman" w:cs="Times New Roman"/>
          <w:b/>
          <w:szCs w:val="20"/>
        </w:rPr>
        <w:t xml:space="preserve"> </w:t>
      </w:r>
      <w:r w:rsidRPr="0039067A">
        <w:rPr>
          <w:rFonts w:ascii="Times New Roman" w:eastAsia="Calibri" w:hAnsi="Times New Roman" w:cs="Times New Roman"/>
          <w:szCs w:val="20"/>
        </w:rPr>
        <w:t xml:space="preserve"> résultat PCN = résultat SCF</w:t>
      </w:r>
    </w:p>
    <w:p w:rsidR="0039067A" w:rsidRPr="0039067A" w:rsidRDefault="0039067A" w:rsidP="0039067A">
      <w:pPr>
        <w:autoSpaceDE w:val="0"/>
        <w:autoSpaceDN w:val="0"/>
        <w:adjustRightInd w:val="0"/>
        <w:spacing w:before="60" w:beforeAutospacing="0" w:after="0" w:afterAutospacing="0"/>
        <w:jc w:val="left"/>
        <w:rPr>
          <w:rFonts w:ascii="Times New Roman" w:eastAsia="Calibri" w:hAnsi="Times New Roman" w:cs="Times New Roman"/>
          <w:szCs w:val="20"/>
        </w:rPr>
      </w:pPr>
      <w:r w:rsidRPr="0039067A">
        <w:rPr>
          <w:rFonts w:ascii="Times New Roman" w:eastAsia="Calibri" w:hAnsi="Times New Roman" w:cs="Times New Roman"/>
          <w:szCs w:val="20"/>
        </w:rPr>
        <w:tab/>
      </w:r>
      <w:proofErr w:type="gramStart"/>
      <w:r w:rsidRPr="0039067A">
        <w:rPr>
          <w:rFonts w:ascii="Times New Roman" w:eastAsia="Calibri" w:hAnsi="Times New Roman" w:cs="Times New Roman"/>
          <w:szCs w:val="20"/>
        </w:rPr>
        <w:t>d</w:t>
      </w:r>
      <w:proofErr w:type="gramEnd"/>
      <w:r w:rsidRPr="0039067A">
        <w:rPr>
          <w:rFonts w:ascii="Times New Roman" w:eastAsia="Calibri" w:hAnsi="Times New Roman" w:cs="Times New Roman"/>
          <w:szCs w:val="20"/>
        </w:rPr>
        <w:t xml:space="preserve"> Basée sur les rangs négatifs.</w:t>
      </w:r>
    </w:p>
    <w:p w:rsidR="0039067A" w:rsidRPr="0039067A" w:rsidRDefault="0039067A" w:rsidP="0039067A">
      <w:pPr>
        <w:spacing w:before="120" w:beforeAutospacing="0" w:after="60" w:afterAutospacing="0" w:line="276" w:lineRule="auto"/>
        <w:ind w:firstLine="357"/>
        <w:jc w:val="both"/>
        <w:rPr>
          <w:rFonts w:ascii="Times New Roman" w:eastAsia="Calibri" w:hAnsi="Times New Roman" w:cs="Times New Roman"/>
          <w:i/>
          <w:szCs w:val="24"/>
        </w:rPr>
      </w:pPr>
      <w:r w:rsidRPr="0039067A">
        <w:rPr>
          <w:rFonts w:ascii="Times New Roman" w:eastAsia="Calibri" w:hAnsi="Times New Roman" w:cs="Times New Roman"/>
          <w:i/>
          <w:szCs w:val="24"/>
        </w:rPr>
        <w:t>Sources : établis sur la base des données financières des sociétés de l’échantillon</w:t>
      </w:r>
    </w:p>
    <w:p w:rsidR="0039067A" w:rsidRPr="0039067A" w:rsidRDefault="0039067A" w:rsidP="0039067A">
      <w:pPr>
        <w:spacing w:before="120" w:beforeAutospacing="0" w:after="120" w:afterAutospacing="0" w:line="276" w:lineRule="auto"/>
        <w:ind w:firstLine="360"/>
        <w:jc w:val="both"/>
        <w:rPr>
          <w:rFonts w:ascii="Times New Roman" w:eastAsia="Calibri" w:hAnsi="Times New Roman" w:cs="Times New Roman"/>
          <w:sz w:val="24"/>
          <w:szCs w:val="24"/>
        </w:rPr>
      </w:pPr>
      <w:r w:rsidRPr="0039067A">
        <w:rPr>
          <w:rFonts w:ascii="Times New Roman" w:eastAsia="Calibri" w:hAnsi="Times New Roman" w:cs="Times New Roman"/>
          <w:sz w:val="24"/>
          <w:szCs w:val="24"/>
        </w:rPr>
        <w:t xml:space="preserve">Le test de </w:t>
      </w:r>
      <w:proofErr w:type="spellStart"/>
      <w:r w:rsidRPr="0039067A">
        <w:rPr>
          <w:rFonts w:ascii="Times New Roman" w:eastAsia="Calibri" w:hAnsi="Times New Roman" w:cs="Times New Roman"/>
          <w:sz w:val="24"/>
          <w:szCs w:val="24"/>
        </w:rPr>
        <w:t>Wilcoxon</w:t>
      </w:r>
      <w:proofErr w:type="spellEnd"/>
      <w:r w:rsidRPr="0039067A">
        <w:rPr>
          <w:rFonts w:ascii="Times New Roman" w:eastAsia="Calibri" w:hAnsi="Times New Roman" w:cs="Times New Roman"/>
          <w:sz w:val="24"/>
          <w:szCs w:val="24"/>
        </w:rPr>
        <w:t xml:space="preserve"> montre que les résultats de 16 sociétés sur 33 ont diminué suite à la transition contre 14 sociétés où les résultats ont connu une augmentation et 3 sociétés qui n’ont pas enregistré un changement sur leurs résultats. En outre, le rang moyen positif est supérieur au rang négatif, ce qui veut dire que l’impact global est plutôt favorable.</w:t>
      </w:r>
    </w:p>
    <w:p w:rsidR="0039067A" w:rsidRPr="0039067A" w:rsidRDefault="0039067A" w:rsidP="0039067A">
      <w:pPr>
        <w:spacing w:before="120" w:beforeAutospacing="0" w:after="120" w:afterAutospacing="0" w:line="276" w:lineRule="auto"/>
        <w:ind w:firstLine="360"/>
        <w:jc w:val="both"/>
        <w:rPr>
          <w:rFonts w:ascii="Times New Roman" w:eastAsia="Calibri" w:hAnsi="Times New Roman" w:cs="Times New Roman"/>
          <w:sz w:val="24"/>
          <w:szCs w:val="24"/>
        </w:rPr>
      </w:pPr>
      <w:r w:rsidRPr="0039067A">
        <w:rPr>
          <w:rFonts w:ascii="Times New Roman" w:eastAsia="Calibri" w:hAnsi="Times New Roman" w:cs="Times New Roman"/>
          <w:sz w:val="24"/>
          <w:szCs w:val="24"/>
        </w:rPr>
        <w:lastRenderedPageBreak/>
        <w:t xml:space="preserve">Donc et afin de déterminer la tendance de l’impact sur les résultats, nous avons testé l’hypothèse suivante :  </w:t>
      </w:r>
    </w:p>
    <w:p w:rsidR="0039067A" w:rsidRPr="0039067A" w:rsidRDefault="0039067A" w:rsidP="0039067A">
      <w:pPr>
        <w:spacing w:before="120" w:beforeAutospacing="0" w:after="120" w:afterAutospacing="0" w:line="276" w:lineRule="auto"/>
        <w:jc w:val="both"/>
        <w:rPr>
          <w:rFonts w:ascii="Times New Roman" w:eastAsia="Calibri" w:hAnsi="Times New Roman" w:cs="Times New Roman"/>
          <w:sz w:val="24"/>
          <w:szCs w:val="24"/>
        </w:rPr>
      </w:pPr>
      <w:r w:rsidRPr="0039067A">
        <w:rPr>
          <w:rFonts w:ascii="Times New Roman" w:eastAsia="Calibri" w:hAnsi="Times New Roman" w:cs="Times New Roman"/>
          <w:sz w:val="24"/>
          <w:szCs w:val="24"/>
        </w:rPr>
        <w:t>H</w:t>
      </w:r>
      <w:r w:rsidRPr="0039067A">
        <w:rPr>
          <w:rFonts w:ascii="Times New Roman" w:eastAsia="Calibri" w:hAnsi="Times New Roman" w:cs="Times New Roman"/>
          <w:sz w:val="16"/>
          <w:szCs w:val="13"/>
        </w:rPr>
        <w:t>1</w:t>
      </w:r>
      <w:r w:rsidRPr="0039067A">
        <w:rPr>
          <w:rFonts w:ascii="Arial" w:eastAsia="Calibri" w:hAnsi="Arial" w:cs="Arial"/>
          <w:sz w:val="16"/>
          <w:szCs w:val="13"/>
        </w:rPr>
        <w:t> </w:t>
      </w:r>
      <w:r w:rsidRPr="0039067A">
        <w:rPr>
          <w:rFonts w:ascii="Times New Roman" w:eastAsia="Calibri" w:hAnsi="Times New Roman" w:cs="Times New Roman"/>
          <w:sz w:val="24"/>
          <w:szCs w:val="24"/>
        </w:rPr>
        <w:t>: les valeurs des résultats PCN sont en général inférieures à celles des résultats SCF, c’est-à dire qu’il existe un impact positif sur les résultats (test unilatéral à droite).</w:t>
      </w:r>
    </w:p>
    <w:p w:rsidR="0039067A" w:rsidRPr="0039067A" w:rsidRDefault="0039067A" w:rsidP="0039067A">
      <w:pPr>
        <w:spacing w:before="120" w:beforeAutospacing="0" w:after="120" w:afterAutospacing="0" w:line="276" w:lineRule="auto"/>
        <w:jc w:val="both"/>
        <w:rPr>
          <w:rFonts w:ascii="Times New Roman" w:eastAsia="Calibri" w:hAnsi="Times New Roman" w:cs="Times New Roman"/>
          <w:sz w:val="24"/>
          <w:szCs w:val="24"/>
        </w:rPr>
      </w:pPr>
      <w:r w:rsidRPr="0039067A">
        <w:rPr>
          <w:rFonts w:ascii="Times New Roman" w:eastAsia="Calibri" w:hAnsi="Times New Roman" w:cs="Times New Roman"/>
          <w:sz w:val="24"/>
          <w:szCs w:val="24"/>
        </w:rPr>
        <w:t>Contre H</w:t>
      </w:r>
      <w:r w:rsidRPr="0039067A">
        <w:rPr>
          <w:rFonts w:ascii="Times New Roman" w:eastAsia="Calibri" w:hAnsi="Times New Roman" w:cs="Times New Roman"/>
          <w:sz w:val="16"/>
          <w:szCs w:val="24"/>
        </w:rPr>
        <w:t>0 </w:t>
      </w:r>
      <w:r w:rsidRPr="0039067A">
        <w:rPr>
          <w:rFonts w:ascii="Times New Roman" w:eastAsia="Calibri" w:hAnsi="Times New Roman" w:cs="Times New Roman"/>
          <w:sz w:val="24"/>
          <w:szCs w:val="24"/>
        </w:rPr>
        <w:t>: les résultats PCN sont identiques ou supérieurs aux résultats SCF ;</w:t>
      </w:r>
    </w:p>
    <w:p w:rsidR="0039067A" w:rsidRPr="0039067A" w:rsidRDefault="0039067A" w:rsidP="0039067A">
      <w:pPr>
        <w:spacing w:before="120" w:beforeAutospacing="0" w:after="120" w:afterAutospacing="0" w:line="276" w:lineRule="auto"/>
        <w:ind w:firstLine="360"/>
        <w:jc w:val="both"/>
        <w:rPr>
          <w:rFonts w:ascii="Times New Roman" w:eastAsia="Calibri" w:hAnsi="Times New Roman" w:cs="Times New Roman"/>
          <w:sz w:val="40"/>
          <w:szCs w:val="24"/>
        </w:rPr>
      </w:pPr>
      <w:r w:rsidRPr="0039067A">
        <w:rPr>
          <w:rFonts w:ascii="Times New Roman" w:eastAsia="Calibri" w:hAnsi="Times New Roman" w:cs="Times New Roman"/>
          <w:sz w:val="24"/>
          <w:szCs w:val="24"/>
        </w:rPr>
        <w:t xml:space="preserve">Dans ce cas, la </w:t>
      </w:r>
      <w:r w:rsidRPr="0039067A">
        <w:rPr>
          <w:rFonts w:ascii="Times New Roman" w:eastAsia="Calibri" w:hAnsi="Times New Roman" w:cs="Times New Roman"/>
          <w:i/>
          <w:sz w:val="24"/>
          <w:szCs w:val="24"/>
        </w:rPr>
        <w:t>P value</w:t>
      </w:r>
      <w:r w:rsidRPr="0039067A">
        <w:rPr>
          <w:rFonts w:ascii="Times New Roman" w:eastAsia="Calibri" w:hAnsi="Times New Roman" w:cs="Times New Roman"/>
          <w:sz w:val="24"/>
          <w:szCs w:val="24"/>
        </w:rPr>
        <w:t xml:space="preserve"> = 0,145, qui est égal à P (Z &lt; -1,059), donc l’hypothèse H</w:t>
      </w:r>
      <w:r w:rsidRPr="0039067A">
        <w:rPr>
          <w:rFonts w:ascii="Times New Roman" w:eastAsia="Calibri" w:hAnsi="Times New Roman" w:cs="Times New Roman"/>
          <w:sz w:val="16"/>
          <w:szCs w:val="13"/>
        </w:rPr>
        <w:t>1</w:t>
      </w:r>
      <w:r w:rsidRPr="0039067A">
        <w:rPr>
          <w:rFonts w:ascii="Arial" w:eastAsia="Calibri" w:hAnsi="Arial" w:cs="Arial"/>
          <w:sz w:val="16"/>
          <w:szCs w:val="13"/>
        </w:rPr>
        <w:t xml:space="preserve"> </w:t>
      </w:r>
      <w:r w:rsidRPr="0039067A">
        <w:rPr>
          <w:rFonts w:ascii="Times New Roman" w:eastAsia="Calibri" w:hAnsi="Times New Roman" w:cs="Times New Roman"/>
          <w:sz w:val="24"/>
          <w:szCs w:val="13"/>
        </w:rPr>
        <w:t xml:space="preserve">est acceptée (le rang moyen positif est supérieur au rang moyen négatif). </w:t>
      </w:r>
    </w:p>
    <w:p w:rsidR="0039067A" w:rsidRPr="0039067A" w:rsidRDefault="0039067A" w:rsidP="0039067A">
      <w:pPr>
        <w:spacing w:before="120" w:beforeAutospacing="0" w:after="120" w:afterAutospacing="0" w:line="276" w:lineRule="auto"/>
        <w:ind w:firstLine="360"/>
        <w:jc w:val="both"/>
        <w:rPr>
          <w:rFonts w:ascii="Times New Roman" w:eastAsia="Calibri" w:hAnsi="Times New Roman" w:cs="Times New Roman"/>
          <w:sz w:val="24"/>
          <w:szCs w:val="24"/>
        </w:rPr>
      </w:pPr>
      <w:r w:rsidRPr="0039067A">
        <w:rPr>
          <w:rFonts w:ascii="Times New Roman" w:eastAsia="Calibri" w:hAnsi="Times New Roman" w:cs="Times New Roman"/>
          <w:sz w:val="24"/>
          <w:szCs w:val="24"/>
        </w:rPr>
        <w:t xml:space="preserve">Donc, selon le test de </w:t>
      </w:r>
      <w:proofErr w:type="spellStart"/>
      <w:r w:rsidRPr="0039067A">
        <w:rPr>
          <w:rFonts w:ascii="Times New Roman" w:eastAsia="Calibri" w:hAnsi="Times New Roman" w:cs="Times New Roman"/>
          <w:sz w:val="24"/>
          <w:szCs w:val="24"/>
        </w:rPr>
        <w:t>Wilcoxon</w:t>
      </w:r>
      <w:proofErr w:type="spellEnd"/>
      <w:r w:rsidRPr="0039067A">
        <w:rPr>
          <w:rFonts w:ascii="Times New Roman" w:eastAsia="Calibri" w:hAnsi="Times New Roman" w:cs="Times New Roman"/>
          <w:sz w:val="24"/>
          <w:szCs w:val="24"/>
        </w:rPr>
        <w:t xml:space="preserve">, il apparaît que la transition au SCF a eu un impact globalement favorable sur les résultats des sociétés de l’échantillon. </w:t>
      </w:r>
    </w:p>
    <w:p w:rsidR="0039067A" w:rsidRPr="0039067A" w:rsidRDefault="0039067A" w:rsidP="0039067A">
      <w:pPr>
        <w:spacing w:before="120" w:beforeAutospacing="0" w:after="120" w:afterAutospacing="0" w:line="276" w:lineRule="auto"/>
        <w:ind w:firstLine="360"/>
        <w:jc w:val="both"/>
        <w:rPr>
          <w:rFonts w:ascii="Times New Roman" w:eastAsia="Calibri" w:hAnsi="Times New Roman" w:cs="Times New Roman"/>
          <w:sz w:val="24"/>
          <w:szCs w:val="24"/>
        </w:rPr>
      </w:pPr>
      <w:r w:rsidRPr="0039067A">
        <w:rPr>
          <w:rFonts w:ascii="Times New Roman" w:eastAsia="Calibri" w:hAnsi="Times New Roman" w:cs="Times New Roman"/>
          <w:sz w:val="24"/>
          <w:szCs w:val="24"/>
        </w:rPr>
        <w:t>Effectivement, l’analyse approfondie effectuée sur 11 sociétés (parmi les sociétés du Groupe) montre que l’impact global sur les résultats de ces sociétés est de 11 256.37 Millions de dinars. Le tableau suivant permet d’illustrer les principaux retraitements qui sont  à l’origine de cet impact.</w:t>
      </w:r>
    </w:p>
    <w:p w:rsidR="0039067A" w:rsidRPr="0039067A" w:rsidRDefault="0039067A" w:rsidP="0039067A">
      <w:pPr>
        <w:spacing w:before="120" w:beforeAutospacing="0" w:after="120" w:afterAutospacing="0" w:line="276" w:lineRule="auto"/>
        <w:ind w:firstLine="360"/>
        <w:rPr>
          <w:rFonts w:ascii="Times New Roman" w:eastAsia="Calibri" w:hAnsi="Times New Roman" w:cs="Times New Roman"/>
          <w:sz w:val="24"/>
          <w:szCs w:val="24"/>
        </w:rPr>
      </w:pPr>
      <w:r w:rsidRPr="0039067A">
        <w:rPr>
          <w:rFonts w:ascii="Times New Roman" w:eastAsia="Calibri" w:hAnsi="Times New Roman" w:cs="Times New Roman"/>
          <w:b/>
          <w:sz w:val="24"/>
          <w:szCs w:val="24"/>
        </w:rPr>
        <w:t>Tableau (14) : analyse de l’impact du SCF sur les résultats</w:t>
      </w:r>
    </w:p>
    <w:tbl>
      <w:tblPr>
        <w:tblW w:w="9086" w:type="dxa"/>
        <w:tblInd w:w="56" w:type="dxa"/>
        <w:tblCellMar>
          <w:left w:w="70" w:type="dxa"/>
          <w:right w:w="70" w:type="dxa"/>
        </w:tblCellMar>
        <w:tblLook w:val="04A0" w:firstRow="1" w:lastRow="0" w:firstColumn="1" w:lastColumn="0" w:noHBand="0" w:noVBand="1"/>
      </w:tblPr>
      <w:tblGrid>
        <w:gridCol w:w="5968"/>
        <w:gridCol w:w="1559"/>
        <w:gridCol w:w="1559"/>
      </w:tblGrid>
      <w:tr w:rsidR="0039067A" w:rsidRPr="0039067A" w:rsidTr="0039067A">
        <w:trPr>
          <w:trHeight w:val="300"/>
        </w:trPr>
        <w:tc>
          <w:tcPr>
            <w:tcW w:w="5968" w:type="dxa"/>
            <w:tcBorders>
              <w:top w:val="nil"/>
              <w:left w:val="nil"/>
              <w:bottom w:val="nil"/>
              <w:right w:val="nil"/>
            </w:tcBorders>
            <w:shd w:val="clear" w:color="auto" w:fill="auto"/>
            <w:noWrap/>
            <w:vAlign w:val="bottom"/>
            <w:hideMark/>
          </w:tcPr>
          <w:p w:rsidR="0039067A" w:rsidRPr="0039067A" w:rsidRDefault="0039067A" w:rsidP="0039067A">
            <w:pPr>
              <w:spacing w:before="0" w:beforeAutospacing="0" w:after="0" w:afterAutospacing="0"/>
              <w:jc w:val="left"/>
              <w:rPr>
                <w:rFonts w:ascii="Calibri" w:eastAsia="Times New Roman" w:hAnsi="Calibri" w:cs="Calibri"/>
                <w:color w:val="000000"/>
                <w:lang w:eastAsia="fr-FR"/>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067A" w:rsidRPr="0039067A" w:rsidRDefault="0039067A" w:rsidP="0039067A">
            <w:pPr>
              <w:spacing w:before="0" w:beforeAutospacing="0" w:after="0" w:afterAutospacing="0"/>
              <w:rPr>
                <w:rFonts w:ascii="Times New Roman" w:eastAsia="Times New Roman" w:hAnsi="Times New Roman" w:cs="Times New Roman"/>
                <w:color w:val="000000"/>
                <w:lang w:eastAsia="fr-FR"/>
              </w:rPr>
            </w:pPr>
            <w:r w:rsidRPr="0039067A">
              <w:rPr>
                <w:rFonts w:ascii="Times New Roman" w:eastAsia="Times New Roman" w:hAnsi="Times New Roman" w:cs="Times New Roman"/>
                <w:color w:val="000000"/>
                <w:lang w:eastAsia="fr-FR"/>
              </w:rPr>
              <w:t>Impacts</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9067A" w:rsidRPr="0039067A" w:rsidRDefault="0039067A" w:rsidP="0039067A">
            <w:pPr>
              <w:spacing w:before="0" w:beforeAutospacing="0" w:after="0" w:afterAutospacing="0"/>
              <w:rPr>
                <w:rFonts w:ascii="Times New Roman" w:eastAsia="Times New Roman" w:hAnsi="Times New Roman" w:cs="Times New Roman"/>
                <w:color w:val="000000"/>
                <w:lang w:eastAsia="fr-FR"/>
              </w:rPr>
            </w:pPr>
            <w:r w:rsidRPr="0039067A">
              <w:rPr>
                <w:rFonts w:ascii="Times New Roman" w:eastAsia="Times New Roman" w:hAnsi="Times New Roman" w:cs="Times New Roman"/>
                <w:color w:val="000000"/>
                <w:lang w:eastAsia="fr-FR"/>
              </w:rPr>
              <w:t>% de variation</w:t>
            </w:r>
          </w:p>
        </w:tc>
      </w:tr>
      <w:tr w:rsidR="0039067A" w:rsidRPr="0039067A" w:rsidTr="0039067A">
        <w:trPr>
          <w:trHeight w:val="300"/>
        </w:trPr>
        <w:tc>
          <w:tcPr>
            <w:tcW w:w="5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jc w:val="left"/>
              <w:rPr>
                <w:rFonts w:ascii="Times New Roman" w:eastAsia="Times New Roman" w:hAnsi="Times New Roman" w:cs="Times New Roman"/>
                <w:color w:val="000000"/>
                <w:sz w:val="24"/>
                <w:szCs w:val="24"/>
                <w:lang w:eastAsia="fr-FR"/>
              </w:rPr>
            </w:pPr>
            <w:r w:rsidRPr="0039067A">
              <w:rPr>
                <w:rFonts w:ascii="Times New Roman" w:eastAsia="Times New Roman" w:hAnsi="Times New Roman" w:cs="Times New Roman"/>
                <w:color w:val="000000"/>
                <w:sz w:val="24"/>
                <w:szCs w:val="24"/>
                <w:lang w:eastAsia="fr-FR"/>
              </w:rPr>
              <w:t>La Somme des Résultats PCN</w:t>
            </w:r>
          </w:p>
        </w:tc>
        <w:tc>
          <w:tcPr>
            <w:tcW w:w="1559" w:type="dxa"/>
            <w:tcBorders>
              <w:top w:val="nil"/>
              <w:left w:val="nil"/>
              <w:bottom w:val="single" w:sz="4" w:space="0" w:color="auto"/>
              <w:right w:val="single" w:sz="4" w:space="0" w:color="auto"/>
            </w:tcBorders>
            <w:shd w:val="clear" w:color="auto" w:fill="auto"/>
            <w:noWrap/>
            <w:vAlign w:val="center"/>
            <w:hideMark/>
          </w:tcPr>
          <w:p w:rsidR="0039067A" w:rsidRPr="0039067A" w:rsidRDefault="0039067A" w:rsidP="0039067A">
            <w:pPr>
              <w:spacing w:before="0" w:beforeAutospacing="0" w:after="0" w:afterAutospacing="0"/>
              <w:rPr>
                <w:rFonts w:ascii="Times New Roman" w:eastAsia="Times New Roman" w:hAnsi="Times New Roman" w:cs="Times New Roman"/>
                <w:color w:val="000000"/>
                <w:lang w:eastAsia="fr-FR"/>
              </w:rPr>
            </w:pPr>
            <w:r w:rsidRPr="0039067A">
              <w:rPr>
                <w:rFonts w:ascii="Times New Roman" w:eastAsia="Times New Roman" w:hAnsi="Times New Roman" w:cs="Times New Roman"/>
                <w:color w:val="000000"/>
                <w:lang w:eastAsia="fr-FR"/>
              </w:rPr>
              <w:t>-3 939,16</w:t>
            </w:r>
          </w:p>
        </w:tc>
        <w:tc>
          <w:tcPr>
            <w:tcW w:w="1559" w:type="dxa"/>
            <w:tcBorders>
              <w:top w:val="nil"/>
              <w:left w:val="nil"/>
              <w:bottom w:val="single" w:sz="4" w:space="0" w:color="auto"/>
              <w:right w:val="single" w:sz="4" w:space="0" w:color="auto"/>
            </w:tcBorders>
            <w:shd w:val="clear" w:color="auto" w:fill="auto"/>
            <w:noWrap/>
            <w:vAlign w:val="center"/>
            <w:hideMark/>
          </w:tcPr>
          <w:p w:rsidR="0039067A" w:rsidRPr="0039067A" w:rsidRDefault="0039067A" w:rsidP="0039067A">
            <w:pPr>
              <w:spacing w:before="0" w:beforeAutospacing="0" w:after="0" w:afterAutospacing="0"/>
              <w:rPr>
                <w:rFonts w:ascii="Times New Roman" w:eastAsia="Times New Roman" w:hAnsi="Times New Roman" w:cs="Times New Roman"/>
                <w:color w:val="000000"/>
                <w:lang w:eastAsia="fr-FR"/>
              </w:rPr>
            </w:pPr>
            <w:r w:rsidRPr="0039067A">
              <w:rPr>
                <w:rFonts w:ascii="Times New Roman" w:eastAsia="Times New Roman" w:hAnsi="Times New Roman" w:cs="Times New Roman"/>
                <w:color w:val="000000"/>
                <w:lang w:eastAsia="fr-FR"/>
              </w:rPr>
              <w:t> </w:t>
            </w:r>
          </w:p>
        </w:tc>
      </w:tr>
      <w:tr w:rsidR="0039067A" w:rsidRPr="0039067A" w:rsidTr="0039067A">
        <w:trPr>
          <w:trHeight w:val="300"/>
        </w:trPr>
        <w:tc>
          <w:tcPr>
            <w:tcW w:w="5968" w:type="dxa"/>
            <w:tcBorders>
              <w:top w:val="nil"/>
              <w:left w:val="single" w:sz="4" w:space="0" w:color="auto"/>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jc w:val="left"/>
              <w:rPr>
                <w:rFonts w:ascii="Times New Roman" w:eastAsia="Times New Roman" w:hAnsi="Times New Roman" w:cs="Times New Roman"/>
                <w:color w:val="000000"/>
                <w:sz w:val="24"/>
                <w:szCs w:val="24"/>
                <w:lang w:eastAsia="fr-FR"/>
              </w:rPr>
            </w:pPr>
            <w:r w:rsidRPr="0039067A">
              <w:rPr>
                <w:rFonts w:ascii="Times New Roman" w:eastAsia="Times New Roman" w:hAnsi="Times New Roman" w:cs="Times New Roman"/>
                <w:color w:val="000000"/>
                <w:sz w:val="24"/>
                <w:szCs w:val="24"/>
                <w:lang w:eastAsia="fr-FR"/>
              </w:rPr>
              <w:t xml:space="preserve">Annulation de l'amortissement Dégressif </w:t>
            </w:r>
          </w:p>
        </w:tc>
        <w:tc>
          <w:tcPr>
            <w:tcW w:w="1559" w:type="dxa"/>
            <w:tcBorders>
              <w:top w:val="nil"/>
              <w:left w:val="nil"/>
              <w:bottom w:val="single" w:sz="4" w:space="0" w:color="auto"/>
              <w:right w:val="single" w:sz="4" w:space="0" w:color="auto"/>
            </w:tcBorders>
            <w:shd w:val="clear" w:color="auto" w:fill="auto"/>
            <w:noWrap/>
            <w:vAlign w:val="center"/>
            <w:hideMark/>
          </w:tcPr>
          <w:p w:rsidR="0039067A" w:rsidRPr="0039067A" w:rsidRDefault="0039067A" w:rsidP="0039067A">
            <w:pPr>
              <w:spacing w:before="0" w:beforeAutospacing="0" w:after="0" w:afterAutospacing="0"/>
              <w:rPr>
                <w:rFonts w:ascii="Calibri" w:eastAsia="Times New Roman" w:hAnsi="Calibri" w:cs="Times New Roman"/>
                <w:color w:val="000000"/>
                <w:lang w:eastAsia="fr-FR"/>
              </w:rPr>
            </w:pPr>
            <w:r w:rsidRPr="0039067A">
              <w:rPr>
                <w:rFonts w:ascii="Calibri" w:eastAsia="Times New Roman" w:hAnsi="Calibri" w:cs="Times New Roman"/>
                <w:color w:val="000000"/>
                <w:lang w:eastAsia="fr-FR"/>
              </w:rPr>
              <w:t>12 203,33</w:t>
            </w:r>
          </w:p>
        </w:tc>
        <w:tc>
          <w:tcPr>
            <w:tcW w:w="1559" w:type="dxa"/>
            <w:tcBorders>
              <w:top w:val="nil"/>
              <w:left w:val="nil"/>
              <w:bottom w:val="single" w:sz="4" w:space="0" w:color="auto"/>
              <w:right w:val="single" w:sz="4" w:space="0" w:color="auto"/>
            </w:tcBorders>
            <w:shd w:val="clear" w:color="auto" w:fill="auto"/>
            <w:noWrap/>
            <w:vAlign w:val="center"/>
            <w:hideMark/>
          </w:tcPr>
          <w:p w:rsidR="0039067A" w:rsidRPr="0039067A" w:rsidRDefault="0039067A" w:rsidP="0039067A">
            <w:pPr>
              <w:spacing w:before="0" w:beforeAutospacing="0" w:after="0" w:afterAutospacing="0"/>
              <w:rPr>
                <w:rFonts w:ascii="Calibri" w:eastAsia="Times New Roman" w:hAnsi="Calibri" w:cs="Times New Roman"/>
                <w:color w:val="000000"/>
                <w:lang w:eastAsia="fr-FR"/>
              </w:rPr>
            </w:pPr>
            <w:r w:rsidRPr="0039067A">
              <w:rPr>
                <w:rFonts w:ascii="Calibri" w:eastAsia="Times New Roman" w:hAnsi="Calibri" w:cs="Times New Roman"/>
                <w:color w:val="000000"/>
                <w:lang w:eastAsia="fr-FR"/>
              </w:rPr>
              <w:t>108,41%</w:t>
            </w:r>
          </w:p>
        </w:tc>
      </w:tr>
      <w:tr w:rsidR="0039067A" w:rsidRPr="0039067A" w:rsidTr="0039067A">
        <w:trPr>
          <w:trHeight w:val="300"/>
        </w:trPr>
        <w:tc>
          <w:tcPr>
            <w:tcW w:w="5968" w:type="dxa"/>
            <w:tcBorders>
              <w:top w:val="nil"/>
              <w:left w:val="single" w:sz="4" w:space="0" w:color="auto"/>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jc w:val="left"/>
              <w:rPr>
                <w:rFonts w:ascii="Times New Roman" w:eastAsia="Times New Roman" w:hAnsi="Times New Roman" w:cs="Times New Roman"/>
                <w:color w:val="000000"/>
                <w:sz w:val="24"/>
                <w:szCs w:val="24"/>
                <w:lang w:eastAsia="fr-FR"/>
              </w:rPr>
            </w:pPr>
            <w:r w:rsidRPr="0039067A">
              <w:rPr>
                <w:rFonts w:ascii="Times New Roman" w:eastAsia="Times New Roman" w:hAnsi="Times New Roman" w:cs="Times New Roman"/>
                <w:color w:val="000000"/>
                <w:sz w:val="24"/>
                <w:szCs w:val="24"/>
                <w:lang w:eastAsia="fr-FR"/>
              </w:rPr>
              <w:t>Intégration des charges et produits des exercices antérieurs</w:t>
            </w:r>
          </w:p>
        </w:tc>
        <w:tc>
          <w:tcPr>
            <w:tcW w:w="1559" w:type="dxa"/>
            <w:tcBorders>
              <w:top w:val="nil"/>
              <w:left w:val="nil"/>
              <w:bottom w:val="single" w:sz="4" w:space="0" w:color="auto"/>
              <w:right w:val="single" w:sz="4" w:space="0" w:color="auto"/>
            </w:tcBorders>
            <w:shd w:val="clear" w:color="auto" w:fill="auto"/>
            <w:noWrap/>
            <w:vAlign w:val="center"/>
            <w:hideMark/>
          </w:tcPr>
          <w:p w:rsidR="0039067A" w:rsidRPr="0039067A" w:rsidRDefault="0039067A" w:rsidP="0039067A">
            <w:pPr>
              <w:spacing w:before="0" w:beforeAutospacing="0" w:after="0" w:afterAutospacing="0"/>
              <w:rPr>
                <w:rFonts w:ascii="Calibri" w:eastAsia="Times New Roman" w:hAnsi="Calibri" w:cs="Times New Roman"/>
                <w:color w:val="000000"/>
                <w:lang w:eastAsia="fr-FR"/>
              </w:rPr>
            </w:pPr>
            <w:r w:rsidRPr="0039067A">
              <w:rPr>
                <w:rFonts w:ascii="Calibri" w:eastAsia="Times New Roman" w:hAnsi="Calibri" w:cs="Times New Roman"/>
                <w:color w:val="000000"/>
                <w:lang w:eastAsia="fr-FR"/>
              </w:rPr>
              <w:t>-563,55</w:t>
            </w:r>
          </w:p>
        </w:tc>
        <w:tc>
          <w:tcPr>
            <w:tcW w:w="1559" w:type="dxa"/>
            <w:tcBorders>
              <w:top w:val="nil"/>
              <w:left w:val="nil"/>
              <w:bottom w:val="single" w:sz="4" w:space="0" w:color="auto"/>
              <w:right w:val="single" w:sz="4" w:space="0" w:color="auto"/>
            </w:tcBorders>
            <w:shd w:val="clear" w:color="auto" w:fill="auto"/>
            <w:noWrap/>
            <w:vAlign w:val="center"/>
            <w:hideMark/>
          </w:tcPr>
          <w:p w:rsidR="0039067A" w:rsidRPr="0039067A" w:rsidRDefault="0039067A" w:rsidP="0039067A">
            <w:pPr>
              <w:spacing w:before="0" w:beforeAutospacing="0" w:after="0" w:afterAutospacing="0"/>
              <w:rPr>
                <w:rFonts w:ascii="Calibri" w:eastAsia="Times New Roman" w:hAnsi="Calibri" w:cs="Times New Roman"/>
                <w:color w:val="000000"/>
                <w:lang w:eastAsia="fr-FR"/>
              </w:rPr>
            </w:pPr>
            <w:r w:rsidRPr="0039067A">
              <w:rPr>
                <w:rFonts w:ascii="Calibri" w:eastAsia="Times New Roman" w:hAnsi="Calibri" w:cs="Times New Roman"/>
                <w:color w:val="000000"/>
                <w:lang w:eastAsia="fr-FR"/>
              </w:rPr>
              <w:t>-5,01%</w:t>
            </w:r>
          </w:p>
        </w:tc>
      </w:tr>
      <w:tr w:rsidR="0039067A" w:rsidRPr="0039067A" w:rsidTr="0039067A">
        <w:trPr>
          <w:trHeight w:val="300"/>
        </w:trPr>
        <w:tc>
          <w:tcPr>
            <w:tcW w:w="5968" w:type="dxa"/>
            <w:tcBorders>
              <w:top w:val="nil"/>
              <w:left w:val="single" w:sz="4" w:space="0" w:color="auto"/>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jc w:val="left"/>
              <w:rPr>
                <w:rFonts w:ascii="Times New Roman" w:eastAsia="Times New Roman" w:hAnsi="Times New Roman" w:cs="Times New Roman"/>
                <w:color w:val="000000"/>
                <w:sz w:val="24"/>
                <w:szCs w:val="24"/>
                <w:lang w:eastAsia="fr-FR"/>
              </w:rPr>
            </w:pPr>
            <w:r w:rsidRPr="0039067A">
              <w:rPr>
                <w:rFonts w:ascii="Times New Roman" w:eastAsia="Times New Roman" w:hAnsi="Times New Roman" w:cs="Times New Roman"/>
                <w:color w:val="000000"/>
                <w:sz w:val="24"/>
                <w:szCs w:val="24"/>
                <w:lang w:eastAsia="fr-FR"/>
              </w:rPr>
              <w:t>Annulation des Frais Financiers en PCN</w:t>
            </w:r>
          </w:p>
        </w:tc>
        <w:tc>
          <w:tcPr>
            <w:tcW w:w="1559" w:type="dxa"/>
            <w:tcBorders>
              <w:top w:val="nil"/>
              <w:left w:val="nil"/>
              <w:bottom w:val="single" w:sz="4" w:space="0" w:color="auto"/>
              <w:right w:val="single" w:sz="4" w:space="0" w:color="auto"/>
            </w:tcBorders>
            <w:shd w:val="clear" w:color="auto" w:fill="auto"/>
            <w:noWrap/>
            <w:vAlign w:val="center"/>
            <w:hideMark/>
          </w:tcPr>
          <w:p w:rsidR="0039067A" w:rsidRPr="0039067A" w:rsidRDefault="0039067A" w:rsidP="0039067A">
            <w:pPr>
              <w:spacing w:before="0" w:beforeAutospacing="0" w:after="0" w:afterAutospacing="0"/>
              <w:rPr>
                <w:rFonts w:ascii="Calibri" w:eastAsia="Times New Roman" w:hAnsi="Calibri" w:cs="Times New Roman"/>
                <w:color w:val="000000"/>
                <w:lang w:eastAsia="fr-FR"/>
              </w:rPr>
            </w:pPr>
            <w:r w:rsidRPr="0039067A">
              <w:rPr>
                <w:rFonts w:ascii="Calibri" w:eastAsia="Times New Roman" w:hAnsi="Calibri" w:cs="Times New Roman"/>
                <w:color w:val="000000"/>
                <w:lang w:eastAsia="fr-FR"/>
              </w:rPr>
              <w:t>928,67</w:t>
            </w:r>
          </w:p>
        </w:tc>
        <w:tc>
          <w:tcPr>
            <w:tcW w:w="1559" w:type="dxa"/>
            <w:tcBorders>
              <w:top w:val="nil"/>
              <w:left w:val="nil"/>
              <w:bottom w:val="single" w:sz="4" w:space="0" w:color="auto"/>
              <w:right w:val="single" w:sz="4" w:space="0" w:color="auto"/>
            </w:tcBorders>
            <w:shd w:val="clear" w:color="auto" w:fill="auto"/>
            <w:noWrap/>
            <w:vAlign w:val="center"/>
            <w:hideMark/>
          </w:tcPr>
          <w:p w:rsidR="0039067A" w:rsidRPr="0039067A" w:rsidRDefault="0039067A" w:rsidP="0039067A">
            <w:pPr>
              <w:spacing w:before="0" w:beforeAutospacing="0" w:after="0" w:afterAutospacing="0"/>
              <w:rPr>
                <w:rFonts w:ascii="Calibri" w:eastAsia="Times New Roman" w:hAnsi="Calibri" w:cs="Times New Roman"/>
                <w:color w:val="000000"/>
                <w:lang w:eastAsia="fr-FR"/>
              </w:rPr>
            </w:pPr>
            <w:r w:rsidRPr="0039067A">
              <w:rPr>
                <w:rFonts w:ascii="Calibri" w:eastAsia="Times New Roman" w:hAnsi="Calibri" w:cs="Times New Roman"/>
                <w:color w:val="000000"/>
                <w:lang w:eastAsia="fr-FR"/>
              </w:rPr>
              <w:t>8,25%</w:t>
            </w:r>
          </w:p>
        </w:tc>
      </w:tr>
      <w:tr w:rsidR="0039067A" w:rsidRPr="0039067A" w:rsidTr="0039067A">
        <w:trPr>
          <w:trHeight w:val="300"/>
        </w:trPr>
        <w:tc>
          <w:tcPr>
            <w:tcW w:w="5968" w:type="dxa"/>
            <w:tcBorders>
              <w:top w:val="nil"/>
              <w:left w:val="single" w:sz="4" w:space="0" w:color="auto"/>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jc w:val="left"/>
              <w:rPr>
                <w:rFonts w:ascii="Times New Roman" w:eastAsia="Times New Roman" w:hAnsi="Times New Roman" w:cs="Times New Roman"/>
                <w:color w:val="000000"/>
                <w:sz w:val="24"/>
                <w:szCs w:val="24"/>
                <w:lang w:eastAsia="fr-FR"/>
              </w:rPr>
            </w:pPr>
            <w:r w:rsidRPr="0039067A">
              <w:rPr>
                <w:rFonts w:ascii="Times New Roman" w:eastAsia="Times New Roman" w:hAnsi="Times New Roman" w:cs="Times New Roman"/>
                <w:color w:val="000000"/>
                <w:sz w:val="24"/>
                <w:szCs w:val="24"/>
                <w:lang w:eastAsia="fr-FR"/>
              </w:rPr>
              <w:t>Constatation de Frais financiers en SFC</w:t>
            </w:r>
          </w:p>
        </w:tc>
        <w:tc>
          <w:tcPr>
            <w:tcW w:w="1559" w:type="dxa"/>
            <w:tcBorders>
              <w:top w:val="nil"/>
              <w:left w:val="nil"/>
              <w:bottom w:val="single" w:sz="4" w:space="0" w:color="auto"/>
              <w:right w:val="single" w:sz="4" w:space="0" w:color="auto"/>
            </w:tcBorders>
            <w:shd w:val="clear" w:color="auto" w:fill="auto"/>
            <w:noWrap/>
            <w:vAlign w:val="center"/>
            <w:hideMark/>
          </w:tcPr>
          <w:p w:rsidR="0039067A" w:rsidRPr="0039067A" w:rsidRDefault="0039067A" w:rsidP="0039067A">
            <w:pPr>
              <w:spacing w:before="0" w:beforeAutospacing="0" w:after="0" w:afterAutospacing="0"/>
              <w:rPr>
                <w:rFonts w:ascii="Calibri" w:eastAsia="Times New Roman" w:hAnsi="Calibri" w:cs="Times New Roman"/>
                <w:color w:val="000000"/>
                <w:lang w:eastAsia="fr-FR"/>
              </w:rPr>
            </w:pPr>
            <w:r w:rsidRPr="0039067A">
              <w:rPr>
                <w:rFonts w:ascii="Calibri" w:eastAsia="Times New Roman" w:hAnsi="Calibri" w:cs="Times New Roman"/>
                <w:color w:val="000000"/>
                <w:lang w:eastAsia="fr-FR"/>
              </w:rPr>
              <w:t>-768,67</w:t>
            </w:r>
          </w:p>
        </w:tc>
        <w:tc>
          <w:tcPr>
            <w:tcW w:w="1559" w:type="dxa"/>
            <w:tcBorders>
              <w:top w:val="nil"/>
              <w:left w:val="nil"/>
              <w:bottom w:val="single" w:sz="4" w:space="0" w:color="auto"/>
              <w:right w:val="single" w:sz="4" w:space="0" w:color="auto"/>
            </w:tcBorders>
            <w:shd w:val="clear" w:color="auto" w:fill="auto"/>
            <w:noWrap/>
            <w:vAlign w:val="center"/>
            <w:hideMark/>
          </w:tcPr>
          <w:p w:rsidR="0039067A" w:rsidRPr="0039067A" w:rsidRDefault="0039067A" w:rsidP="0039067A">
            <w:pPr>
              <w:spacing w:before="0" w:beforeAutospacing="0" w:after="0" w:afterAutospacing="0"/>
              <w:rPr>
                <w:rFonts w:ascii="Calibri" w:eastAsia="Times New Roman" w:hAnsi="Calibri" w:cs="Times New Roman"/>
                <w:color w:val="000000"/>
                <w:lang w:eastAsia="fr-FR"/>
              </w:rPr>
            </w:pPr>
            <w:r w:rsidRPr="0039067A">
              <w:rPr>
                <w:rFonts w:ascii="Calibri" w:eastAsia="Times New Roman" w:hAnsi="Calibri" w:cs="Times New Roman"/>
                <w:color w:val="000000"/>
                <w:lang w:eastAsia="fr-FR"/>
              </w:rPr>
              <w:t>-6,83%</w:t>
            </w:r>
          </w:p>
        </w:tc>
      </w:tr>
      <w:tr w:rsidR="0039067A" w:rsidRPr="0039067A" w:rsidTr="0039067A">
        <w:trPr>
          <w:trHeight w:val="300"/>
        </w:trPr>
        <w:tc>
          <w:tcPr>
            <w:tcW w:w="5968" w:type="dxa"/>
            <w:tcBorders>
              <w:top w:val="nil"/>
              <w:left w:val="single" w:sz="4" w:space="0" w:color="auto"/>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jc w:val="left"/>
              <w:rPr>
                <w:rFonts w:ascii="Times New Roman" w:eastAsia="Times New Roman" w:hAnsi="Times New Roman" w:cs="Times New Roman"/>
                <w:color w:val="000000"/>
                <w:sz w:val="24"/>
                <w:szCs w:val="24"/>
                <w:lang w:eastAsia="fr-FR"/>
              </w:rPr>
            </w:pPr>
            <w:r w:rsidRPr="0039067A">
              <w:rPr>
                <w:rFonts w:ascii="Times New Roman" w:eastAsia="Times New Roman" w:hAnsi="Times New Roman" w:cs="Times New Roman"/>
                <w:color w:val="000000"/>
                <w:sz w:val="24"/>
                <w:szCs w:val="24"/>
                <w:lang w:eastAsia="fr-FR"/>
              </w:rPr>
              <w:t>Annulation de la provision des droit acquis 2009 en PCN</w:t>
            </w:r>
          </w:p>
        </w:tc>
        <w:tc>
          <w:tcPr>
            <w:tcW w:w="1559" w:type="dxa"/>
            <w:tcBorders>
              <w:top w:val="nil"/>
              <w:left w:val="nil"/>
              <w:bottom w:val="single" w:sz="4" w:space="0" w:color="auto"/>
              <w:right w:val="single" w:sz="4" w:space="0" w:color="auto"/>
            </w:tcBorders>
            <w:shd w:val="clear" w:color="auto" w:fill="auto"/>
            <w:noWrap/>
            <w:vAlign w:val="center"/>
            <w:hideMark/>
          </w:tcPr>
          <w:p w:rsidR="0039067A" w:rsidRPr="0039067A" w:rsidRDefault="0039067A" w:rsidP="0039067A">
            <w:pPr>
              <w:spacing w:before="0" w:beforeAutospacing="0" w:after="0" w:afterAutospacing="0"/>
              <w:rPr>
                <w:rFonts w:ascii="Calibri" w:eastAsia="Times New Roman" w:hAnsi="Calibri" w:cs="Times New Roman"/>
                <w:color w:val="000000"/>
                <w:lang w:eastAsia="fr-FR"/>
              </w:rPr>
            </w:pPr>
            <w:r w:rsidRPr="0039067A">
              <w:rPr>
                <w:rFonts w:ascii="Calibri" w:eastAsia="Times New Roman" w:hAnsi="Calibri" w:cs="Times New Roman"/>
                <w:color w:val="000000"/>
                <w:lang w:eastAsia="fr-FR"/>
              </w:rPr>
              <w:t>723,76</w:t>
            </w:r>
          </w:p>
        </w:tc>
        <w:tc>
          <w:tcPr>
            <w:tcW w:w="1559" w:type="dxa"/>
            <w:tcBorders>
              <w:top w:val="nil"/>
              <w:left w:val="nil"/>
              <w:bottom w:val="single" w:sz="4" w:space="0" w:color="auto"/>
              <w:right w:val="single" w:sz="4" w:space="0" w:color="auto"/>
            </w:tcBorders>
            <w:shd w:val="clear" w:color="auto" w:fill="auto"/>
            <w:noWrap/>
            <w:vAlign w:val="center"/>
            <w:hideMark/>
          </w:tcPr>
          <w:p w:rsidR="0039067A" w:rsidRPr="0039067A" w:rsidRDefault="0039067A" w:rsidP="0039067A">
            <w:pPr>
              <w:spacing w:before="0" w:beforeAutospacing="0" w:after="0" w:afterAutospacing="0"/>
              <w:rPr>
                <w:rFonts w:ascii="Calibri" w:eastAsia="Times New Roman" w:hAnsi="Calibri" w:cs="Times New Roman"/>
                <w:color w:val="000000"/>
                <w:lang w:eastAsia="fr-FR"/>
              </w:rPr>
            </w:pPr>
            <w:r w:rsidRPr="0039067A">
              <w:rPr>
                <w:rFonts w:ascii="Calibri" w:eastAsia="Times New Roman" w:hAnsi="Calibri" w:cs="Times New Roman"/>
                <w:color w:val="000000"/>
                <w:lang w:eastAsia="fr-FR"/>
              </w:rPr>
              <w:t>6,43%</w:t>
            </w:r>
          </w:p>
        </w:tc>
      </w:tr>
      <w:tr w:rsidR="0039067A" w:rsidRPr="0039067A" w:rsidTr="0039067A">
        <w:trPr>
          <w:trHeight w:val="300"/>
        </w:trPr>
        <w:tc>
          <w:tcPr>
            <w:tcW w:w="5968" w:type="dxa"/>
            <w:tcBorders>
              <w:top w:val="nil"/>
              <w:left w:val="single" w:sz="4" w:space="0" w:color="auto"/>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jc w:val="left"/>
              <w:rPr>
                <w:rFonts w:ascii="Times New Roman" w:eastAsia="Times New Roman" w:hAnsi="Times New Roman" w:cs="Times New Roman"/>
                <w:color w:val="000000"/>
                <w:sz w:val="24"/>
                <w:szCs w:val="24"/>
                <w:lang w:eastAsia="fr-FR"/>
              </w:rPr>
            </w:pPr>
            <w:r w:rsidRPr="0039067A">
              <w:rPr>
                <w:rFonts w:ascii="Times New Roman" w:eastAsia="Times New Roman" w:hAnsi="Times New Roman" w:cs="Times New Roman"/>
                <w:color w:val="000000"/>
                <w:sz w:val="24"/>
                <w:szCs w:val="24"/>
                <w:lang w:eastAsia="fr-FR"/>
              </w:rPr>
              <w:t>Constat provision droits acquis en SCF</w:t>
            </w:r>
          </w:p>
        </w:tc>
        <w:tc>
          <w:tcPr>
            <w:tcW w:w="1559" w:type="dxa"/>
            <w:tcBorders>
              <w:top w:val="nil"/>
              <w:left w:val="nil"/>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rPr>
                <w:rFonts w:ascii="Calibri" w:eastAsia="Times New Roman" w:hAnsi="Calibri" w:cs="Times New Roman"/>
                <w:color w:val="000000"/>
                <w:lang w:eastAsia="fr-FR"/>
              </w:rPr>
            </w:pPr>
            <w:r w:rsidRPr="0039067A">
              <w:rPr>
                <w:rFonts w:ascii="Calibri" w:eastAsia="Times New Roman" w:hAnsi="Calibri" w:cs="Times New Roman"/>
                <w:color w:val="000000"/>
                <w:lang w:eastAsia="fr-FR"/>
              </w:rPr>
              <w:t>-296,25</w:t>
            </w:r>
          </w:p>
        </w:tc>
        <w:tc>
          <w:tcPr>
            <w:tcW w:w="1559" w:type="dxa"/>
            <w:tcBorders>
              <w:top w:val="nil"/>
              <w:left w:val="nil"/>
              <w:bottom w:val="single" w:sz="4" w:space="0" w:color="auto"/>
              <w:right w:val="single" w:sz="4" w:space="0" w:color="auto"/>
            </w:tcBorders>
            <w:shd w:val="clear" w:color="auto" w:fill="auto"/>
            <w:noWrap/>
            <w:vAlign w:val="center"/>
            <w:hideMark/>
          </w:tcPr>
          <w:p w:rsidR="0039067A" w:rsidRPr="0039067A" w:rsidRDefault="0039067A" w:rsidP="0039067A">
            <w:pPr>
              <w:spacing w:before="0" w:beforeAutospacing="0" w:after="0" w:afterAutospacing="0"/>
              <w:rPr>
                <w:rFonts w:ascii="Calibri" w:eastAsia="Times New Roman" w:hAnsi="Calibri" w:cs="Times New Roman"/>
                <w:color w:val="000000"/>
                <w:lang w:eastAsia="fr-FR"/>
              </w:rPr>
            </w:pPr>
            <w:r w:rsidRPr="0039067A">
              <w:rPr>
                <w:rFonts w:ascii="Calibri" w:eastAsia="Times New Roman" w:hAnsi="Calibri" w:cs="Times New Roman"/>
                <w:color w:val="000000"/>
                <w:lang w:eastAsia="fr-FR"/>
              </w:rPr>
              <w:t>-2,63%</w:t>
            </w:r>
          </w:p>
        </w:tc>
      </w:tr>
      <w:tr w:rsidR="0039067A" w:rsidRPr="0039067A" w:rsidTr="0039067A">
        <w:trPr>
          <w:trHeight w:val="300"/>
        </w:trPr>
        <w:tc>
          <w:tcPr>
            <w:tcW w:w="5968" w:type="dxa"/>
            <w:tcBorders>
              <w:top w:val="nil"/>
              <w:left w:val="single" w:sz="4" w:space="0" w:color="auto"/>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jc w:val="left"/>
              <w:rPr>
                <w:rFonts w:ascii="Times New Roman" w:eastAsia="Times New Roman" w:hAnsi="Times New Roman" w:cs="Times New Roman"/>
                <w:color w:val="000000"/>
                <w:sz w:val="24"/>
                <w:szCs w:val="24"/>
                <w:lang w:eastAsia="fr-FR"/>
              </w:rPr>
            </w:pPr>
            <w:r w:rsidRPr="0039067A">
              <w:rPr>
                <w:rFonts w:ascii="Times New Roman" w:eastAsia="Times New Roman" w:hAnsi="Times New Roman" w:cs="Times New Roman"/>
                <w:color w:val="000000"/>
                <w:sz w:val="24"/>
                <w:szCs w:val="24"/>
                <w:lang w:eastAsia="fr-FR"/>
              </w:rPr>
              <w:t>Annulation dotation provision GE 2009</w:t>
            </w:r>
          </w:p>
        </w:tc>
        <w:tc>
          <w:tcPr>
            <w:tcW w:w="1559" w:type="dxa"/>
            <w:tcBorders>
              <w:top w:val="nil"/>
              <w:left w:val="nil"/>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rPr>
                <w:rFonts w:ascii="Calibri" w:eastAsia="Times New Roman" w:hAnsi="Calibri" w:cs="Times New Roman"/>
                <w:color w:val="000000"/>
                <w:lang w:eastAsia="fr-FR"/>
              </w:rPr>
            </w:pPr>
            <w:r w:rsidRPr="0039067A">
              <w:rPr>
                <w:rFonts w:ascii="Calibri" w:eastAsia="Times New Roman" w:hAnsi="Calibri" w:cs="Times New Roman"/>
                <w:color w:val="000000"/>
                <w:lang w:eastAsia="fr-FR"/>
              </w:rPr>
              <w:t>5 315,31</w:t>
            </w:r>
          </w:p>
        </w:tc>
        <w:tc>
          <w:tcPr>
            <w:tcW w:w="1559" w:type="dxa"/>
            <w:tcBorders>
              <w:top w:val="nil"/>
              <w:left w:val="nil"/>
              <w:bottom w:val="single" w:sz="4" w:space="0" w:color="auto"/>
              <w:right w:val="single" w:sz="4" w:space="0" w:color="auto"/>
            </w:tcBorders>
            <w:shd w:val="clear" w:color="auto" w:fill="auto"/>
            <w:noWrap/>
            <w:vAlign w:val="center"/>
            <w:hideMark/>
          </w:tcPr>
          <w:p w:rsidR="0039067A" w:rsidRPr="0039067A" w:rsidRDefault="0039067A" w:rsidP="0039067A">
            <w:pPr>
              <w:spacing w:before="0" w:beforeAutospacing="0" w:after="0" w:afterAutospacing="0"/>
              <w:rPr>
                <w:rFonts w:ascii="Calibri" w:eastAsia="Times New Roman" w:hAnsi="Calibri" w:cs="Times New Roman"/>
                <w:color w:val="000000"/>
                <w:lang w:eastAsia="fr-FR"/>
              </w:rPr>
            </w:pPr>
            <w:r w:rsidRPr="0039067A">
              <w:rPr>
                <w:rFonts w:ascii="Calibri" w:eastAsia="Times New Roman" w:hAnsi="Calibri" w:cs="Times New Roman"/>
                <w:color w:val="000000"/>
                <w:lang w:eastAsia="fr-FR"/>
              </w:rPr>
              <w:t>47,22%</w:t>
            </w:r>
          </w:p>
        </w:tc>
      </w:tr>
      <w:tr w:rsidR="0039067A" w:rsidRPr="0039067A" w:rsidTr="0039067A">
        <w:trPr>
          <w:trHeight w:val="300"/>
        </w:trPr>
        <w:tc>
          <w:tcPr>
            <w:tcW w:w="5968" w:type="dxa"/>
            <w:tcBorders>
              <w:top w:val="nil"/>
              <w:left w:val="single" w:sz="4" w:space="0" w:color="auto"/>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jc w:val="left"/>
              <w:rPr>
                <w:rFonts w:ascii="Times New Roman" w:eastAsia="Times New Roman" w:hAnsi="Times New Roman" w:cs="Times New Roman"/>
                <w:color w:val="000000"/>
                <w:sz w:val="24"/>
                <w:szCs w:val="24"/>
                <w:lang w:eastAsia="fr-FR"/>
              </w:rPr>
            </w:pPr>
            <w:r w:rsidRPr="0039067A">
              <w:rPr>
                <w:rFonts w:ascii="Times New Roman" w:eastAsia="Times New Roman" w:hAnsi="Times New Roman" w:cs="Times New Roman"/>
                <w:color w:val="000000"/>
                <w:sz w:val="24"/>
                <w:szCs w:val="24"/>
                <w:lang w:eastAsia="fr-FR"/>
              </w:rPr>
              <w:t>Impôts différés Actif</w:t>
            </w:r>
          </w:p>
        </w:tc>
        <w:tc>
          <w:tcPr>
            <w:tcW w:w="1559" w:type="dxa"/>
            <w:tcBorders>
              <w:top w:val="nil"/>
              <w:left w:val="nil"/>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rPr>
                <w:rFonts w:ascii="Calibri" w:eastAsia="Times New Roman" w:hAnsi="Calibri" w:cs="Times New Roman"/>
                <w:color w:val="000000"/>
                <w:lang w:eastAsia="fr-FR"/>
              </w:rPr>
            </w:pPr>
            <w:r w:rsidRPr="0039067A">
              <w:rPr>
                <w:rFonts w:ascii="Calibri" w:eastAsia="Times New Roman" w:hAnsi="Calibri" w:cs="Times New Roman"/>
                <w:color w:val="000000"/>
                <w:lang w:eastAsia="fr-FR"/>
              </w:rPr>
              <w:t>723,62</w:t>
            </w:r>
          </w:p>
        </w:tc>
        <w:tc>
          <w:tcPr>
            <w:tcW w:w="1559" w:type="dxa"/>
            <w:tcBorders>
              <w:top w:val="nil"/>
              <w:left w:val="nil"/>
              <w:bottom w:val="single" w:sz="4" w:space="0" w:color="auto"/>
              <w:right w:val="single" w:sz="4" w:space="0" w:color="auto"/>
            </w:tcBorders>
            <w:shd w:val="clear" w:color="auto" w:fill="auto"/>
            <w:noWrap/>
            <w:vAlign w:val="center"/>
            <w:hideMark/>
          </w:tcPr>
          <w:p w:rsidR="0039067A" w:rsidRPr="0039067A" w:rsidRDefault="0039067A" w:rsidP="0039067A">
            <w:pPr>
              <w:spacing w:before="0" w:beforeAutospacing="0" w:after="0" w:afterAutospacing="0"/>
              <w:rPr>
                <w:rFonts w:ascii="Calibri" w:eastAsia="Times New Roman" w:hAnsi="Calibri" w:cs="Times New Roman"/>
                <w:color w:val="000000"/>
                <w:lang w:eastAsia="fr-FR"/>
              </w:rPr>
            </w:pPr>
            <w:r w:rsidRPr="0039067A">
              <w:rPr>
                <w:rFonts w:ascii="Calibri" w:eastAsia="Times New Roman" w:hAnsi="Calibri" w:cs="Times New Roman"/>
                <w:color w:val="000000"/>
                <w:lang w:eastAsia="fr-FR"/>
              </w:rPr>
              <w:t>6,43%</w:t>
            </w:r>
          </w:p>
        </w:tc>
      </w:tr>
      <w:tr w:rsidR="0039067A" w:rsidRPr="0039067A" w:rsidTr="0039067A">
        <w:trPr>
          <w:trHeight w:val="300"/>
        </w:trPr>
        <w:tc>
          <w:tcPr>
            <w:tcW w:w="5968" w:type="dxa"/>
            <w:tcBorders>
              <w:top w:val="nil"/>
              <w:left w:val="single" w:sz="4" w:space="0" w:color="auto"/>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jc w:val="left"/>
              <w:rPr>
                <w:rFonts w:ascii="Times New Roman" w:eastAsia="Times New Roman" w:hAnsi="Times New Roman" w:cs="Times New Roman"/>
                <w:color w:val="000000"/>
                <w:sz w:val="24"/>
                <w:szCs w:val="24"/>
                <w:lang w:eastAsia="fr-FR"/>
              </w:rPr>
            </w:pPr>
            <w:r w:rsidRPr="0039067A">
              <w:rPr>
                <w:rFonts w:ascii="Times New Roman" w:eastAsia="Times New Roman" w:hAnsi="Times New Roman" w:cs="Times New Roman"/>
                <w:color w:val="000000"/>
                <w:sz w:val="24"/>
                <w:szCs w:val="24"/>
                <w:lang w:eastAsia="fr-FR"/>
              </w:rPr>
              <w:t>Impôts   différés Passif</w:t>
            </w:r>
          </w:p>
        </w:tc>
        <w:tc>
          <w:tcPr>
            <w:tcW w:w="1559" w:type="dxa"/>
            <w:tcBorders>
              <w:top w:val="nil"/>
              <w:left w:val="nil"/>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rPr>
                <w:rFonts w:ascii="Calibri" w:eastAsia="Times New Roman" w:hAnsi="Calibri" w:cs="Times New Roman"/>
                <w:color w:val="000000"/>
                <w:lang w:eastAsia="fr-FR"/>
              </w:rPr>
            </w:pPr>
            <w:r w:rsidRPr="0039067A">
              <w:rPr>
                <w:rFonts w:ascii="Calibri" w:eastAsia="Times New Roman" w:hAnsi="Calibri" w:cs="Times New Roman"/>
                <w:color w:val="000000"/>
                <w:lang w:eastAsia="fr-FR"/>
              </w:rPr>
              <w:t>-3 797,54</w:t>
            </w:r>
          </w:p>
        </w:tc>
        <w:tc>
          <w:tcPr>
            <w:tcW w:w="1559" w:type="dxa"/>
            <w:tcBorders>
              <w:top w:val="nil"/>
              <w:left w:val="nil"/>
              <w:bottom w:val="single" w:sz="4" w:space="0" w:color="auto"/>
              <w:right w:val="single" w:sz="4" w:space="0" w:color="auto"/>
            </w:tcBorders>
            <w:shd w:val="clear" w:color="auto" w:fill="auto"/>
            <w:noWrap/>
            <w:vAlign w:val="center"/>
            <w:hideMark/>
          </w:tcPr>
          <w:p w:rsidR="0039067A" w:rsidRPr="0039067A" w:rsidRDefault="0039067A" w:rsidP="0039067A">
            <w:pPr>
              <w:spacing w:before="0" w:beforeAutospacing="0" w:after="0" w:afterAutospacing="0"/>
              <w:rPr>
                <w:rFonts w:ascii="Calibri" w:eastAsia="Times New Roman" w:hAnsi="Calibri" w:cs="Times New Roman"/>
                <w:color w:val="000000"/>
                <w:lang w:eastAsia="fr-FR"/>
              </w:rPr>
            </w:pPr>
            <w:r w:rsidRPr="0039067A">
              <w:rPr>
                <w:rFonts w:ascii="Calibri" w:eastAsia="Times New Roman" w:hAnsi="Calibri" w:cs="Times New Roman"/>
                <w:color w:val="000000"/>
                <w:lang w:eastAsia="fr-FR"/>
              </w:rPr>
              <w:t>-33,74%</w:t>
            </w:r>
          </w:p>
        </w:tc>
      </w:tr>
      <w:tr w:rsidR="0039067A" w:rsidRPr="0039067A" w:rsidTr="0039067A">
        <w:trPr>
          <w:trHeight w:val="300"/>
        </w:trPr>
        <w:tc>
          <w:tcPr>
            <w:tcW w:w="5968" w:type="dxa"/>
            <w:tcBorders>
              <w:top w:val="nil"/>
              <w:left w:val="single" w:sz="4" w:space="0" w:color="auto"/>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jc w:val="left"/>
              <w:rPr>
                <w:rFonts w:ascii="Times New Roman" w:eastAsia="Times New Roman" w:hAnsi="Times New Roman" w:cs="Times New Roman"/>
                <w:color w:val="000000"/>
                <w:sz w:val="24"/>
                <w:szCs w:val="24"/>
                <w:lang w:eastAsia="fr-FR"/>
              </w:rPr>
            </w:pPr>
            <w:r w:rsidRPr="0039067A">
              <w:rPr>
                <w:rFonts w:ascii="Times New Roman" w:eastAsia="Times New Roman" w:hAnsi="Times New Roman" w:cs="Times New Roman"/>
                <w:color w:val="000000"/>
                <w:sz w:val="24"/>
                <w:szCs w:val="24"/>
                <w:lang w:eastAsia="fr-FR"/>
              </w:rPr>
              <w:t>Annulation du produit de réévaluation PCN</w:t>
            </w:r>
          </w:p>
        </w:tc>
        <w:tc>
          <w:tcPr>
            <w:tcW w:w="1559" w:type="dxa"/>
            <w:tcBorders>
              <w:top w:val="nil"/>
              <w:left w:val="nil"/>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rPr>
                <w:rFonts w:ascii="Calibri" w:eastAsia="Times New Roman" w:hAnsi="Calibri" w:cs="Times New Roman"/>
                <w:color w:val="000000"/>
                <w:lang w:eastAsia="fr-FR"/>
              </w:rPr>
            </w:pPr>
            <w:r w:rsidRPr="0039067A">
              <w:rPr>
                <w:rFonts w:ascii="Calibri" w:eastAsia="Times New Roman" w:hAnsi="Calibri" w:cs="Times New Roman"/>
                <w:color w:val="000000"/>
                <w:lang w:eastAsia="fr-FR"/>
              </w:rPr>
              <w:t>-3 212,31</w:t>
            </w:r>
          </w:p>
        </w:tc>
        <w:tc>
          <w:tcPr>
            <w:tcW w:w="1559" w:type="dxa"/>
            <w:tcBorders>
              <w:top w:val="nil"/>
              <w:left w:val="nil"/>
              <w:bottom w:val="single" w:sz="4" w:space="0" w:color="auto"/>
              <w:right w:val="single" w:sz="4" w:space="0" w:color="auto"/>
            </w:tcBorders>
            <w:shd w:val="clear" w:color="auto" w:fill="auto"/>
            <w:noWrap/>
            <w:vAlign w:val="center"/>
            <w:hideMark/>
          </w:tcPr>
          <w:p w:rsidR="0039067A" w:rsidRPr="0039067A" w:rsidRDefault="0039067A" w:rsidP="0039067A">
            <w:pPr>
              <w:spacing w:before="0" w:beforeAutospacing="0" w:after="0" w:afterAutospacing="0"/>
              <w:rPr>
                <w:rFonts w:ascii="Calibri" w:eastAsia="Times New Roman" w:hAnsi="Calibri" w:cs="Times New Roman"/>
                <w:color w:val="000000"/>
                <w:lang w:eastAsia="fr-FR"/>
              </w:rPr>
            </w:pPr>
            <w:r w:rsidRPr="0039067A">
              <w:rPr>
                <w:rFonts w:ascii="Calibri" w:eastAsia="Times New Roman" w:hAnsi="Calibri" w:cs="Times New Roman"/>
                <w:color w:val="000000"/>
                <w:lang w:eastAsia="fr-FR"/>
              </w:rPr>
              <w:t>-28,54%</w:t>
            </w:r>
          </w:p>
        </w:tc>
      </w:tr>
      <w:tr w:rsidR="0039067A" w:rsidRPr="0039067A" w:rsidTr="0039067A">
        <w:trPr>
          <w:trHeight w:val="300"/>
        </w:trPr>
        <w:tc>
          <w:tcPr>
            <w:tcW w:w="5968" w:type="dxa"/>
            <w:tcBorders>
              <w:top w:val="nil"/>
              <w:left w:val="single" w:sz="4" w:space="0" w:color="auto"/>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jc w:val="right"/>
              <w:rPr>
                <w:rFonts w:ascii="Times New Roman" w:eastAsia="Times New Roman" w:hAnsi="Times New Roman" w:cs="Times New Roman"/>
                <w:b/>
                <w:bCs/>
                <w:color w:val="000000"/>
                <w:sz w:val="24"/>
                <w:szCs w:val="24"/>
                <w:lang w:eastAsia="fr-FR"/>
              </w:rPr>
            </w:pPr>
            <w:r w:rsidRPr="0039067A">
              <w:rPr>
                <w:rFonts w:ascii="Times New Roman" w:eastAsia="Times New Roman" w:hAnsi="Times New Roman" w:cs="Times New Roman"/>
                <w:b/>
                <w:bCs/>
                <w:color w:val="000000"/>
                <w:sz w:val="24"/>
                <w:szCs w:val="24"/>
                <w:lang w:eastAsia="fr-FR"/>
              </w:rPr>
              <w:t xml:space="preserve">Impact sur le résultat </w:t>
            </w:r>
          </w:p>
        </w:tc>
        <w:tc>
          <w:tcPr>
            <w:tcW w:w="1559" w:type="dxa"/>
            <w:tcBorders>
              <w:top w:val="nil"/>
              <w:left w:val="nil"/>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rPr>
                <w:rFonts w:ascii="Calibri" w:eastAsia="Times New Roman" w:hAnsi="Calibri" w:cs="Times New Roman"/>
                <w:color w:val="000000"/>
                <w:lang w:eastAsia="fr-FR"/>
              </w:rPr>
            </w:pPr>
            <w:r w:rsidRPr="0039067A">
              <w:rPr>
                <w:rFonts w:ascii="Calibri" w:eastAsia="Times New Roman" w:hAnsi="Calibri" w:cs="Times New Roman"/>
                <w:color w:val="000000"/>
                <w:lang w:eastAsia="fr-FR"/>
              </w:rPr>
              <w:t>11 256,37</w:t>
            </w:r>
          </w:p>
        </w:tc>
        <w:tc>
          <w:tcPr>
            <w:tcW w:w="1559" w:type="dxa"/>
            <w:tcBorders>
              <w:top w:val="nil"/>
              <w:left w:val="nil"/>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rPr>
                <w:rFonts w:ascii="Calibri" w:eastAsia="Times New Roman" w:hAnsi="Calibri" w:cs="Times New Roman"/>
                <w:color w:val="000000"/>
                <w:lang w:eastAsia="fr-FR"/>
              </w:rPr>
            </w:pPr>
            <w:r w:rsidRPr="0039067A">
              <w:rPr>
                <w:rFonts w:ascii="Calibri" w:eastAsia="Times New Roman" w:hAnsi="Calibri" w:cs="Times New Roman"/>
                <w:color w:val="000000"/>
                <w:lang w:eastAsia="fr-FR"/>
              </w:rPr>
              <w:t>100%</w:t>
            </w:r>
          </w:p>
        </w:tc>
      </w:tr>
      <w:tr w:rsidR="0039067A" w:rsidRPr="0039067A" w:rsidTr="0039067A">
        <w:trPr>
          <w:trHeight w:val="300"/>
        </w:trPr>
        <w:tc>
          <w:tcPr>
            <w:tcW w:w="5968" w:type="dxa"/>
            <w:tcBorders>
              <w:top w:val="nil"/>
              <w:left w:val="single" w:sz="4" w:space="0" w:color="auto"/>
              <w:bottom w:val="single" w:sz="4" w:space="0" w:color="auto"/>
              <w:right w:val="single" w:sz="4" w:space="0" w:color="auto"/>
            </w:tcBorders>
            <w:shd w:val="clear" w:color="auto" w:fill="auto"/>
            <w:noWrap/>
            <w:vAlign w:val="bottom"/>
            <w:hideMark/>
          </w:tcPr>
          <w:p w:rsidR="0039067A" w:rsidRPr="0039067A" w:rsidRDefault="0039067A" w:rsidP="0039067A">
            <w:pPr>
              <w:spacing w:before="0" w:beforeAutospacing="0" w:after="0" w:afterAutospacing="0"/>
              <w:jc w:val="left"/>
              <w:rPr>
                <w:rFonts w:ascii="Times New Roman" w:eastAsia="Times New Roman" w:hAnsi="Times New Roman" w:cs="Times New Roman"/>
                <w:color w:val="000000"/>
                <w:sz w:val="24"/>
                <w:szCs w:val="24"/>
                <w:lang w:eastAsia="fr-FR"/>
              </w:rPr>
            </w:pPr>
            <w:r w:rsidRPr="0039067A">
              <w:rPr>
                <w:rFonts w:ascii="Times New Roman" w:eastAsia="Times New Roman" w:hAnsi="Times New Roman" w:cs="Times New Roman"/>
                <w:color w:val="000000"/>
                <w:sz w:val="24"/>
                <w:szCs w:val="24"/>
                <w:lang w:eastAsia="fr-FR"/>
              </w:rPr>
              <w:t>La Somme des Résultats SCF</w:t>
            </w:r>
          </w:p>
        </w:tc>
        <w:tc>
          <w:tcPr>
            <w:tcW w:w="1559" w:type="dxa"/>
            <w:tcBorders>
              <w:top w:val="nil"/>
              <w:left w:val="nil"/>
              <w:bottom w:val="single" w:sz="4" w:space="0" w:color="auto"/>
              <w:right w:val="single" w:sz="4" w:space="0" w:color="auto"/>
            </w:tcBorders>
            <w:shd w:val="clear" w:color="auto" w:fill="auto"/>
            <w:noWrap/>
            <w:vAlign w:val="center"/>
            <w:hideMark/>
          </w:tcPr>
          <w:p w:rsidR="0039067A" w:rsidRPr="0039067A" w:rsidRDefault="0039067A" w:rsidP="0039067A">
            <w:pPr>
              <w:spacing w:before="0" w:beforeAutospacing="0" w:after="0" w:afterAutospacing="0"/>
              <w:rPr>
                <w:rFonts w:ascii="Calibri" w:eastAsia="Times New Roman" w:hAnsi="Calibri" w:cs="Times New Roman"/>
                <w:color w:val="000000"/>
                <w:lang w:eastAsia="fr-FR"/>
              </w:rPr>
            </w:pPr>
            <w:r w:rsidRPr="0039067A">
              <w:rPr>
                <w:rFonts w:ascii="Calibri" w:eastAsia="Times New Roman" w:hAnsi="Calibri" w:cs="Times New Roman"/>
                <w:color w:val="000000"/>
                <w:lang w:eastAsia="fr-FR"/>
              </w:rPr>
              <w:t>7 317,20</w:t>
            </w:r>
          </w:p>
        </w:tc>
        <w:tc>
          <w:tcPr>
            <w:tcW w:w="1559" w:type="dxa"/>
            <w:tcBorders>
              <w:top w:val="nil"/>
              <w:left w:val="nil"/>
              <w:bottom w:val="single" w:sz="4" w:space="0" w:color="auto"/>
              <w:right w:val="single" w:sz="4" w:space="0" w:color="auto"/>
            </w:tcBorders>
            <w:shd w:val="clear" w:color="auto" w:fill="auto"/>
            <w:noWrap/>
            <w:vAlign w:val="center"/>
            <w:hideMark/>
          </w:tcPr>
          <w:p w:rsidR="0039067A" w:rsidRPr="0039067A" w:rsidRDefault="0039067A" w:rsidP="0039067A">
            <w:pPr>
              <w:spacing w:before="0" w:beforeAutospacing="0" w:after="0" w:afterAutospacing="0"/>
              <w:rPr>
                <w:rFonts w:ascii="Calibri" w:eastAsia="Times New Roman" w:hAnsi="Calibri" w:cs="Times New Roman"/>
                <w:color w:val="000000"/>
                <w:lang w:eastAsia="fr-FR"/>
              </w:rPr>
            </w:pPr>
            <w:r w:rsidRPr="0039067A">
              <w:rPr>
                <w:rFonts w:ascii="Calibri" w:eastAsia="Times New Roman" w:hAnsi="Calibri" w:cs="Times New Roman"/>
                <w:color w:val="000000"/>
                <w:lang w:eastAsia="fr-FR"/>
              </w:rPr>
              <w:t> </w:t>
            </w:r>
          </w:p>
        </w:tc>
      </w:tr>
    </w:tbl>
    <w:p w:rsidR="0039067A" w:rsidRPr="0039067A" w:rsidRDefault="0039067A" w:rsidP="0039067A">
      <w:pPr>
        <w:spacing w:before="120" w:beforeAutospacing="0" w:after="120" w:afterAutospacing="0" w:line="276" w:lineRule="auto"/>
        <w:ind w:firstLine="360"/>
        <w:jc w:val="both"/>
        <w:rPr>
          <w:rFonts w:ascii="Times New Roman" w:eastAsia="Calibri" w:hAnsi="Times New Roman" w:cs="Times New Roman"/>
          <w:sz w:val="24"/>
          <w:szCs w:val="24"/>
        </w:rPr>
      </w:pPr>
      <w:r w:rsidRPr="0039067A">
        <w:rPr>
          <w:rFonts w:ascii="Times New Roman" w:eastAsia="Calibri" w:hAnsi="Times New Roman" w:cs="Times New Roman"/>
          <w:i/>
          <w:szCs w:val="24"/>
        </w:rPr>
        <w:t>Sources : établis sur la base des données financières des sociétés de l’échantillon</w:t>
      </w:r>
    </w:p>
    <w:p w:rsidR="0039067A" w:rsidRPr="0039067A" w:rsidRDefault="0039067A" w:rsidP="0039067A">
      <w:pPr>
        <w:spacing w:before="120" w:beforeAutospacing="0" w:after="120" w:afterAutospacing="0" w:line="276" w:lineRule="auto"/>
        <w:ind w:firstLine="360"/>
        <w:jc w:val="both"/>
        <w:rPr>
          <w:rFonts w:ascii="Times New Roman" w:eastAsia="Calibri" w:hAnsi="Times New Roman" w:cs="Times New Roman"/>
          <w:sz w:val="24"/>
          <w:szCs w:val="24"/>
        </w:rPr>
      </w:pPr>
    </w:p>
    <w:p w:rsidR="0039067A" w:rsidRPr="0039067A" w:rsidRDefault="0039067A" w:rsidP="0039067A">
      <w:pPr>
        <w:spacing w:before="120" w:beforeAutospacing="0" w:after="120" w:afterAutospacing="0" w:line="276" w:lineRule="auto"/>
        <w:ind w:firstLine="360"/>
        <w:jc w:val="both"/>
        <w:rPr>
          <w:rFonts w:ascii="Times New Roman" w:eastAsia="Calibri" w:hAnsi="Times New Roman" w:cs="Times New Roman"/>
          <w:sz w:val="24"/>
          <w:szCs w:val="24"/>
        </w:rPr>
      </w:pPr>
      <w:r w:rsidRPr="0039067A">
        <w:rPr>
          <w:rFonts w:ascii="Times New Roman" w:eastAsia="Calibri" w:hAnsi="Times New Roman" w:cs="Times New Roman"/>
          <w:sz w:val="24"/>
          <w:szCs w:val="24"/>
        </w:rPr>
        <w:t xml:space="preserve">L’augmentation des résultats est due essentiellement à l’annulation des amortissements calculés selon le mode dégressif ainsi que les provisions de Gros entretiens, qui sont équivalents à : 12 203.33 et 5 315.31 Millions de dinars respectivement. </w:t>
      </w:r>
    </w:p>
    <w:p w:rsidR="0039067A" w:rsidRPr="0039067A" w:rsidRDefault="0039067A" w:rsidP="0039067A">
      <w:pPr>
        <w:spacing w:before="120" w:beforeAutospacing="0" w:after="120" w:afterAutospacing="0" w:line="276" w:lineRule="auto"/>
        <w:ind w:firstLine="360"/>
        <w:jc w:val="both"/>
        <w:rPr>
          <w:rFonts w:ascii="Times New Roman" w:eastAsia="Calibri" w:hAnsi="Times New Roman" w:cs="Times New Roman"/>
          <w:sz w:val="24"/>
          <w:szCs w:val="24"/>
        </w:rPr>
      </w:pPr>
      <w:r w:rsidRPr="0039067A">
        <w:rPr>
          <w:rFonts w:ascii="Times New Roman" w:eastAsia="Calibri" w:hAnsi="Times New Roman" w:cs="Times New Roman"/>
          <w:sz w:val="24"/>
          <w:szCs w:val="24"/>
        </w:rPr>
        <w:t xml:space="preserve">En outre, le passage au SCF à donner lieu à une diminution des frais financiers, sachant que leur montant a diminué de </w:t>
      </w:r>
      <w:r w:rsidRPr="0039067A">
        <w:rPr>
          <w:rFonts w:ascii="Times New Roman" w:eastAsia="Calibri" w:hAnsi="Times New Roman" w:cs="Times New Roman"/>
          <w:szCs w:val="24"/>
        </w:rPr>
        <w:t>160</w:t>
      </w:r>
      <w:r w:rsidRPr="0039067A">
        <w:rPr>
          <w:rFonts w:ascii="Times New Roman" w:eastAsia="Calibri" w:hAnsi="Times New Roman" w:cs="Times New Roman"/>
          <w:sz w:val="24"/>
          <w:szCs w:val="24"/>
        </w:rPr>
        <w:t xml:space="preserve"> Millions de dinars suit au retraitement du SCF (</w:t>
      </w:r>
      <w:r w:rsidRPr="0039067A">
        <w:rPr>
          <w:rFonts w:ascii="Times New Roman" w:eastAsia="Calibri" w:hAnsi="Times New Roman" w:cs="Times New Roman"/>
          <w:szCs w:val="24"/>
        </w:rPr>
        <w:t>928</w:t>
      </w:r>
      <w:r w:rsidRPr="0039067A">
        <w:rPr>
          <w:rFonts w:ascii="Times New Roman" w:eastAsia="Calibri" w:hAnsi="Times New Roman" w:cs="Times New Roman"/>
          <w:sz w:val="24"/>
          <w:szCs w:val="24"/>
        </w:rPr>
        <w:t xml:space="preserve"> Millions dinars en PCN contre </w:t>
      </w:r>
      <w:r w:rsidRPr="0039067A">
        <w:rPr>
          <w:rFonts w:ascii="Times New Roman" w:eastAsia="Calibri" w:hAnsi="Times New Roman" w:cs="Times New Roman"/>
          <w:szCs w:val="24"/>
        </w:rPr>
        <w:t>768</w:t>
      </w:r>
      <w:r w:rsidRPr="0039067A">
        <w:rPr>
          <w:rFonts w:ascii="Times New Roman" w:eastAsia="Calibri" w:hAnsi="Times New Roman" w:cs="Times New Roman"/>
          <w:sz w:val="24"/>
          <w:szCs w:val="24"/>
        </w:rPr>
        <w:t xml:space="preserve"> Millions en SCF). D’autre part, les </w:t>
      </w:r>
      <w:r w:rsidRPr="0039067A">
        <w:rPr>
          <w:rFonts w:ascii="Times New Roman" w:eastAsia="Calibri" w:hAnsi="Times New Roman" w:cs="Times New Roman"/>
          <w:sz w:val="24"/>
          <w:szCs w:val="24"/>
        </w:rPr>
        <w:lastRenderedPageBreak/>
        <w:t xml:space="preserve">provisions relatives aux droits acquis sont passées de </w:t>
      </w:r>
      <w:r w:rsidRPr="0039067A">
        <w:rPr>
          <w:rFonts w:ascii="Times New Roman" w:eastAsia="Calibri" w:hAnsi="Times New Roman" w:cs="Times New Roman"/>
          <w:szCs w:val="24"/>
        </w:rPr>
        <w:t xml:space="preserve">723.76 </w:t>
      </w:r>
      <w:r w:rsidRPr="0039067A">
        <w:rPr>
          <w:rFonts w:ascii="Times New Roman" w:eastAsia="Calibri" w:hAnsi="Times New Roman" w:cs="Times New Roman"/>
          <w:sz w:val="24"/>
          <w:szCs w:val="24"/>
        </w:rPr>
        <w:t xml:space="preserve">Millions en PCN à 296.25 en SCF soit une diminution de </w:t>
      </w:r>
      <w:r w:rsidRPr="0039067A">
        <w:rPr>
          <w:rFonts w:ascii="Times New Roman" w:eastAsia="Calibri" w:hAnsi="Times New Roman" w:cs="Times New Roman"/>
          <w:szCs w:val="24"/>
        </w:rPr>
        <w:t xml:space="preserve">427.51 </w:t>
      </w:r>
      <w:r w:rsidRPr="0039067A">
        <w:rPr>
          <w:rFonts w:ascii="Times New Roman" w:eastAsia="Calibri" w:hAnsi="Times New Roman" w:cs="Times New Roman"/>
          <w:sz w:val="24"/>
          <w:szCs w:val="24"/>
        </w:rPr>
        <w:t xml:space="preserve">Millions de dinars qui est expliquée par le changement de méthode d’estimation (l’actualisation).   </w:t>
      </w:r>
    </w:p>
    <w:p w:rsidR="0039067A" w:rsidRDefault="0039067A" w:rsidP="0039067A">
      <w:pPr>
        <w:spacing w:before="120" w:beforeAutospacing="0" w:after="120" w:afterAutospacing="0" w:line="276" w:lineRule="auto"/>
        <w:ind w:firstLine="360"/>
        <w:jc w:val="both"/>
        <w:rPr>
          <w:rFonts w:ascii="Times New Roman" w:eastAsia="Calibri" w:hAnsi="Times New Roman" w:cs="Times New Roman"/>
          <w:sz w:val="24"/>
          <w:szCs w:val="24"/>
        </w:rPr>
      </w:pPr>
    </w:p>
    <w:p w:rsidR="00550D4B" w:rsidRDefault="00550D4B" w:rsidP="0039067A">
      <w:pPr>
        <w:spacing w:before="120" w:beforeAutospacing="0" w:after="120" w:afterAutospacing="0" w:line="276" w:lineRule="auto"/>
        <w:ind w:firstLine="360"/>
        <w:jc w:val="both"/>
        <w:rPr>
          <w:rFonts w:ascii="Times New Roman" w:eastAsia="Calibri" w:hAnsi="Times New Roman" w:cs="Times New Roman"/>
          <w:sz w:val="24"/>
          <w:szCs w:val="24"/>
        </w:rPr>
      </w:pPr>
    </w:p>
    <w:p w:rsidR="00550D4B" w:rsidRDefault="00550D4B" w:rsidP="0039067A">
      <w:pPr>
        <w:spacing w:before="120" w:beforeAutospacing="0" w:after="120" w:afterAutospacing="0" w:line="276" w:lineRule="auto"/>
        <w:ind w:firstLine="360"/>
        <w:jc w:val="both"/>
        <w:rPr>
          <w:rFonts w:ascii="Times New Roman" w:eastAsia="Calibri" w:hAnsi="Times New Roman" w:cs="Times New Roman"/>
          <w:sz w:val="24"/>
          <w:szCs w:val="24"/>
        </w:rPr>
      </w:pPr>
    </w:p>
    <w:p w:rsidR="00550D4B" w:rsidRDefault="00550D4B" w:rsidP="0039067A">
      <w:pPr>
        <w:spacing w:before="120" w:beforeAutospacing="0" w:after="120" w:afterAutospacing="0" w:line="276" w:lineRule="auto"/>
        <w:ind w:firstLine="360"/>
        <w:jc w:val="both"/>
        <w:rPr>
          <w:rFonts w:ascii="Times New Roman" w:eastAsia="Calibri" w:hAnsi="Times New Roman" w:cs="Times New Roman"/>
          <w:sz w:val="24"/>
          <w:szCs w:val="24"/>
        </w:rPr>
      </w:pPr>
    </w:p>
    <w:p w:rsidR="00550D4B" w:rsidRDefault="00550D4B" w:rsidP="0039067A">
      <w:pPr>
        <w:spacing w:before="120" w:beforeAutospacing="0" w:after="120" w:afterAutospacing="0" w:line="276" w:lineRule="auto"/>
        <w:ind w:firstLine="360"/>
        <w:jc w:val="both"/>
        <w:rPr>
          <w:rFonts w:ascii="Times New Roman" w:eastAsia="Calibri" w:hAnsi="Times New Roman" w:cs="Times New Roman"/>
          <w:sz w:val="24"/>
          <w:szCs w:val="24"/>
        </w:rPr>
      </w:pPr>
    </w:p>
    <w:p w:rsidR="00550D4B" w:rsidRDefault="00550D4B" w:rsidP="0039067A">
      <w:pPr>
        <w:spacing w:before="120" w:beforeAutospacing="0" w:after="120" w:afterAutospacing="0" w:line="276" w:lineRule="auto"/>
        <w:ind w:firstLine="360"/>
        <w:jc w:val="both"/>
        <w:rPr>
          <w:rFonts w:ascii="Times New Roman" w:eastAsia="Calibri" w:hAnsi="Times New Roman" w:cs="Times New Roman"/>
          <w:sz w:val="24"/>
          <w:szCs w:val="24"/>
        </w:rPr>
      </w:pPr>
    </w:p>
    <w:p w:rsidR="00550D4B" w:rsidRDefault="00550D4B" w:rsidP="0039067A">
      <w:pPr>
        <w:spacing w:before="120" w:beforeAutospacing="0" w:after="120" w:afterAutospacing="0" w:line="276" w:lineRule="auto"/>
        <w:ind w:firstLine="360"/>
        <w:jc w:val="both"/>
        <w:rPr>
          <w:rFonts w:ascii="Times New Roman" w:eastAsia="Calibri" w:hAnsi="Times New Roman" w:cs="Times New Roman"/>
          <w:sz w:val="24"/>
          <w:szCs w:val="24"/>
        </w:rPr>
      </w:pPr>
    </w:p>
    <w:p w:rsidR="00550D4B" w:rsidRDefault="00550D4B" w:rsidP="0039067A">
      <w:pPr>
        <w:spacing w:before="120" w:beforeAutospacing="0" w:after="120" w:afterAutospacing="0" w:line="276" w:lineRule="auto"/>
        <w:ind w:firstLine="360"/>
        <w:jc w:val="both"/>
        <w:rPr>
          <w:rFonts w:ascii="Times New Roman" w:eastAsia="Calibri" w:hAnsi="Times New Roman" w:cs="Times New Roman"/>
          <w:sz w:val="24"/>
          <w:szCs w:val="24"/>
        </w:rPr>
      </w:pPr>
    </w:p>
    <w:p w:rsidR="00550D4B" w:rsidRDefault="00550D4B" w:rsidP="0039067A">
      <w:pPr>
        <w:spacing w:before="120" w:beforeAutospacing="0" w:after="120" w:afterAutospacing="0" w:line="276" w:lineRule="auto"/>
        <w:ind w:firstLine="360"/>
        <w:jc w:val="both"/>
        <w:rPr>
          <w:rFonts w:ascii="Times New Roman" w:eastAsia="Calibri" w:hAnsi="Times New Roman" w:cs="Times New Roman"/>
          <w:sz w:val="24"/>
          <w:szCs w:val="24"/>
        </w:rPr>
      </w:pPr>
    </w:p>
    <w:p w:rsidR="00550D4B" w:rsidRDefault="00550D4B" w:rsidP="0039067A">
      <w:pPr>
        <w:spacing w:before="120" w:beforeAutospacing="0" w:after="120" w:afterAutospacing="0" w:line="276" w:lineRule="auto"/>
        <w:ind w:firstLine="360"/>
        <w:jc w:val="both"/>
        <w:rPr>
          <w:rFonts w:ascii="Times New Roman" w:eastAsia="Calibri" w:hAnsi="Times New Roman" w:cs="Times New Roman"/>
          <w:sz w:val="24"/>
          <w:szCs w:val="24"/>
        </w:rPr>
      </w:pPr>
    </w:p>
    <w:p w:rsidR="00550D4B" w:rsidRDefault="00550D4B" w:rsidP="0039067A">
      <w:pPr>
        <w:spacing w:before="120" w:beforeAutospacing="0" w:after="120" w:afterAutospacing="0" w:line="276" w:lineRule="auto"/>
        <w:ind w:firstLine="360"/>
        <w:jc w:val="both"/>
        <w:rPr>
          <w:rFonts w:ascii="Times New Roman" w:eastAsia="Calibri" w:hAnsi="Times New Roman" w:cs="Times New Roman"/>
          <w:sz w:val="24"/>
          <w:szCs w:val="24"/>
        </w:rPr>
      </w:pPr>
    </w:p>
    <w:p w:rsidR="00550D4B" w:rsidRDefault="00550D4B" w:rsidP="0039067A">
      <w:pPr>
        <w:spacing w:before="120" w:beforeAutospacing="0" w:after="120" w:afterAutospacing="0" w:line="276" w:lineRule="auto"/>
        <w:ind w:firstLine="360"/>
        <w:jc w:val="both"/>
        <w:rPr>
          <w:rFonts w:ascii="Times New Roman" w:eastAsia="Calibri" w:hAnsi="Times New Roman" w:cs="Times New Roman"/>
          <w:sz w:val="24"/>
          <w:szCs w:val="24"/>
        </w:rPr>
      </w:pPr>
    </w:p>
    <w:p w:rsidR="00550D4B" w:rsidRDefault="00550D4B" w:rsidP="0039067A">
      <w:pPr>
        <w:spacing w:before="120" w:beforeAutospacing="0" w:after="120" w:afterAutospacing="0" w:line="276" w:lineRule="auto"/>
        <w:ind w:firstLine="360"/>
        <w:jc w:val="both"/>
        <w:rPr>
          <w:rFonts w:ascii="Times New Roman" w:eastAsia="Calibri" w:hAnsi="Times New Roman" w:cs="Times New Roman"/>
          <w:sz w:val="24"/>
          <w:szCs w:val="24"/>
        </w:rPr>
      </w:pPr>
    </w:p>
    <w:p w:rsidR="00550D4B" w:rsidRDefault="00550D4B" w:rsidP="0039067A">
      <w:pPr>
        <w:spacing w:before="120" w:beforeAutospacing="0" w:after="120" w:afterAutospacing="0" w:line="276" w:lineRule="auto"/>
        <w:ind w:firstLine="360"/>
        <w:jc w:val="both"/>
        <w:rPr>
          <w:rFonts w:ascii="Times New Roman" w:eastAsia="Calibri" w:hAnsi="Times New Roman" w:cs="Times New Roman"/>
          <w:sz w:val="24"/>
          <w:szCs w:val="24"/>
        </w:rPr>
      </w:pPr>
    </w:p>
    <w:p w:rsidR="00550D4B" w:rsidRDefault="00550D4B" w:rsidP="0039067A">
      <w:pPr>
        <w:spacing w:before="120" w:beforeAutospacing="0" w:after="120" w:afterAutospacing="0" w:line="276" w:lineRule="auto"/>
        <w:ind w:firstLine="360"/>
        <w:jc w:val="both"/>
        <w:rPr>
          <w:rFonts w:ascii="Times New Roman" w:eastAsia="Calibri" w:hAnsi="Times New Roman" w:cs="Times New Roman"/>
          <w:sz w:val="24"/>
          <w:szCs w:val="24"/>
        </w:rPr>
      </w:pPr>
    </w:p>
    <w:p w:rsidR="00550D4B" w:rsidRDefault="00550D4B" w:rsidP="0039067A">
      <w:pPr>
        <w:spacing w:before="120" w:beforeAutospacing="0" w:after="120" w:afterAutospacing="0" w:line="276" w:lineRule="auto"/>
        <w:ind w:firstLine="360"/>
        <w:jc w:val="both"/>
        <w:rPr>
          <w:rFonts w:ascii="Times New Roman" w:eastAsia="Calibri" w:hAnsi="Times New Roman" w:cs="Times New Roman"/>
          <w:sz w:val="24"/>
          <w:szCs w:val="24"/>
        </w:rPr>
      </w:pPr>
    </w:p>
    <w:p w:rsidR="00550D4B" w:rsidRDefault="00550D4B" w:rsidP="0039067A">
      <w:pPr>
        <w:spacing w:before="120" w:beforeAutospacing="0" w:after="120" w:afterAutospacing="0" w:line="276" w:lineRule="auto"/>
        <w:ind w:firstLine="360"/>
        <w:jc w:val="both"/>
        <w:rPr>
          <w:rFonts w:ascii="Times New Roman" w:eastAsia="Calibri" w:hAnsi="Times New Roman" w:cs="Times New Roman"/>
          <w:sz w:val="24"/>
          <w:szCs w:val="24"/>
        </w:rPr>
      </w:pPr>
    </w:p>
    <w:p w:rsidR="00550D4B" w:rsidRDefault="00550D4B" w:rsidP="0039067A">
      <w:pPr>
        <w:spacing w:before="120" w:beforeAutospacing="0" w:after="120" w:afterAutospacing="0" w:line="276" w:lineRule="auto"/>
        <w:ind w:firstLine="360"/>
        <w:jc w:val="both"/>
        <w:rPr>
          <w:rFonts w:ascii="Times New Roman" w:eastAsia="Calibri" w:hAnsi="Times New Roman" w:cs="Times New Roman"/>
          <w:sz w:val="24"/>
          <w:szCs w:val="24"/>
        </w:rPr>
      </w:pPr>
    </w:p>
    <w:p w:rsidR="00550D4B" w:rsidRDefault="00550D4B" w:rsidP="0039067A">
      <w:pPr>
        <w:spacing w:before="120" w:beforeAutospacing="0" w:after="120" w:afterAutospacing="0" w:line="276" w:lineRule="auto"/>
        <w:ind w:firstLine="360"/>
        <w:jc w:val="both"/>
        <w:rPr>
          <w:rFonts w:ascii="Times New Roman" w:eastAsia="Calibri" w:hAnsi="Times New Roman" w:cs="Times New Roman"/>
          <w:sz w:val="24"/>
          <w:szCs w:val="24"/>
        </w:rPr>
      </w:pPr>
    </w:p>
    <w:p w:rsidR="00550D4B" w:rsidRDefault="00550D4B" w:rsidP="0039067A">
      <w:pPr>
        <w:spacing w:before="120" w:beforeAutospacing="0" w:after="120" w:afterAutospacing="0" w:line="276" w:lineRule="auto"/>
        <w:ind w:firstLine="360"/>
        <w:jc w:val="both"/>
        <w:rPr>
          <w:rFonts w:ascii="Times New Roman" w:eastAsia="Calibri" w:hAnsi="Times New Roman" w:cs="Times New Roman"/>
          <w:sz w:val="24"/>
          <w:szCs w:val="24"/>
        </w:rPr>
      </w:pPr>
    </w:p>
    <w:p w:rsidR="00550D4B" w:rsidRDefault="00550D4B" w:rsidP="0039067A">
      <w:pPr>
        <w:spacing w:before="120" w:beforeAutospacing="0" w:after="120" w:afterAutospacing="0" w:line="276" w:lineRule="auto"/>
        <w:ind w:firstLine="360"/>
        <w:jc w:val="both"/>
        <w:rPr>
          <w:rFonts w:ascii="Times New Roman" w:eastAsia="Calibri" w:hAnsi="Times New Roman" w:cs="Times New Roman"/>
          <w:sz w:val="24"/>
          <w:szCs w:val="24"/>
        </w:rPr>
      </w:pPr>
    </w:p>
    <w:p w:rsidR="00550D4B" w:rsidRDefault="00550D4B" w:rsidP="0039067A">
      <w:pPr>
        <w:spacing w:before="120" w:beforeAutospacing="0" w:after="120" w:afterAutospacing="0" w:line="276" w:lineRule="auto"/>
        <w:ind w:firstLine="360"/>
        <w:jc w:val="both"/>
        <w:rPr>
          <w:rFonts w:ascii="Times New Roman" w:eastAsia="Calibri" w:hAnsi="Times New Roman" w:cs="Times New Roman"/>
          <w:sz w:val="24"/>
          <w:szCs w:val="24"/>
        </w:rPr>
      </w:pPr>
    </w:p>
    <w:p w:rsidR="00550D4B" w:rsidRDefault="00550D4B" w:rsidP="0039067A">
      <w:pPr>
        <w:spacing w:before="120" w:beforeAutospacing="0" w:after="120" w:afterAutospacing="0" w:line="276" w:lineRule="auto"/>
        <w:ind w:firstLine="360"/>
        <w:jc w:val="both"/>
        <w:rPr>
          <w:rFonts w:ascii="Times New Roman" w:eastAsia="Calibri" w:hAnsi="Times New Roman" w:cs="Times New Roman"/>
          <w:sz w:val="24"/>
          <w:szCs w:val="24"/>
        </w:rPr>
      </w:pPr>
    </w:p>
    <w:p w:rsidR="00550D4B" w:rsidRDefault="00550D4B" w:rsidP="0039067A">
      <w:pPr>
        <w:spacing w:before="120" w:beforeAutospacing="0" w:after="120" w:afterAutospacing="0" w:line="276" w:lineRule="auto"/>
        <w:ind w:firstLine="360"/>
        <w:jc w:val="both"/>
        <w:rPr>
          <w:rFonts w:ascii="Times New Roman" w:eastAsia="Calibri" w:hAnsi="Times New Roman" w:cs="Times New Roman"/>
          <w:sz w:val="24"/>
          <w:szCs w:val="24"/>
        </w:rPr>
      </w:pPr>
    </w:p>
    <w:p w:rsidR="00550D4B" w:rsidRDefault="00550D4B" w:rsidP="0039067A">
      <w:pPr>
        <w:spacing w:before="120" w:beforeAutospacing="0" w:after="120" w:afterAutospacing="0" w:line="276" w:lineRule="auto"/>
        <w:ind w:firstLine="360"/>
        <w:jc w:val="both"/>
        <w:rPr>
          <w:rFonts w:ascii="Times New Roman" w:eastAsia="Calibri" w:hAnsi="Times New Roman" w:cs="Times New Roman"/>
          <w:sz w:val="24"/>
          <w:szCs w:val="24"/>
        </w:rPr>
      </w:pPr>
    </w:p>
    <w:p w:rsidR="00550D4B" w:rsidRDefault="00550D4B" w:rsidP="0039067A">
      <w:pPr>
        <w:spacing w:before="120" w:beforeAutospacing="0" w:after="120" w:afterAutospacing="0" w:line="276" w:lineRule="auto"/>
        <w:ind w:firstLine="360"/>
        <w:jc w:val="both"/>
        <w:rPr>
          <w:rFonts w:ascii="Times New Roman" w:eastAsia="Calibri" w:hAnsi="Times New Roman" w:cs="Times New Roman"/>
          <w:sz w:val="24"/>
          <w:szCs w:val="24"/>
        </w:rPr>
      </w:pPr>
    </w:p>
    <w:p w:rsidR="00550D4B" w:rsidRPr="0039067A" w:rsidRDefault="00550D4B" w:rsidP="0039067A">
      <w:pPr>
        <w:spacing w:before="120" w:beforeAutospacing="0" w:after="120" w:afterAutospacing="0" w:line="276" w:lineRule="auto"/>
        <w:ind w:firstLine="360"/>
        <w:jc w:val="both"/>
        <w:rPr>
          <w:rFonts w:ascii="Times New Roman" w:eastAsia="Calibri" w:hAnsi="Times New Roman" w:cs="Times New Roman"/>
          <w:sz w:val="24"/>
          <w:szCs w:val="24"/>
        </w:rPr>
      </w:pPr>
    </w:p>
    <w:p w:rsidR="0039067A" w:rsidRPr="0039067A" w:rsidRDefault="0039067A" w:rsidP="0039067A">
      <w:pPr>
        <w:spacing w:before="0" w:beforeAutospacing="0" w:after="120" w:afterAutospacing="0" w:line="276" w:lineRule="auto"/>
        <w:ind w:firstLine="357"/>
        <w:jc w:val="both"/>
        <w:rPr>
          <w:rFonts w:ascii="Times New Roman" w:eastAsia="Calibri" w:hAnsi="Times New Roman" w:cs="Times New Roman"/>
          <w:b/>
          <w:sz w:val="26"/>
          <w:szCs w:val="26"/>
        </w:rPr>
      </w:pPr>
      <w:r w:rsidRPr="0039067A">
        <w:rPr>
          <w:rFonts w:ascii="Times New Roman" w:eastAsia="Calibri" w:hAnsi="Times New Roman" w:cs="Times New Roman"/>
          <w:b/>
          <w:sz w:val="26"/>
          <w:szCs w:val="26"/>
        </w:rPr>
        <w:lastRenderedPageBreak/>
        <w:t>Conclusion du chapitre</w:t>
      </w:r>
    </w:p>
    <w:p w:rsidR="0039067A" w:rsidRPr="0039067A" w:rsidRDefault="0039067A" w:rsidP="0039067A">
      <w:pPr>
        <w:spacing w:before="120" w:beforeAutospacing="0" w:after="120" w:afterAutospacing="0" w:line="276" w:lineRule="auto"/>
        <w:ind w:firstLine="360"/>
        <w:jc w:val="both"/>
        <w:rPr>
          <w:rFonts w:ascii="Times New Roman" w:eastAsia="Calibri" w:hAnsi="Times New Roman" w:cs="Times New Roman"/>
          <w:sz w:val="24"/>
          <w:szCs w:val="24"/>
        </w:rPr>
      </w:pPr>
      <w:r w:rsidRPr="0039067A">
        <w:rPr>
          <w:rFonts w:ascii="Times New Roman" w:eastAsia="Calibri" w:hAnsi="Times New Roman" w:cs="Times New Roman"/>
          <w:sz w:val="24"/>
          <w:szCs w:val="24"/>
        </w:rPr>
        <w:t xml:space="preserve">Concernant l’impact de la transition au SCF sur les capitaux propres, la présente étude montre que  le reclassement de certaines rubriques en  passif non courant a eu un  impact notable sur ces derniers. Ce  qui a induit à constater une importante diminution des capitaux propres à la suite de la transition (près de </w:t>
      </w:r>
      <w:r w:rsidRPr="0039067A">
        <w:rPr>
          <w:rFonts w:ascii="Times New Roman" w:eastAsia="Calibri" w:hAnsi="Times New Roman" w:cs="Times New Roman"/>
          <w:szCs w:val="24"/>
        </w:rPr>
        <w:t xml:space="preserve">99.95% </w:t>
      </w:r>
      <w:r w:rsidRPr="0039067A">
        <w:rPr>
          <w:rFonts w:ascii="Times New Roman" w:eastAsia="Calibri" w:hAnsi="Times New Roman" w:cs="Times New Roman"/>
          <w:sz w:val="24"/>
          <w:szCs w:val="24"/>
        </w:rPr>
        <w:t xml:space="preserve">en moyenne). </w:t>
      </w:r>
    </w:p>
    <w:p w:rsidR="0039067A" w:rsidRPr="0039067A" w:rsidRDefault="0039067A" w:rsidP="0039067A">
      <w:pPr>
        <w:spacing w:before="120" w:beforeAutospacing="0" w:after="120" w:afterAutospacing="0" w:line="276" w:lineRule="auto"/>
        <w:ind w:firstLine="360"/>
        <w:jc w:val="both"/>
        <w:rPr>
          <w:rFonts w:ascii="Times New Roman" w:eastAsia="Calibri" w:hAnsi="Times New Roman" w:cs="Times New Roman"/>
          <w:sz w:val="24"/>
          <w:szCs w:val="24"/>
        </w:rPr>
      </w:pPr>
      <w:r w:rsidRPr="0039067A">
        <w:rPr>
          <w:rFonts w:ascii="Times New Roman" w:eastAsia="Calibri" w:hAnsi="Times New Roman" w:cs="Times New Roman"/>
          <w:sz w:val="24"/>
          <w:szCs w:val="24"/>
        </w:rPr>
        <w:t xml:space="preserve">Outre que l’impact relatif au reclassement en passifs non courants dans le cadre du SCF, la présente étude montre, également, que l’impact de la transition au système comptable financier sur les capitaux propres était favorable en moyenne. Ce qui est expliqué principalement par l’augmentation du résultat SCF (selon une analyse effectuée sur 11 sociétés de l’échantillon). </w:t>
      </w:r>
    </w:p>
    <w:p w:rsidR="0039067A" w:rsidRPr="0039067A" w:rsidRDefault="0039067A" w:rsidP="0039067A">
      <w:pPr>
        <w:spacing w:before="120" w:beforeAutospacing="0" w:after="120" w:afterAutospacing="0" w:line="276" w:lineRule="auto"/>
        <w:ind w:firstLine="360"/>
        <w:jc w:val="both"/>
        <w:rPr>
          <w:rFonts w:ascii="Times New Roman" w:eastAsia="Calibri" w:hAnsi="Times New Roman" w:cs="Times New Roman"/>
          <w:sz w:val="24"/>
          <w:szCs w:val="24"/>
        </w:rPr>
      </w:pPr>
      <w:r w:rsidRPr="0039067A">
        <w:rPr>
          <w:rFonts w:ascii="Times New Roman" w:eastAsia="Calibri" w:hAnsi="Times New Roman" w:cs="Times New Roman"/>
          <w:sz w:val="24"/>
          <w:szCs w:val="24"/>
        </w:rPr>
        <w:t xml:space="preserve">Cependant, l’impact relatif au changement de méthode était plutôt défavorable ; sur les 11 sociétés, dont leurs états financiers faisaient objet de l’analyse, trois seulement qui ont connu un impact positif sur leurs capitaux propres suite aux changements de méthode. L’impact relatif aux changements de méthode est expliqué, pour la plus part des sociétés, par l’augmentation des provisions liées aux droits acquis par le personnel relatives aux exercices antérieurs à 2009 ainsi que la constatation des charges des exercices antérieurs au niveau des capitaux propres. </w:t>
      </w:r>
    </w:p>
    <w:p w:rsidR="0039067A" w:rsidRPr="0039067A" w:rsidRDefault="0039067A" w:rsidP="0039067A">
      <w:pPr>
        <w:spacing w:before="120" w:beforeAutospacing="0" w:after="120" w:afterAutospacing="0" w:line="276" w:lineRule="auto"/>
        <w:ind w:firstLine="360"/>
        <w:jc w:val="both"/>
        <w:rPr>
          <w:rFonts w:ascii="Times New Roman" w:eastAsia="Calibri" w:hAnsi="Times New Roman" w:cs="Times New Roman"/>
          <w:sz w:val="24"/>
          <w:szCs w:val="24"/>
        </w:rPr>
      </w:pPr>
      <w:r w:rsidRPr="0039067A">
        <w:rPr>
          <w:rFonts w:ascii="Times New Roman" w:eastAsia="Calibri" w:hAnsi="Times New Roman" w:cs="Times New Roman"/>
          <w:sz w:val="24"/>
          <w:szCs w:val="24"/>
        </w:rPr>
        <w:t xml:space="preserve">En outre, la constatation des produits des exercices antérieurs et des impôts différés ainsi que l’annulation de certaines provisions, constatées en PCN, a eu un impact positif sur les capitaux propres concernant le changement de méthode. </w:t>
      </w:r>
    </w:p>
    <w:p w:rsidR="0039067A" w:rsidRPr="0039067A" w:rsidRDefault="0039067A" w:rsidP="0039067A">
      <w:pPr>
        <w:spacing w:before="120" w:beforeAutospacing="0" w:after="120" w:afterAutospacing="0" w:line="276" w:lineRule="auto"/>
        <w:ind w:firstLine="360"/>
        <w:jc w:val="both"/>
        <w:rPr>
          <w:rFonts w:ascii="Times New Roman" w:eastAsia="Calibri" w:hAnsi="Times New Roman" w:cs="Times New Roman"/>
          <w:sz w:val="24"/>
          <w:szCs w:val="24"/>
        </w:rPr>
      </w:pPr>
      <w:r w:rsidRPr="0039067A">
        <w:rPr>
          <w:rFonts w:ascii="Times New Roman" w:eastAsia="Calibri" w:hAnsi="Times New Roman" w:cs="Times New Roman"/>
          <w:sz w:val="24"/>
          <w:szCs w:val="24"/>
        </w:rPr>
        <w:t xml:space="preserve">En reliant ces constats avec les options arrêtées par le Groupe, il peut être conclu que ces dernières étaient orientées vers le maintien des méthodes utilisées dans le cadre du PCN, en particulier pour les méthodes d’évaluation des actifs (coût historique), afin de garantir une stabilité des agrégats financiers du bilan ; cela à l’exception des immeubles et terrains où la méthode d’évaluation choisie correspond au traitement alternatif des immobilisations (la réévaluation) et dont l’impact ne peut être constaté </w:t>
      </w:r>
      <w:r w:rsidR="00550D4B" w:rsidRPr="0039067A">
        <w:rPr>
          <w:rFonts w:ascii="Times New Roman" w:eastAsia="Calibri" w:hAnsi="Times New Roman" w:cs="Times New Roman"/>
          <w:sz w:val="24"/>
          <w:szCs w:val="24"/>
        </w:rPr>
        <w:t>qu’en</w:t>
      </w:r>
      <w:r w:rsidRPr="0039067A">
        <w:rPr>
          <w:rFonts w:ascii="Times New Roman" w:eastAsia="Calibri" w:hAnsi="Times New Roman" w:cs="Times New Roman"/>
          <w:sz w:val="24"/>
          <w:szCs w:val="24"/>
        </w:rPr>
        <w:t xml:space="preserve"> 2011 (date de la première réévaluation prévue). Ce qui explique la variation limité des capitaux propres.    </w:t>
      </w:r>
    </w:p>
    <w:p w:rsidR="0039067A" w:rsidRPr="0039067A" w:rsidRDefault="0039067A" w:rsidP="0039067A">
      <w:pPr>
        <w:spacing w:before="120" w:beforeAutospacing="0" w:after="120" w:afterAutospacing="0" w:line="276" w:lineRule="auto"/>
        <w:ind w:firstLine="360"/>
        <w:jc w:val="both"/>
        <w:rPr>
          <w:rFonts w:ascii="Times New Roman" w:eastAsia="Calibri" w:hAnsi="Times New Roman" w:cs="Times New Roman"/>
          <w:sz w:val="24"/>
          <w:szCs w:val="24"/>
        </w:rPr>
      </w:pPr>
      <w:r w:rsidRPr="0039067A">
        <w:rPr>
          <w:rFonts w:ascii="Times New Roman" w:eastAsia="Calibri" w:hAnsi="Times New Roman" w:cs="Times New Roman"/>
          <w:sz w:val="24"/>
          <w:szCs w:val="24"/>
        </w:rPr>
        <w:t xml:space="preserve">Par contre, d’autres options ont eu un impact considérable sur les résultats des sociétés, tel que le changement de mode d’amortissement. Effectivement, l’impact moyen de la transition sur les résultats des sociétés était favorable, même très important. Toujours en se référant aux résultats de l’analyse effectuée dans le cadre de la présente étude, l’impact positif sur les résultats est expliqué par l’annulation de l’excédent des charges d’amortissement, la diminution des frais financiers, la diminution des dotations relatives aux provisions des droits acquis (du fait que dans le cadre du PCN on ne faisait pas la distinction entre les charges de l’exercice et les charges des exercices antérieurs) ainsi que l’annulation de certaines provisions tel que la provision GE.  </w:t>
      </w:r>
    </w:p>
    <w:p w:rsidR="0039067A" w:rsidRDefault="0039067A" w:rsidP="0039067A">
      <w:pPr>
        <w:spacing w:line="360" w:lineRule="auto"/>
        <w:ind w:firstLine="360"/>
        <w:jc w:val="both"/>
        <w:rPr>
          <w:rFonts w:ascii="Times New Roman" w:hAnsi="Times New Roman" w:cs="Times New Roman"/>
          <w:color w:val="FF0000"/>
          <w:sz w:val="24"/>
          <w:szCs w:val="24"/>
        </w:rPr>
      </w:pPr>
      <w:r w:rsidRPr="0039067A">
        <w:rPr>
          <w:rFonts w:ascii="Times New Roman" w:eastAsia="Calibri" w:hAnsi="Times New Roman" w:cs="Times New Roman"/>
          <w:sz w:val="24"/>
          <w:szCs w:val="24"/>
        </w:rPr>
        <w:lastRenderedPageBreak/>
        <w:t>En général, la transition au Système Comptable Financier (SCF) a permis aux sociétés d’améliorer leurs situations financières présentes en ayant un impact positif sur leurs résultats.</w:t>
      </w:r>
    </w:p>
    <w:p w:rsidR="0039067A" w:rsidRPr="006F0C98" w:rsidRDefault="0039067A" w:rsidP="0039067A">
      <w:pPr>
        <w:spacing w:line="360" w:lineRule="auto"/>
        <w:ind w:firstLine="360"/>
        <w:jc w:val="both"/>
        <w:rPr>
          <w:rFonts w:ascii="Times New Roman" w:hAnsi="Times New Roman" w:cs="Times New Roman"/>
          <w:color w:val="FF0000"/>
          <w:sz w:val="24"/>
          <w:szCs w:val="24"/>
        </w:rPr>
      </w:pPr>
    </w:p>
    <w:p w:rsidR="0039067A" w:rsidRDefault="0039067A" w:rsidP="00D41BD8">
      <w:pPr>
        <w:spacing w:before="240" w:beforeAutospacing="0" w:after="240" w:afterAutospacing="0" w:line="276" w:lineRule="auto"/>
        <w:jc w:val="both"/>
        <w:rPr>
          <w:rFonts w:ascii="Times New Roman" w:eastAsia="Calibri" w:hAnsi="Times New Roman" w:cs="Times New Roman"/>
          <w:sz w:val="24"/>
          <w:szCs w:val="24"/>
        </w:rPr>
      </w:pPr>
    </w:p>
    <w:p w:rsidR="0039067A" w:rsidRDefault="0039067A" w:rsidP="00D41BD8">
      <w:pPr>
        <w:spacing w:before="240" w:beforeAutospacing="0" w:after="240" w:afterAutospacing="0" w:line="276" w:lineRule="auto"/>
        <w:jc w:val="both"/>
        <w:rPr>
          <w:rFonts w:ascii="Times New Roman" w:eastAsia="Calibri" w:hAnsi="Times New Roman" w:cs="Times New Roman"/>
          <w:sz w:val="24"/>
          <w:szCs w:val="24"/>
        </w:rPr>
      </w:pPr>
    </w:p>
    <w:p w:rsidR="0039067A" w:rsidRDefault="0039067A" w:rsidP="00D41BD8">
      <w:pPr>
        <w:spacing w:before="240" w:beforeAutospacing="0" w:after="240" w:afterAutospacing="0" w:line="276" w:lineRule="auto"/>
        <w:jc w:val="both"/>
        <w:rPr>
          <w:rFonts w:ascii="Times New Roman" w:eastAsia="Calibri" w:hAnsi="Times New Roman" w:cs="Times New Roman"/>
          <w:sz w:val="24"/>
          <w:szCs w:val="24"/>
        </w:rPr>
      </w:pPr>
    </w:p>
    <w:p w:rsidR="0039067A" w:rsidRDefault="0039067A" w:rsidP="00D41BD8">
      <w:pPr>
        <w:spacing w:before="240" w:beforeAutospacing="0" w:after="240" w:afterAutospacing="0" w:line="276" w:lineRule="auto"/>
        <w:jc w:val="both"/>
        <w:rPr>
          <w:rFonts w:ascii="Times New Roman" w:eastAsia="Calibri" w:hAnsi="Times New Roman" w:cs="Times New Roman"/>
          <w:sz w:val="24"/>
          <w:szCs w:val="24"/>
        </w:rPr>
      </w:pPr>
    </w:p>
    <w:p w:rsidR="0039067A" w:rsidRDefault="0039067A" w:rsidP="00D41BD8">
      <w:pPr>
        <w:spacing w:before="240" w:beforeAutospacing="0" w:after="240" w:afterAutospacing="0" w:line="276" w:lineRule="auto"/>
        <w:jc w:val="both"/>
        <w:rPr>
          <w:rFonts w:ascii="Times New Roman" w:eastAsia="Calibri" w:hAnsi="Times New Roman" w:cs="Times New Roman"/>
          <w:sz w:val="24"/>
          <w:szCs w:val="24"/>
        </w:rPr>
      </w:pPr>
    </w:p>
    <w:p w:rsidR="0039067A" w:rsidRDefault="0039067A" w:rsidP="00D41BD8">
      <w:pPr>
        <w:spacing w:before="240" w:beforeAutospacing="0" w:after="240" w:afterAutospacing="0" w:line="276" w:lineRule="auto"/>
        <w:jc w:val="both"/>
        <w:rPr>
          <w:rFonts w:ascii="Times New Roman" w:eastAsia="Calibri" w:hAnsi="Times New Roman" w:cs="Times New Roman"/>
          <w:sz w:val="24"/>
          <w:szCs w:val="24"/>
        </w:rPr>
      </w:pPr>
    </w:p>
    <w:p w:rsidR="0039067A" w:rsidRDefault="0039067A" w:rsidP="00D41BD8">
      <w:pPr>
        <w:spacing w:before="240" w:beforeAutospacing="0" w:after="240" w:afterAutospacing="0" w:line="276" w:lineRule="auto"/>
        <w:jc w:val="both"/>
        <w:rPr>
          <w:rFonts w:ascii="Times New Roman" w:eastAsia="Calibri" w:hAnsi="Times New Roman" w:cs="Times New Roman"/>
          <w:sz w:val="24"/>
          <w:szCs w:val="24"/>
        </w:rPr>
      </w:pPr>
    </w:p>
    <w:p w:rsidR="0039067A" w:rsidRDefault="0039067A" w:rsidP="00D41BD8">
      <w:pPr>
        <w:spacing w:before="240" w:beforeAutospacing="0" w:after="240" w:afterAutospacing="0" w:line="276" w:lineRule="auto"/>
        <w:jc w:val="both"/>
        <w:rPr>
          <w:rFonts w:ascii="Times New Roman" w:eastAsia="Calibri" w:hAnsi="Times New Roman" w:cs="Times New Roman"/>
          <w:sz w:val="24"/>
          <w:szCs w:val="24"/>
        </w:rPr>
      </w:pPr>
    </w:p>
    <w:p w:rsidR="0039067A" w:rsidRDefault="0039067A" w:rsidP="00D41BD8">
      <w:pPr>
        <w:spacing w:before="240" w:beforeAutospacing="0" w:after="240" w:afterAutospacing="0" w:line="276" w:lineRule="auto"/>
        <w:jc w:val="both"/>
        <w:rPr>
          <w:rFonts w:ascii="Times New Roman" w:eastAsia="Calibri" w:hAnsi="Times New Roman" w:cs="Times New Roman"/>
          <w:sz w:val="24"/>
          <w:szCs w:val="24"/>
        </w:rPr>
      </w:pPr>
    </w:p>
    <w:p w:rsidR="0039067A" w:rsidRDefault="0039067A" w:rsidP="00D41BD8">
      <w:pPr>
        <w:spacing w:before="240" w:beforeAutospacing="0" w:after="240" w:afterAutospacing="0" w:line="276" w:lineRule="auto"/>
        <w:jc w:val="both"/>
        <w:rPr>
          <w:rFonts w:ascii="Times New Roman" w:eastAsia="Calibri" w:hAnsi="Times New Roman" w:cs="Times New Roman"/>
          <w:sz w:val="24"/>
          <w:szCs w:val="24"/>
        </w:rPr>
      </w:pPr>
    </w:p>
    <w:p w:rsidR="00D41BD8" w:rsidRDefault="00D41BD8" w:rsidP="00D41BD8">
      <w:pPr>
        <w:jc w:val="both"/>
        <w:rPr>
          <w:rFonts w:ascii="Times New Roman" w:hAnsi="Times New Roman" w:cs="Times New Roman"/>
          <w:sz w:val="24"/>
        </w:rPr>
      </w:pPr>
    </w:p>
    <w:p w:rsidR="00D41BD8" w:rsidRDefault="00D41BD8" w:rsidP="00DA0A69">
      <w:pPr>
        <w:rPr>
          <w:rFonts w:ascii="Times New Roman" w:hAnsi="Times New Roman" w:cs="Times New Roman"/>
          <w:sz w:val="24"/>
        </w:rPr>
      </w:pPr>
    </w:p>
    <w:p w:rsidR="00D41BD8" w:rsidRDefault="00D41BD8" w:rsidP="00DA0A69">
      <w:pPr>
        <w:rPr>
          <w:rFonts w:ascii="Times New Roman" w:hAnsi="Times New Roman" w:cs="Times New Roman"/>
          <w:sz w:val="24"/>
        </w:rPr>
      </w:pPr>
    </w:p>
    <w:p w:rsidR="0039067A" w:rsidRDefault="0039067A" w:rsidP="00DA0A69">
      <w:pPr>
        <w:rPr>
          <w:rFonts w:ascii="Times New Roman" w:hAnsi="Times New Roman" w:cs="Times New Roman"/>
          <w:sz w:val="24"/>
        </w:rPr>
      </w:pPr>
    </w:p>
    <w:p w:rsidR="0039067A" w:rsidRDefault="0039067A" w:rsidP="00DA0A69">
      <w:pPr>
        <w:rPr>
          <w:rFonts w:ascii="Times New Roman" w:hAnsi="Times New Roman" w:cs="Times New Roman"/>
          <w:sz w:val="24"/>
        </w:rPr>
      </w:pPr>
    </w:p>
    <w:p w:rsidR="0039067A" w:rsidRDefault="0039067A" w:rsidP="00DA0A69">
      <w:pPr>
        <w:rPr>
          <w:rFonts w:ascii="Times New Roman" w:hAnsi="Times New Roman" w:cs="Times New Roman"/>
          <w:sz w:val="24"/>
        </w:rPr>
      </w:pPr>
    </w:p>
    <w:p w:rsidR="0039067A" w:rsidRDefault="0039067A" w:rsidP="00DA0A69">
      <w:pPr>
        <w:rPr>
          <w:rFonts w:ascii="Times New Roman" w:hAnsi="Times New Roman" w:cs="Times New Roman"/>
          <w:sz w:val="24"/>
        </w:rPr>
      </w:pPr>
    </w:p>
    <w:p w:rsidR="0039067A" w:rsidRDefault="0039067A" w:rsidP="00DA0A69">
      <w:pPr>
        <w:rPr>
          <w:rFonts w:ascii="Times New Roman" w:hAnsi="Times New Roman" w:cs="Times New Roman"/>
          <w:sz w:val="24"/>
        </w:rPr>
      </w:pPr>
    </w:p>
    <w:p w:rsidR="0039067A" w:rsidRDefault="0039067A" w:rsidP="00DA0A69">
      <w:pPr>
        <w:rPr>
          <w:rFonts w:ascii="Times New Roman" w:hAnsi="Times New Roman" w:cs="Times New Roman"/>
          <w:sz w:val="24"/>
        </w:rPr>
      </w:pPr>
    </w:p>
    <w:p w:rsidR="00550D4B" w:rsidRDefault="00550D4B" w:rsidP="00DA0A69">
      <w:pPr>
        <w:rPr>
          <w:rFonts w:ascii="Times New Roman" w:hAnsi="Times New Roman" w:cs="Times New Roman"/>
          <w:sz w:val="24"/>
        </w:rPr>
        <w:sectPr w:rsidR="00550D4B" w:rsidSect="00550D4B">
          <w:headerReference w:type="default" r:id="rId26"/>
          <w:pgSz w:w="11906" w:h="16838"/>
          <w:pgMar w:top="1418" w:right="1418" w:bottom="1418" w:left="1418" w:header="709" w:footer="709" w:gutter="567"/>
          <w:cols w:space="708"/>
          <w:docGrid w:linePitch="360"/>
        </w:sectPr>
      </w:pPr>
    </w:p>
    <w:p w:rsidR="00550D4B" w:rsidRPr="00550D4B" w:rsidRDefault="00550D4B" w:rsidP="00550D4B">
      <w:pPr>
        <w:spacing w:before="120" w:beforeAutospacing="0" w:after="120" w:afterAutospacing="0" w:line="276" w:lineRule="auto"/>
        <w:ind w:firstLine="340"/>
        <w:jc w:val="both"/>
        <w:rPr>
          <w:rFonts w:ascii="Times New Roman" w:eastAsia="Calibri" w:hAnsi="Times New Roman" w:cs="Times New Roman"/>
          <w:b/>
          <w:sz w:val="24"/>
          <w:szCs w:val="24"/>
          <w:lang w:eastAsia="fr-FR"/>
        </w:rPr>
      </w:pPr>
      <w:r w:rsidRPr="00550D4B">
        <w:rPr>
          <w:rFonts w:ascii="Times New Roman" w:eastAsia="Calibri" w:hAnsi="Times New Roman" w:cs="Times New Roman"/>
          <w:bCs/>
          <w:sz w:val="24"/>
          <w:szCs w:val="20"/>
        </w:rPr>
        <w:lastRenderedPageBreak/>
        <w:t xml:space="preserve">L’objectif principal du présent mémoire était d’évaluer l’impact de l’application du nouveau Système Comptable Financier sur les capitaux propres et résultats des sociétés du Groupe </w:t>
      </w:r>
      <w:proofErr w:type="spellStart"/>
      <w:r w:rsidRPr="00550D4B">
        <w:rPr>
          <w:rFonts w:ascii="Times New Roman" w:eastAsia="Calibri" w:hAnsi="Times New Roman" w:cs="Times New Roman"/>
          <w:bCs/>
          <w:sz w:val="24"/>
          <w:szCs w:val="20"/>
        </w:rPr>
        <w:t>Sonelgaz</w:t>
      </w:r>
      <w:proofErr w:type="spellEnd"/>
      <w:r w:rsidRPr="00550D4B">
        <w:rPr>
          <w:rFonts w:ascii="Times New Roman" w:eastAsia="Calibri" w:hAnsi="Times New Roman" w:cs="Times New Roman"/>
          <w:bCs/>
          <w:sz w:val="24"/>
          <w:szCs w:val="20"/>
        </w:rPr>
        <w:t>.</w:t>
      </w:r>
      <w:r w:rsidRPr="00550D4B">
        <w:rPr>
          <w:rFonts w:ascii="Times New Roman" w:eastAsia="Calibri" w:hAnsi="Times New Roman" w:cs="Times New Roman"/>
          <w:bCs/>
          <w:sz w:val="24"/>
        </w:rPr>
        <w:t xml:space="preserve"> </w:t>
      </w:r>
    </w:p>
    <w:p w:rsidR="00550D4B" w:rsidRPr="00550D4B" w:rsidRDefault="00550D4B" w:rsidP="00550D4B">
      <w:pPr>
        <w:spacing w:before="120" w:beforeAutospacing="0" w:after="120" w:afterAutospacing="0" w:line="276" w:lineRule="auto"/>
        <w:ind w:firstLine="340"/>
        <w:jc w:val="both"/>
        <w:rPr>
          <w:rFonts w:ascii="Times New Roman" w:eastAsia="Calibri" w:hAnsi="Times New Roman" w:cs="Times New Roman"/>
          <w:sz w:val="24"/>
          <w:szCs w:val="20"/>
        </w:rPr>
      </w:pPr>
      <w:r w:rsidRPr="00550D4B">
        <w:rPr>
          <w:rFonts w:ascii="Times New Roman" w:eastAsia="Calibri" w:hAnsi="Times New Roman" w:cs="Times New Roman"/>
          <w:sz w:val="24"/>
          <w:szCs w:val="20"/>
        </w:rPr>
        <w:t xml:space="preserve">En outre, la problématique traitée s’est focalisée </w:t>
      </w:r>
      <w:r w:rsidRPr="00550D4B">
        <w:rPr>
          <w:rFonts w:ascii="Times New Roman" w:eastAsia="Calibri" w:hAnsi="Times New Roman" w:cs="Times New Roman"/>
          <w:bCs/>
          <w:sz w:val="24"/>
          <w:szCs w:val="20"/>
        </w:rPr>
        <w:t>sur la question suivante :</w:t>
      </w:r>
    </w:p>
    <w:p w:rsidR="00550D4B" w:rsidRPr="00550D4B" w:rsidRDefault="00550D4B" w:rsidP="00550D4B">
      <w:pPr>
        <w:spacing w:before="120" w:beforeAutospacing="0" w:after="120" w:afterAutospacing="0" w:line="360" w:lineRule="auto"/>
        <w:rPr>
          <w:rFonts w:ascii="Times New Roman" w:eastAsia="Calibri" w:hAnsi="Times New Roman" w:cs="Times New Roman"/>
          <w:b/>
          <w:sz w:val="26"/>
          <w:szCs w:val="26"/>
        </w:rPr>
      </w:pPr>
      <w:r w:rsidRPr="00550D4B">
        <w:rPr>
          <w:rFonts w:ascii="Times New Roman" w:eastAsia="Calibri" w:hAnsi="Times New Roman" w:cs="Times New Roman"/>
          <w:b/>
          <w:sz w:val="26"/>
          <w:szCs w:val="26"/>
        </w:rPr>
        <w:t>Quel est l’impact de la mise en place du nouveau Système Comptable Financier (SCF) sur les capitaux propres et les résultats des entreprises du Groupe SONELGAZ ?</w:t>
      </w:r>
    </w:p>
    <w:p w:rsidR="00550D4B" w:rsidRPr="00550D4B" w:rsidRDefault="00550D4B" w:rsidP="00550D4B">
      <w:pPr>
        <w:spacing w:before="120" w:beforeAutospacing="0" w:after="120" w:afterAutospacing="0" w:line="276" w:lineRule="auto"/>
        <w:ind w:firstLine="340"/>
        <w:jc w:val="both"/>
        <w:rPr>
          <w:rFonts w:ascii="Times New Roman" w:eastAsia="Calibri" w:hAnsi="Times New Roman" w:cs="Times New Roman"/>
          <w:bCs/>
          <w:sz w:val="24"/>
          <w:szCs w:val="20"/>
        </w:rPr>
      </w:pPr>
      <w:r w:rsidRPr="00550D4B">
        <w:rPr>
          <w:rFonts w:ascii="Times New Roman" w:eastAsia="Calibri" w:hAnsi="Times New Roman" w:cs="Times New Roman"/>
          <w:bCs/>
          <w:sz w:val="24"/>
          <w:szCs w:val="20"/>
        </w:rPr>
        <w:t xml:space="preserve">Pour répondre à cette question, une approche comparative était adoptée ; qui consistait à comparer entre les  agrégats financiers obtenus selon le Plan Comptable National (PCN) et ceux obtenus après retraitements relatifs au passage vers le nouveau Système Comptable Financier (SCF), en utilisant des méthodes et techniques statistiques, et dont le but était, bien évidemment, d’évaluer l’impact de la transition sur les principaux agrégats financiers des entreprises. Egalement, et afin d’apprécier le passage au SCF au niveau des sociétés algériennes, une description du projet de passage, adopté par les sociétés du Groupe </w:t>
      </w:r>
      <w:proofErr w:type="spellStart"/>
      <w:r w:rsidRPr="00550D4B">
        <w:rPr>
          <w:rFonts w:ascii="Times New Roman" w:eastAsia="Calibri" w:hAnsi="Times New Roman" w:cs="Times New Roman"/>
          <w:bCs/>
          <w:sz w:val="24"/>
          <w:szCs w:val="20"/>
        </w:rPr>
        <w:t>Sonelgaz</w:t>
      </w:r>
      <w:proofErr w:type="spellEnd"/>
      <w:r w:rsidRPr="00550D4B">
        <w:rPr>
          <w:rFonts w:ascii="Times New Roman" w:eastAsia="Calibri" w:hAnsi="Times New Roman" w:cs="Times New Roman"/>
          <w:bCs/>
          <w:sz w:val="24"/>
          <w:szCs w:val="20"/>
        </w:rPr>
        <w:t>, était faîte en soulignant son aboutissement et ses conséquences sur les informations et les pratiques comptables de ces dernières.</w:t>
      </w:r>
    </w:p>
    <w:p w:rsidR="00550D4B" w:rsidRPr="00550D4B" w:rsidRDefault="00550D4B" w:rsidP="00550D4B">
      <w:pPr>
        <w:spacing w:before="120" w:beforeAutospacing="0" w:after="120" w:afterAutospacing="0" w:line="276" w:lineRule="auto"/>
        <w:ind w:firstLine="340"/>
        <w:jc w:val="both"/>
        <w:rPr>
          <w:rFonts w:ascii="Times New Roman" w:eastAsia="Calibri" w:hAnsi="Times New Roman" w:cs="Times New Roman"/>
          <w:bCs/>
          <w:sz w:val="24"/>
          <w:szCs w:val="20"/>
        </w:rPr>
      </w:pPr>
      <w:r w:rsidRPr="00550D4B">
        <w:rPr>
          <w:rFonts w:ascii="Times New Roman" w:eastAsia="Calibri" w:hAnsi="Times New Roman" w:cs="Times New Roman"/>
          <w:bCs/>
          <w:sz w:val="24"/>
          <w:szCs w:val="20"/>
        </w:rPr>
        <w:t>L’objet de la recherche a été divisé en un ensemble de questions permettant de cerner la problématique posée, et dont les principaux réponses peuvent être résumées comme suit.</w:t>
      </w:r>
    </w:p>
    <w:p w:rsidR="00550D4B" w:rsidRPr="00550D4B" w:rsidRDefault="00550D4B" w:rsidP="00550D4B">
      <w:pPr>
        <w:numPr>
          <w:ilvl w:val="0"/>
          <w:numId w:val="84"/>
        </w:numPr>
        <w:spacing w:before="120" w:beforeAutospacing="0" w:after="120" w:afterAutospacing="0" w:line="276" w:lineRule="auto"/>
        <w:ind w:left="357" w:hanging="357"/>
        <w:jc w:val="both"/>
        <w:rPr>
          <w:rFonts w:ascii="Times New Roman" w:eastAsia="Calibri" w:hAnsi="Times New Roman" w:cs="Times New Roman"/>
          <w:bCs/>
          <w:sz w:val="24"/>
          <w:szCs w:val="20"/>
        </w:rPr>
      </w:pPr>
      <w:r w:rsidRPr="00550D4B">
        <w:rPr>
          <w:rFonts w:ascii="Times New Roman" w:eastAsia="Calibri" w:hAnsi="Times New Roman" w:cs="Times New Roman"/>
          <w:bCs/>
          <w:sz w:val="24"/>
          <w:szCs w:val="20"/>
        </w:rPr>
        <w:t xml:space="preserve">Par rapport à la question relative au processus «de normalisation et d’harmonisation comptable internationale» et l’importance de la comptabilité comme critère dans le processus de prise de décision au niveau des entreprises ainsi qu’au niveau des marchés financiers, la recherche théorique a permis de mettre en évidence les conclusions suivantes : </w:t>
      </w:r>
    </w:p>
    <w:p w:rsidR="00550D4B" w:rsidRPr="00550D4B" w:rsidRDefault="00550D4B" w:rsidP="00550D4B">
      <w:pPr>
        <w:numPr>
          <w:ilvl w:val="0"/>
          <w:numId w:val="85"/>
        </w:numPr>
        <w:spacing w:before="120" w:beforeAutospacing="0" w:after="120" w:afterAutospacing="0" w:line="276" w:lineRule="auto"/>
        <w:ind w:left="357" w:hanging="357"/>
        <w:jc w:val="both"/>
        <w:rPr>
          <w:rFonts w:ascii="Times New Roman" w:eastAsia="Calibri" w:hAnsi="Times New Roman" w:cs="Times New Roman"/>
          <w:sz w:val="24"/>
          <w:szCs w:val="24"/>
          <w:lang w:eastAsia="fr-FR"/>
        </w:rPr>
      </w:pPr>
      <w:r w:rsidRPr="00550D4B">
        <w:rPr>
          <w:rFonts w:ascii="Times New Roman" w:eastAsia="Calibri" w:hAnsi="Times New Roman" w:cs="Times New Roman"/>
          <w:sz w:val="24"/>
          <w:szCs w:val="24"/>
          <w:lang w:eastAsia="fr-FR"/>
        </w:rPr>
        <w:t xml:space="preserve">En vertu de la globalisation que connaissent les marchés financiers et la concurrence qui s’est développée en matière d’allocation des ressources, l’information financière est devenue un critère déterminant pour la prise de décision au niveau des entreprises et des marchés financiers. </w:t>
      </w:r>
    </w:p>
    <w:p w:rsidR="00550D4B" w:rsidRPr="00550D4B" w:rsidRDefault="00550D4B" w:rsidP="00550D4B">
      <w:pPr>
        <w:numPr>
          <w:ilvl w:val="0"/>
          <w:numId w:val="85"/>
        </w:numPr>
        <w:spacing w:before="120" w:beforeAutospacing="0" w:after="120" w:afterAutospacing="0" w:line="276" w:lineRule="auto"/>
        <w:ind w:left="357" w:hanging="357"/>
        <w:jc w:val="both"/>
        <w:rPr>
          <w:rFonts w:ascii="Times New Roman" w:eastAsia="Calibri" w:hAnsi="Times New Roman" w:cs="Times New Roman"/>
          <w:sz w:val="24"/>
          <w:szCs w:val="24"/>
          <w:lang w:eastAsia="fr-FR"/>
        </w:rPr>
      </w:pPr>
      <w:r w:rsidRPr="00550D4B">
        <w:rPr>
          <w:rFonts w:ascii="Times New Roman" w:eastAsia="Calibri" w:hAnsi="Times New Roman" w:cs="Times New Roman"/>
          <w:sz w:val="24"/>
          <w:szCs w:val="24"/>
          <w:lang w:eastAsia="fr-FR"/>
        </w:rPr>
        <w:t xml:space="preserve">En outre, la connexion de la comptabilité avec l’environnement social, culturel, politique et économique a fait naitre des divergences en matière de réglementation et de pratiques comptables au niveau des différents pays. Ce qui rend difficile la comparaison des données financières à une échelle internationale.   </w:t>
      </w:r>
    </w:p>
    <w:p w:rsidR="00550D4B" w:rsidRPr="00550D4B" w:rsidRDefault="00550D4B" w:rsidP="00550D4B">
      <w:pPr>
        <w:numPr>
          <w:ilvl w:val="0"/>
          <w:numId w:val="85"/>
        </w:numPr>
        <w:spacing w:before="120" w:beforeAutospacing="0" w:after="120" w:afterAutospacing="0" w:line="276" w:lineRule="auto"/>
        <w:ind w:left="357" w:hanging="357"/>
        <w:jc w:val="both"/>
        <w:rPr>
          <w:rFonts w:ascii="Times New Roman" w:eastAsia="Calibri" w:hAnsi="Times New Roman" w:cs="Times New Roman"/>
          <w:sz w:val="24"/>
          <w:szCs w:val="24"/>
          <w:lang w:eastAsia="fr-FR"/>
        </w:rPr>
      </w:pPr>
      <w:r w:rsidRPr="00550D4B">
        <w:rPr>
          <w:rFonts w:ascii="Times New Roman" w:eastAsia="Calibri" w:hAnsi="Times New Roman" w:cs="Times New Roman"/>
          <w:sz w:val="24"/>
          <w:szCs w:val="24"/>
          <w:lang w:eastAsia="fr-FR"/>
        </w:rPr>
        <w:t xml:space="preserve">Dans un tel contexte, l’histoire récente de la régulation comptable montre que l’objectif principal accordé au processus de régulation comptable internationale est l’harmonisation des pratiques et règles de préparations et de production d’information financière des différents pays. Dans le but d’accroitre la comparabilité </w:t>
      </w:r>
      <w:r w:rsidRPr="00550D4B">
        <w:rPr>
          <w:rFonts w:ascii="Times New Roman" w:eastAsia="Calibri" w:hAnsi="Times New Roman" w:cs="Times New Roman"/>
          <w:sz w:val="24"/>
          <w:szCs w:val="24"/>
          <w:lang w:eastAsia="fr-FR"/>
        </w:rPr>
        <w:lastRenderedPageBreak/>
        <w:t>des comptes et faciliter ainsi le processus de prise de décision. C’est là où demeure l’importance du processus d’harmonisation comptable internationale, qui a aboutis à la mise en place d’un référentiel comptable international établi par un organisme de normalisation privé, à savoir l’IASB ; et qui repose principalement sur les fondements et principes anglo-saxon.</w:t>
      </w:r>
    </w:p>
    <w:p w:rsidR="00550D4B" w:rsidRPr="00550D4B" w:rsidRDefault="00550D4B" w:rsidP="00550D4B">
      <w:pPr>
        <w:numPr>
          <w:ilvl w:val="0"/>
          <w:numId w:val="85"/>
        </w:numPr>
        <w:spacing w:before="0" w:beforeAutospacing="0" w:after="200" w:afterAutospacing="0" w:line="276" w:lineRule="auto"/>
        <w:jc w:val="both"/>
        <w:rPr>
          <w:rFonts w:ascii="Times New Roman" w:eastAsia="Calibri" w:hAnsi="Times New Roman" w:cs="Times New Roman"/>
          <w:sz w:val="24"/>
          <w:szCs w:val="24"/>
          <w:lang w:eastAsia="fr-FR"/>
        </w:rPr>
      </w:pPr>
      <w:r w:rsidRPr="00550D4B">
        <w:rPr>
          <w:rFonts w:ascii="Times New Roman" w:eastAsia="Calibri" w:hAnsi="Times New Roman" w:cs="Times New Roman"/>
          <w:sz w:val="24"/>
          <w:szCs w:val="24"/>
          <w:lang w:eastAsia="fr-FR"/>
        </w:rPr>
        <w:t xml:space="preserve">Il peut être constaté que les normes produites par l’IASB font l’objet d’inspiration pour les différents normalisateurs nationaux à travers le monde. Même les pays en voie de développement, et malgré que le système financier dans ces pays n’a pas </w:t>
      </w:r>
      <w:r w:rsidRPr="00550D4B">
        <w:rPr>
          <w:rFonts w:ascii="Times New Roman" w:eastAsia="Calibri" w:hAnsi="Times New Roman" w:cs="Times New Roman"/>
          <w:sz w:val="24"/>
          <w:szCs w:val="24"/>
          <w:lang w:eastAsia="fr-FR"/>
        </w:rPr>
        <w:t>atteint</w:t>
      </w:r>
      <w:r w:rsidRPr="00550D4B">
        <w:rPr>
          <w:rFonts w:ascii="Times New Roman" w:eastAsia="Calibri" w:hAnsi="Times New Roman" w:cs="Times New Roman"/>
          <w:sz w:val="24"/>
          <w:szCs w:val="24"/>
          <w:lang w:eastAsia="fr-FR"/>
        </w:rPr>
        <w:t xml:space="preserve"> le niveau de développement des marchés internationaux, cherchent à assurer une convergence de leurs systèmes comptables avec le référentiel international.</w:t>
      </w:r>
    </w:p>
    <w:p w:rsidR="00550D4B" w:rsidRPr="00550D4B" w:rsidRDefault="00550D4B" w:rsidP="00550D4B">
      <w:pPr>
        <w:numPr>
          <w:ilvl w:val="0"/>
          <w:numId w:val="84"/>
        </w:numPr>
        <w:spacing w:before="0" w:beforeAutospacing="0" w:after="200" w:afterAutospacing="0" w:line="360" w:lineRule="auto"/>
        <w:jc w:val="both"/>
        <w:rPr>
          <w:rFonts w:ascii="Times New Roman" w:eastAsia="Calibri" w:hAnsi="Times New Roman" w:cs="Times New Roman"/>
          <w:bCs/>
          <w:sz w:val="24"/>
          <w:szCs w:val="20"/>
        </w:rPr>
      </w:pPr>
      <w:r w:rsidRPr="00550D4B">
        <w:rPr>
          <w:rFonts w:ascii="Times New Roman" w:eastAsia="Calibri" w:hAnsi="Times New Roman" w:cs="Times New Roman"/>
          <w:bCs/>
          <w:sz w:val="24"/>
          <w:szCs w:val="20"/>
        </w:rPr>
        <w:t>Suivant les recherches scientifiques menées dans le domaine comptable, les principaux critères qui sont à l’origine de l’impact relatif au changement de normes comptables sur les pratiques et les informations comptables des entités peuvent être résumés comme suit.</w:t>
      </w:r>
    </w:p>
    <w:p w:rsidR="00550D4B" w:rsidRPr="00550D4B" w:rsidRDefault="00550D4B" w:rsidP="00550D4B">
      <w:pPr>
        <w:numPr>
          <w:ilvl w:val="0"/>
          <w:numId w:val="85"/>
        </w:numPr>
        <w:spacing w:before="120" w:beforeAutospacing="0" w:after="120" w:afterAutospacing="0" w:line="276" w:lineRule="auto"/>
        <w:ind w:left="357" w:hanging="357"/>
        <w:jc w:val="both"/>
        <w:rPr>
          <w:rFonts w:ascii="Times New Roman" w:eastAsia="Calibri" w:hAnsi="Times New Roman" w:cs="Times New Roman"/>
          <w:sz w:val="24"/>
          <w:szCs w:val="24"/>
          <w:lang w:eastAsia="fr-FR"/>
        </w:rPr>
      </w:pPr>
      <w:r w:rsidRPr="00550D4B">
        <w:rPr>
          <w:rFonts w:ascii="Times New Roman" w:eastAsia="Calibri" w:hAnsi="Times New Roman" w:cs="Times New Roman"/>
          <w:sz w:val="24"/>
          <w:szCs w:val="24"/>
          <w:lang w:eastAsia="fr-FR"/>
        </w:rPr>
        <w:t>Le référentiel comptable international a introduit un changement radical au cœur des principes de la comptabilité en modifiant ainsi la conception et la pratique comptable ce qui donne lieu à des variations considérables des différents agrégats financiers (en particulier, les capitaux propres et les résultats).</w:t>
      </w:r>
    </w:p>
    <w:p w:rsidR="00550D4B" w:rsidRPr="00550D4B" w:rsidRDefault="00550D4B" w:rsidP="00550D4B">
      <w:pPr>
        <w:numPr>
          <w:ilvl w:val="0"/>
          <w:numId w:val="85"/>
        </w:numPr>
        <w:spacing w:before="120" w:beforeAutospacing="0" w:after="120" w:afterAutospacing="0" w:line="276" w:lineRule="auto"/>
        <w:ind w:left="357" w:hanging="357"/>
        <w:jc w:val="both"/>
        <w:rPr>
          <w:rFonts w:ascii="Times New Roman" w:eastAsia="Calibri" w:hAnsi="Times New Roman" w:cs="Times New Roman"/>
          <w:sz w:val="24"/>
          <w:szCs w:val="24"/>
          <w:lang w:eastAsia="fr-FR"/>
        </w:rPr>
      </w:pPr>
      <w:r w:rsidRPr="00550D4B">
        <w:rPr>
          <w:rFonts w:ascii="Times New Roman" w:eastAsia="Calibri" w:hAnsi="Times New Roman" w:cs="Times New Roman"/>
          <w:sz w:val="24"/>
          <w:szCs w:val="24"/>
        </w:rPr>
        <w:t>L’impact relatif à la transition d’un système comptable vers un autre dépend, en plus des changements apportés par le nouveau système, des décisions et des choix comptables des dirigeants en outre cet impact est lié à la politique comptable des entreprises.</w:t>
      </w:r>
    </w:p>
    <w:p w:rsidR="00550D4B" w:rsidRPr="00550D4B" w:rsidRDefault="00550D4B" w:rsidP="00550D4B">
      <w:pPr>
        <w:numPr>
          <w:ilvl w:val="0"/>
          <w:numId w:val="85"/>
        </w:numPr>
        <w:spacing w:before="120" w:beforeAutospacing="0" w:after="120" w:afterAutospacing="0" w:line="276" w:lineRule="auto"/>
        <w:ind w:left="357" w:hanging="357"/>
        <w:jc w:val="both"/>
        <w:rPr>
          <w:rFonts w:ascii="Times New Roman" w:eastAsia="Calibri" w:hAnsi="Times New Roman" w:cs="Times New Roman"/>
          <w:sz w:val="24"/>
          <w:szCs w:val="24"/>
          <w:lang w:eastAsia="fr-FR"/>
        </w:rPr>
      </w:pPr>
      <w:r w:rsidRPr="00550D4B">
        <w:rPr>
          <w:rFonts w:ascii="Times New Roman" w:eastAsia="Calibri" w:hAnsi="Times New Roman" w:cs="Times New Roman"/>
          <w:sz w:val="24"/>
          <w:szCs w:val="24"/>
          <w:lang w:eastAsia="fr-FR"/>
        </w:rPr>
        <w:t xml:space="preserve">Effectivement, la possibilité de mettre en place des politiques comptables est toujours possible même dans le cadre des normes internationales, qui sont supposées permettre la diminution des options comptables. Ces dernières présentent une importante marge de manipulation qui fait ressortir, de manière générale, deux types d’options : des options relatives aux exemptions, liées à la première application des normes internationales, et des options permanentes contenues dans ces normes.     </w:t>
      </w:r>
    </w:p>
    <w:p w:rsidR="00550D4B" w:rsidRPr="00550D4B" w:rsidRDefault="00550D4B" w:rsidP="00550D4B">
      <w:pPr>
        <w:numPr>
          <w:ilvl w:val="0"/>
          <w:numId w:val="85"/>
        </w:numPr>
        <w:spacing w:before="120" w:beforeAutospacing="0" w:after="120" w:afterAutospacing="0" w:line="276" w:lineRule="auto"/>
        <w:ind w:left="357" w:hanging="357"/>
        <w:jc w:val="both"/>
        <w:rPr>
          <w:rFonts w:ascii="Times New Roman" w:eastAsia="Calibri" w:hAnsi="Times New Roman" w:cs="Times New Roman"/>
          <w:sz w:val="24"/>
          <w:szCs w:val="24"/>
          <w:lang w:eastAsia="fr-FR"/>
        </w:rPr>
      </w:pPr>
      <w:r w:rsidRPr="00550D4B">
        <w:rPr>
          <w:rFonts w:ascii="Times New Roman" w:eastAsia="Calibri" w:hAnsi="Times New Roman" w:cs="Times New Roman"/>
          <w:sz w:val="24"/>
          <w:szCs w:val="24"/>
          <w:lang w:eastAsia="fr-FR"/>
        </w:rPr>
        <w:t xml:space="preserve">Il existe trois types de facteurs explicatifs des choix d’options comptables : politico-contractuels, contextuels et institutionnels, et comportementaux. </w:t>
      </w:r>
    </w:p>
    <w:p w:rsidR="00550D4B" w:rsidRPr="00550D4B" w:rsidRDefault="00550D4B" w:rsidP="00550D4B">
      <w:pPr>
        <w:spacing w:before="120" w:beforeAutospacing="0" w:after="120" w:afterAutospacing="0" w:line="276" w:lineRule="auto"/>
        <w:ind w:left="426"/>
        <w:jc w:val="both"/>
        <w:rPr>
          <w:rFonts w:ascii="Times New Roman" w:eastAsia="Calibri" w:hAnsi="Times New Roman" w:cs="Times New Roman"/>
          <w:sz w:val="24"/>
          <w:szCs w:val="24"/>
          <w:lang w:eastAsia="fr-FR"/>
        </w:rPr>
      </w:pPr>
      <w:r w:rsidRPr="00550D4B">
        <w:rPr>
          <w:rFonts w:ascii="Times New Roman" w:eastAsia="Calibri" w:hAnsi="Times New Roman" w:cs="Times New Roman"/>
          <w:sz w:val="24"/>
          <w:szCs w:val="24"/>
          <w:lang w:eastAsia="fr-FR"/>
        </w:rPr>
        <w:t xml:space="preserve">Selon le premier type, un lien est constaté entre les choix d’options comptables et les caractéristiques intrinsèques des entreprises. En outre, les décisions comptables varient selon l’influence des coûts politiques ainsi que l’influence des coûts contractuels. </w:t>
      </w:r>
    </w:p>
    <w:p w:rsidR="00550D4B" w:rsidRPr="00550D4B" w:rsidRDefault="00550D4B" w:rsidP="00550D4B">
      <w:pPr>
        <w:spacing w:before="120" w:beforeAutospacing="0" w:after="120" w:afterAutospacing="0" w:line="276" w:lineRule="auto"/>
        <w:ind w:left="426"/>
        <w:jc w:val="both"/>
        <w:rPr>
          <w:rFonts w:ascii="Times New Roman" w:eastAsia="Calibri" w:hAnsi="Times New Roman" w:cs="Times New Roman"/>
          <w:sz w:val="24"/>
          <w:szCs w:val="24"/>
          <w:lang w:eastAsia="fr-FR"/>
        </w:rPr>
      </w:pPr>
      <w:r w:rsidRPr="00550D4B">
        <w:rPr>
          <w:rFonts w:ascii="Times New Roman" w:eastAsia="Calibri" w:hAnsi="Times New Roman" w:cs="Times New Roman"/>
          <w:sz w:val="24"/>
          <w:szCs w:val="24"/>
          <w:lang w:eastAsia="fr-FR"/>
        </w:rPr>
        <w:t xml:space="preserve">En outre, l’approche institutionnelle explique les choix comptables par les pressions que peuvent subir les entreprises des institutions comptables externes, tel que :   </w:t>
      </w:r>
    </w:p>
    <w:p w:rsidR="00550D4B" w:rsidRPr="00550D4B" w:rsidRDefault="00550D4B" w:rsidP="00550D4B">
      <w:pPr>
        <w:spacing w:before="120" w:beforeAutospacing="0" w:after="120" w:afterAutospacing="0" w:line="276" w:lineRule="auto"/>
        <w:ind w:left="426"/>
        <w:jc w:val="both"/>
        <w:rPr>
          <w:rFonts w:ascii="Times New Roman" w:eastAsia="Calibri" w:hAnsi="Times New Roman" w:cs="Times New Roman"/>
          <w:sz w:val="24"/>
          <w:szCs w:val="24"/>
          <w:lang w:eastAsia="fr-FR"/>
        </w:rPr>
      </w:pPr>
      <w:r w:rsidRPr="00550D4B">
        <w:rPr>
          <w:rFonts w:ascii="Times New Roman" w:eastAsia="Calibri" w:hAnsi="Times New Roman" w:cs="Times New Roman"/>
          <w:sz w:val="24"/>
          <w:szCs w:val="24"/>
          <w:lang w:eastAsia="fr-FR"/>
        </w:rPr>
        <w:lastRenderedPageBreak/>
        <w:t xml:space="preserve">Selon la théorie des conventions, dans un contexte incertain, la firme cherche la reconnaissance de l’environnement socio-économique en adoptant des options légitimées par la communauté. Ce qui peut expliquer l’homogénéité des pratiques et des options comptables adoptées. </w:t>
      </w:r>
    </w:p>
    <w:p w:rsidR="00550D4B" w:rsidRPr="00550D4B" w:rsidRDefault="00550D4B" w:rsidP="00550D4B">
      <w:pPr>
        <w:numPr>
          <w:ilvl w:val="0"/>
          <w:numId w:val="85"/>
        </w:numPr>
        <w:spacing w:before="120" w:beforeAutospacing="0" w:after="120" w:afterAutospacing="0" w:line="276" w:lineRule="auto"/>
        <w:ind w:left="357" w:hanging="357"/>
        <w:jc w:val="both"/>
        <w:rPr>
          <w:rFonts w:ascii="Times New Roman" w:eastAsia="Calibri" w:hAnsi="Times New Roman" w:cs="Times New Roman"/>
          <w:sz w:val="24"/>
          <w:szCs w:val="24"/>
          <w:lang w:eastAsia="fr-FR"/>
        </w:rPr>
      </w:pPr>
      <w:r w:rsidRPr="00550D4B">
        <w:rPr>
          <w:rFonts w:ascii="Times New Roman" w:eastAsia="Calibri" w:hAnsi="Times New Roman" w:cs="Times New Roman"/>
          <w:sz w:val="24"/>
          <w:szCs w:val="24"/>
        </w:rPr>
        <w:t>Les résultats des recherches effectuées sur la première application des normes internationales diffèrent selon le contexte et l’environnement au quel ces normes sont appliquées. En général, l’impact de cette  transition reste limité en termes de variation des capitaux propres ; par contre la majorité des recherches montrent que cet impact est plus considérable sur les résultats en le comparant à celui constaté sur les capitaux propres.</w:t>
      </w:r>
    </w:p>
    <w:p w:rsidR="00550D4B" w:rsidRPr="00550D4B" w:rsidRDefault="00550D4B" w:rsidP="00550D4B">
      <w:pPr>
        <w:numPr>
          <w:ilvl w:val="0"/>
          <w:numId w:val="84"/>
        </w:numPr>
        <w:spacing w:before="120" w:beforeAutospacing="0" w:after="120" w:afterAutospacing="0" w:line="276" w:lineRule="auto"/>
        <w:jc w:val="both"/>
        <w:rPr>
          <w:rFonts w:ascii="Times New Roman" w:eastAsia="Calibri" w:hAnsi="Times New Roman" w:cs="Times New Roman"/>
          <w:bCs/>
          <w:sz w:val="24"/>
          <w:szCs w:val="20"/>
        </w:rPr>
      </w:pPr>
      <w:r w:rsidRPr="00550D4B">
        <w:rPr>
          <w:rFonts w:ascii="Times New Roman" w:eastAsia="Calibri" w:hAnsi="Times New Roman" w:cs="Times New Roman"/>
          <w:bCs/>
          <w:sz w:val="24"/>
          <w:szCs w:val="20"/>
        </w:rPr>
        <w:t xml:space="preserve">Concernant la question relative aux changements apportés par le SCF par rapport à l’ancien plan comptable, et leur impact éventuel sur les capitaux propres et résultats des entreprises, nous nous sommes conclus aux points suivants. </w:t>
      </w:r>
    </w:p>
    <w:p w:rsidR="00550D4B" w:rsidRPr="00550D4B" w:rsidRDefault="00550D4B" w:rsidP="00550D4B">
      <w:pPr>
        <w:numPr>
          <w:ilvl w:val="0"/>
          <w:numId w:val="85"/>
        </w:numPr>
        <w:spacing w:before="120" w:beforeAutospacing="0" w:after="120" w:afterAutospacing="0" w:line="276" w:lineRule="auto"/>
        <w:ind w:left="357" w:hanging="357"/>
        <w:jc w:val="both"/>
        <w:rPr>
          <w:rFonts w:ascii="Times New Roman" w:eastAsia="Calibri" w:hAnsi="Times New Roman" w:cs="Times New Roman"/>
          <w:sz w:val="24"/>
          <w:szCs w:val="24"/>
        </w:rPr>
      </w:pPr>
      <w:r w:rsidRPr="00550D4B">
        <w:rPr>
          <w:rFonts w:ascii="Times New Roman" w:eastAsia="Calibri" w:hAnsi="Times New Roman" w:cs="Times New Roman"/>
          <w:sz w:val="24"/>
          <w:szCs w:val="24"/>
        </w:rPr>
        <w:t xml:space="preserve">Le Plan Comptable National était conçue dans une perspective qui cherchait à répondre aux besoins de l’état dans le cadre d’une économie planifiée, par contre le Système Comptable Financier répond au contexte de l’économie de marché. </w:t>
      </w:r>
    </w:p>
    <w:p w:rsidR="00550D4B" w:rsidRPr="00550D4B" w:rsidRDefault="00550D4B" w:rsidP="00550D4B">
      <w:pPr>
        <w:numPr>
          <w:ilvl w:val="0"/>
          <w:numId w:val="85"/>
        </w:numPr>
        <w:spacing w:before="120" w:beforeAutospacing="0" w:after="120" w:afterAutospacing="0" w:line="276" w:lineRule="auto"/>
        <w:ind w:left="357" w:hanging="357"/>
        <w:jc w:val="both"/>
        <w:rPr>
          <w:rFonts w:ascii="Times New Roman" w:eastAsia="Calibri" w:hAnsi="Times New Roman" w:cs="Times New Roman"/>
          <w:sz w:val="24"/>
          <w:szCs w:val="24"/>
        </w:rPr>
      </w:pPr>
      <w:r w:rsidRPr="00550D4B">
        <w:rPr>
          <w:rFonts w:ascii="Times New Roman" w:eastAsia="Calibri" w:hAnsi="Times New Roman" w:cs="Times New Roman"/>
          <w:sz w:val="24"/>
          <w:szCs w:val="24"/>
        </w:rPr>
        <w:t>Sous le PCN, la tenue de la comptabilité était toujours rattachée aux obligations légales, en premier lieu d’ordre fiscal. En revanche, le Système Comptable Financier, inspiré principalement du référentiel comptable international, vient concrétiser de nouveaux principes fondés principalement sur la primauté de la réalité économique sur la forme juridique dont la finalité est de produire une information financière pertinente et transparente, adressée à un large éventail d’utilisateurs et plus particulièrement aux apporteurs des ressources de financement.</w:t>
      </w:r>
    </w:p>
    <w:p w:rsidR="00550D4B" w:rsidRPr="00550D4B" w:rsidRDefault="00550D4B" w:rsidP="00550D4B">
      <w:pPr>
        <w:numPr>
          <w:ilvl w:val="0"/>
          <w:numId w:val="85"/>
        </w:numPr>
        <w:spacing w:before="120" w:beforeAutospacing="0" w:after="120" w:afterAutospacing="0" w:line="276" w:lineRule="auto"/>
        <w:ind w:left="357" w:hanging="357"/>
        <w:jc w:val="both"/>
        <w:rPr>
          <w:rFonts w:ascii="Times New Roman" w:eastAsia="Calibri" w:hAnsi="Times New Roman" w:cs="Times New Roman"/>
          <w:sz w:val="24"/>
          <w:szCs w:val="24"/>
        </w:rPr>
      </w:pPr>
      <w:r w:rsidRPr="00550D4B">
        <w:rPr>
          <w:rFonts w:ascii="Times New Roman" w:eastAsia="Calibri" w:hAnsi="Times New Roman" w:cs="Times New Roman"/>
          <w:sz w:val="24"/>
          <w:szCs w:val="24"/>
        </w:rPr>
        <w:t>Les divergences entre les deux systèmes sont constatées par rapport aux trois principaux aspects suivants : les principes et conventions comptables, les règles de comptabilisation et les méthodes d’évaluation et d’estimation, ainsi que le mode de  présentations des informations financières.</w:t>
      </w:r>
    </w:p>
    <w:p w:rsidR="00550D4B" w:rsidRPr="00550D4B" w:rsidRDefault="00550D4B" w:rsidP="00550D4B">
      <w:pPr>
        <w:numPr>
          <w:ilvl w:val="0"/>
          <w:numId w:val="85"/>
        </w:numPr>
        <w:spacing w:before="120" w:beforeAutospacing="0" w:after="120" w:afterAutospacing="0" w:line="276" w:lineRule="auto"/>
        <w:ind w:left="357" w:hanging="357"/>
        <w:jc w:val="both"/>
        <w:rPr>
          <w:rFonts w:ascii="Times New Roman" w:eastAsia="Calibri" w:hAnsi="Times New Roman" w:cs="Times New Roman"/>
          <w:sz w:val="24"/>
          <w:szCs w:val="24"/>
        </w:rPr>
      </w:pPr>
      <w:r w:rsidRPr="00550D4B">
        <w:rPr>
          <w:rFonts w:ascii="Times New Roman" w:eastAsia="Calibri" w:hAnsi="Times New Roman" w:cs="Times New Roman"/>
          <w:sz w:val="24"/>
          <w:szCs w:val="24"/>
        </w:rPr>
        <w:t xml:space="preserve">La transition vers le SCF est supposée impacter les comptes des entreprises. Cet impact va concerner également les capitaux propres et les résultats de ces entreprises.   </w:t>
      </w:r>
    </w:p>
    <w:p w:rsidR="00550D4B" w:rsidRPr="00550D4B" w:rsidRDefault="00550D4B" w:rsidP="00550D4B">
      <w:pPr>
        <w:numPr>
          <w:ilvl w:val="0"/>
          <w:numId w:val="85"/>
        </w:numPr>
        <w:spacing w:before="120" w:beforeAutospacing="0" w:after="120" w:afterAutospacing="0" w:line="276" w:lineRule="auto"/>
        <w:ind w:left="357" w:hanging="357"/>
        <w:jc w:val="both"/>
        <w:rPr>
          <w:rFonts w:ascii="Times New Roman" w:eastAsia="Calibri" w:hAnsi="Times New Roman" w:cs="Times New Roman"/>
          <w:sz w:val="24"/>
          <w:szCs w:val="24"/>
        </w:rPr>
      </w:pPr>
      <w:r w:rsidRPr="00550D4B">
        <w:rPr>
          <w:rFonts w:ascii="Times New Roman" w:eastAsia="Calibri" w:hAnsi="Times New Roman" w:cs="Times New Roman"/>
          <w:sz w:val="24"/>
          <w:szCs w:val="24"/>
        </w:rPr>
        <w:t xml:space="preserve">En général, l’impact de la transition est </w:t>
      </w:r>
      <w:r w:rsidRPr="00550D4B">
        <w:rPr>
          <w:rFonts w:ascii="Times New Roman" w:eastAsia="Calibri" w:hAnsi="Times New Roman" w:cs="Times New Roman"/>
          <w:sz w:val="24"/>
          <w:szCs w:val="24"/>
        </w:rPr>
        <w:t>dû</w:t>
      </w:r>
      <w:r w:rsidRPr="00550D4B">
        <w:rPr>
          <w:rFonts w:ascii="Times New Roman" w:eastAsia="Calibri" w:hAnsi="Times New Roman" w:cs="Times New Roman"/>
          <w:sz w:val="24"/>
          <w:szCs w:val="24"/>
        </w:rPr>
        <w:t xml:space="preserve"> à l’application des nouvelles dispositions du SCF en </w:t>
      </w:r>
      <w:proofErr w:type="gramStart"/>
      <w:r w:rsidRPr="00550D4B">
        <w:rPr>
          <w:rFonts w:ascii="Times New Roman" w:eastAsia="Calibri" w:hAnsi="Times New Roman" w:cs="Times New Roman"/>
          <w:sz w:val="24"/>
          <w:szCs w:val="24"/>
        </w:rPr>
        <w:t>terme</w:t>
      </w:r>
      <w:proofErr w:type="gramEnd"/>
      <w:r w:rsidRPr="00550D4B">
        <w:rPr>
          <w:rFonts w:ascii="Times New Roman" w:eastAsia="Calibri" w:hAnsi="Times New Roman" w:cs="Times New Roman"/>
          <w:sz w:val="24"/>
          <w:szCs w:val="24"/>
        </w:rPr>
        <w:t xml:space="preserve"> de règles de comptabilisation et d’évaluation, et est lié aux options retenues par les entreprises lors de la transition.</w:t>
      </w:r>
    </w:p>
    <w:p w:rsidR="00550D4B" w:rsidRPr="00550D4B" w:rsidRDefault="00550D4B" w:rsidP="00550D4B">
      <w:pPr>
        <w:numPr>
          <w:ilvl w:val="0"/>
          <w:numId w:val="84"/>
        </w:numPr>
        <w:spacing w:before="0" w:beforeAutospacing="0" w:after="200" w:afterAutospacing="0" w:line="360" w:lineRule="auto"/>
        <w:jc w:val="both"/>
        <w:rPr>
          <w:rFonts w:ascii="Times New Roman" w:eastAsia="Calibri" w:hAnsi="Times New Roman" w:cs="Times New Roman"/>
          <w:bCs/>
          <w:sz w:val="24"/>
          <w:szCs w:val="20"/>
        </w:rPr>
      </w:pPr>
      <w:r w:rsidRPr="00550D4B">
        <w:rPr>
          <w:rFonts w:ascii="Times New Roman" w:eastAsia="Calibri" w:hAnsi="Times New Roman" w:cs="Times New Roman"/>
          <w:bCs/>
          <w:sz w:val="24"/>
          <w:szCs w:val="20"/>
        </w:rPr>
        <w:t xml:space="preserve">Et en fin, l’étude pratique a permis d’apporter des éléments de réponse concernant l’implémentation du nouveau Système Comptable Financier (SCF) et son impact sur leurs capitaux propres et résultats des entreprises algériennes. Les constats de cette étude peuvent être résumés comme suit.    </w:t>
      </w:r>
    </w:p>
    <w:p w:rsidR="00550D4B" w:rsidRPr="00550D4B" w:rsidRDefault="00550D4B" w:rsidP="00550D4B">
      <w:pPr>
        <w:numPr>
          <w:ilvl w:val="0"/>
          <w:numId w:val="85"/>
        </w:numPr>
        <w:spacing w:before="120" w:beforeAutospacing="0" w:after="120" w:afterAutospacing="0" w:line="276" w:lineRule="auto"/>
        <w:ind w:left="357" w:hanging="357"/>
        <w:jc w:val="both"/>
        <w:rPr>
          <w:rFonts w:ascii="Times New Roman" w:eastAsia="Calibri" w:hAnsi="Times New Roman" w:cs="Times New Roman"/>
          <w:sz w:val="24"/>
          <w:szCs w:val="24"/>
          <w:lang w:eastAsia="fr-FR"/>
        </w:rPr>
      </w:pPr>
      <w:r w:rsidRPr="00550D4B">
        <w:rPr>
          <w:rFonts w:ascii="Times New Roman" w:eastAsia="Calibri" w:hAnsi="Times New Roman" w:cs="Times New Roman"/>
          <w:sz w:val="24"/>
          <w:szCs w:val="24"/>
          <w:lang w:eastAsia="fr-FR"/>
        </w:rPr>
        <w:lastRenderedPageBreak/>
        <w:t xml:space="preserve">Afin d’apprécier l’application du SCF, il a  fallu étudier deux aspects principaux : l’organisation interne mise en place pour implémenter le nouveau Système comptable ; et les choix comptables effectués par le groupe </w:t>
      </w:r>
      <w:proofErr w:type="spellStart"/>
      <w:r w:rsidRPr="00550D4B">
        <w:rPr>
          <w:rFonts w:ascii="Times New Roman" w:eastAsia="Calibri" w:hAnsi="Times New Roman" w:cs="Times New Roman"/>
          <w:sz w:val="24"/>
          <w:szCs w:val="24"/>
          <w:lang w:eastAsia="fr-FR"/>
        </w:rPr>
        <w:t>Sonelgaz</w:t>
      </w:r>
      <w:proofErr w:type="spellEnd"/>
      <w:r w:rsidRPr="00550D4B">
        <w:rPr>
          <w:rFonts w:ascii="Times New Roman" w:eastAsia="Calibri" w:hAnsi="Times New Roman" w:cs="Times New Roman"/>
          <w:sz w:val="24"/>
          <w:szCs w:val="24"/>
          <w:lang w:eastAsia="fr-FR"/>
        </w:rPr>
        <w:t xml:space="preserve"> ;</w:t>
      </w:r>
    </w:p>
    <w:p w:rsidR="00550D4B" w:rsidRPr="00550D4B" w:rsidRDefault="00550D4B" w:rsidP="00550D4B">
      <w:pPr>
        <w:numPr>
          <w:ilvl w:val="0"/>
          <w:numId w:val="85"/>
        </w:numPr>
        <w:spacing w:before="120" w:beforeAutospacing="0" w:after="120" w:afterAutospacing="0" w:line="276" w:lineRule="auto"/>
        <w:ind w:left="357" w:hanging="357"/>
        <w:jc w:val="both"/>
        <w:rPr>
          <w:rFonts w:ascii="Times New Roman" w:eastAsia="Calibri" w:hAnsi="Times New Roman" w:cs="Times New Roman"/>
          <w:sz w:val="24"/>
          <w:szCs w:val="24"/>
          <w:lang w:eastAsia="fr-FR"/>
        </w:rPr>
      </w:pPr>
      <w:r w:rsidRPr="00550D4B">
        <w:rPr>
          <w:rFonts w:ascii="Times New Roman" w:eastAsia="Calibri" w:hAnsi="Times New Roman" w:cs="Times New Roman"/>
          <w:sz w:val="24"/>
          <w:szCs w:val="24"/>
          <w:lang w:eastAsia="fr-FR"/>
        </w:rPr>
        <w:t xml:space="preserve">Pour l’organisation du passage au SCF,  le Groupe a constitué des équipes de travail qui ont pour mission de définir les changements normatifs et techniques, leurs impacts sur les états financiers, ainsi que leurs effets sur les procédures de </w:t>
      </w:r>
      <w:proofErr w:type="spellStart"/>
      <w:r w:rsidRPr="00550D4B">
        <w:rPr>
          <w:rFonts w:ascii="Times New Roman" w:eastAsia="Calibri" w:hAnsi="Times New Roman" w:cs="Times New Roman"/>
          <w:i/>
          <w:iCs/>
          <w:sz w:val="24"/>
          <w:szCs w:val="24"/>
          <w:lang w:eastAsia="fr-FR"/>
        </w:rPr>
        <w:t>reporting</w:t>
      </w:r>
      <w:proofErr w:type="spellEnd"/>
      <w:r w:rsidRPr="00550D4B">
        <w:rPr>
          <w:rFonts w:ascii="Times New Roman" w:eastAsia="Calibri" w:hAnsi="Times New Roman" w:cs="Times New Roman"/>
          <w:i/>
          <w:iCs/>
          <w:sz w:val="24"/>
          <w:szCs w:val="24"/>
          <w:lang w:eastAsia="fr-FR"/>
        </w:rPr>
        <w:t xml:space="preserve"> </w:t>
      </w:r>
      <w:r w:rsidRPr="00550D4B">
        <w:rPr>
          <w:rFonts w:ascii="Times New Roman" w:eastAsia="Calibri" w:hAnsi="Times New Roman" w:cs="Times New Roman"/>
          <w:sz w:val="24"/>
          <w:szCs w:val="24"/>
          <w:lang w:eastAsia="fr-FR"/>
        </w:rPr>
        <w:t>et le système d’information comptable. Elles ont été assistées dans leurs travaux par les experts comptables.</w:t>
      </w:r>
    </w:p>
    <w:p w:rsidR="00550D4B" w:rsidRPr="00550D4B" w:rsidRDefault="00550D4B" w:rsidP="00550D4B">
      <w:pPr>
        <w:numPr>
          <w:ilvl w:val="0"/>
          <w:numId w:val="85"/>
        </w:numPr>
        <w:spacing w:before="120" w:beforeAutospacing="0" w:after="120" w:afterAutospacing="0" w:line="276" w:lineRule="auto"/>
        <w:ind w:left="357" w:hanging="357"/>
        <w:jc w:val="both"/>
        <w:rPr>
          <w:rFonts w:ascii="Times New Roman" w:eastAsia="Calibri" w:hAnsi="Times New Roman" w:cs="Times New Roman"/>
          <w:sz w:val="24"/>
          <w:szCs w:val="24"/>
          <w:lang w:eastAsia="fr-FR"/>
        </w:rPr>
      </w:pPr>
      <w:r w:rsidRPr="00550D4B">
        <w:rPr>
          <w:rFonts w:ascii="Times New Roman" w:eastAsia="Calibri" w:hAnsi="Times New Roman" w:cs="Times New Roman"/>
          <w:sz w:val="24"/>
          <w:szCs w:val="24"/>
          <w:lang w:eastAsia="fr-FR"/>
        </w:rPr>
        <w:t>Nous avons constaté, également, que les choix comptables du groupe étaient influencés par les avis, les conseils et les interprétations des commissaires aux comptes, ce qui peut être interprété par la théorie institutionnelle qui suppose que les choix comptables sont liés aux pressions</w:t>
      </w:r>
      <w:r w:rsidRPr="00550D4B">
        <w:rPr>
          <w:rFonts w:ascii="Times New Roman" w:eastAsia="Calibri" w:hAnsi="Times New Roman" w:cs="Times New Roman"/>
          <w:b/>
          <w:bCs/>
          <w:sz w:val="24"/>
          <w:szCs w:val="24"/>
          <w:lang w:eastAsia="fr-FR"/>
        </w:rPr>
        <w:t xml:space="preserve"> </w:t>
      </w:r>
      <w:r w:rsidRPr="00550D4B">
        <w:rPr>
          <w:rFonts w:ascii="Times New Roman" w:eastAsia="Calibri" w:hAnsi="Times New Roman" w:cs="Times New Roman"/>
          <w:sz w:val="24"/>
          <w:szCs w:val="24"/>
          <w:lang w:eastAsia="fr-FR"/>
        </w:rPr>
        <w:t>des institutions comptables.</w:t>
      </w:r>
    </w:p>
    <w:p w:rsidR="00550D4B" w:rsidRPr="00550D4B" w:rsidRDefault="00550D4B" w:rsidP="00550D4B">
      <w:pPr>
        <w:numPr>
          <w:ilvl w:val="0"/>
          <w:numId w:val="85"/>
        </w:numPr>
        <w:spacing w:before="120" w:beforeAutospacing="0" w:after="120" w:afterAutospacing="0" w:line="276" w:lineRule="auto"/>
        <w:ind w:left="357" w:hanging="357"/>
        <w:jc w:val="both"/>
        <w:rPr>
          <w:rFonts w:ascii="Times New Roman" w:eastAsia="Calibri" w:hAnsi="Times New Roman" w:cs="Times New Roman"/>
          <w:sz w:val="24"/>
          <w:szCs w:val="24"/>
          <w:lang w:eastAsia="fr-FR"/>
        </w:rPr>
      </w:pPr>
      <w:r w:rsidRPr="00550D4B">
        <w:rPr>
          <w:rFonts w:ascii="Times New Roman" w:eastAsia="Calibri" w:hAnsi="Times New Roman" w:cs="Times New Roman"/>
          <w:sz w:val="24"/>
          <w:szCs w:val="24"/>
          <w:lang w:eastAsia="fr-FR"/>
        </w:rPr>
        <w:t>En outre, la complexité normative et technique du SCF</w:t>
      </w:r>
      <w:r w:rsidRPr="00550D4B">
        <w:rPr>
          <w:rFonts w:ascii="Calibri" w:eastAsia="Calibri" w:hAnsi="Calibri" w:cs="Arial"/>
        </w:rPr>
        <w:t xml:space="preserve"> </w:t>
      </w:r>
      <w:r w:rsidRPr="00550D4B">
        <w:rPr>
          <w:rFonts w:ascii="Times New Roman" w:eastAsia="Calibri" w:hAnsi="Times New Roman" w:cs="Times New Roman"/>
          <w:sz w:val="24"/>
          <w:szCs w:val="24"/>
          <w:lang w:eastAsia="fr-FR"/>
        </w:rPr>
        <w:t>a mis en lumière les capacités cognitives limitées des praticiens qui ne sont pas en mesure d’appréhender l’intégralité du contenu du SCF ni ces principes,  de ce fait ils ne pouvaient anticiper les effets et impacts des nouvelles dispositions du SCF et de leurs choix sur les états financiers.</w:t>
      </w:r>
    </w:p>
    <w:p w:rsidR="00550D4B" w:rsidRPr="00550D4B" w:rsidRDefault="00550D4B" w:rsidP="00550D4B">
      <w:pPr>
        <w:numPr>
          <w:ilvl w:val="0"/>
          <w:numId w:val="85"/>
        </w:numPr>
        <w:spacing w:before="120" w:beforeAutospacing="0" w:after="120" w:afterAutospacing="0" w:line="276" w:lineRule="auto"/>
        <w:ind w:left="357" w:hanging="357"/>
        <w:jc w:val="both"/>
        <w:rPr>
          <w:rFonts w:ascii="Times New Roman" w:eastAsia="Calibri" w:hAnsi="Times New Roman" w:cs="Times New Roman"/>
          <w:sz w:val="24"/>
          <w:szCs w:val="24"/>
          <w:lang w:eastAsia="fr-FR"/>
        </w:rPr>
      </w:pPr>
      <w:r w:rsidRPr="00550D4B">
        <w:rPr>
          <w:rFonts w:ascii="Times New Roman" w:eastAsia="Calibri" w:hAnsi="Times New Roman" w:cs="Times New Roman"/>
          <w:sz w:val="24"/>
          <w:szCs w:val="24"/>
          <w:lang w:eastAsia="fr-FR"/>
        </w:rPr>
        <w:t xml:space="preserve">Dans ces conditions, les préparateurs des comptes se sont tournés en priorité vers les pratiques et les choix effectués par d’autres groupe situés en Algérie ou à l’étranger afin de s’assurer de la pertinence de  leurs méthodes et se conformer aux pratiques reconnues par les praticiens du domaine (ce qui répond au fondement de la théorie des conventions). </w:t>
      </w:r>
    </w:p>
    <w:p w:rsidR="00550D4B" w:rsidRPr="00550D4B" w:rsidRDefault="00550D4B" w:rsidP="00550D4B">
      <w:pPr>
        <w:numPr>
          <w:ilvl w:val="0"/>
          <w:numId w:val="85"/>
        </w:numPr>
        <w:spacing w:before="120" w:beforeAutospacing="0" w:after="120" w:afterAutospacing="0" w:line="276" w:lineRule="auto"/>
        <w:ind w:left="357" w:hanging="357"/>
        <w:jc w:val="both"/>
        <w:rPr>
          <w:rFonts w:ascii="Times New Roman" w:eastAsia="Calibri" w:hAnsi="Times New Roman" w:cs="Times New Roman"/>
          <w:sz w:val="24"/>
          <w:szCs w:val="24"/>
          <w:lang w:eastAsia="fr-FR"/>
        </w:rPr>
      </w:pPr>
      <w:r w:rsidRPr="00550D4B">
        <w:rPr>
          <w:rFonts w:ascii="Times New Roman" w:eastAsia="Calibri" w:hAnsi="Times New Roman" w:cs="Times New Roman"/>
          <w:sz w:val="24"/>
          <w:szCs w:val="24"/>
          <w:lang w:eastAsia="fr-FR"/>
        </w:rPr>
        <w:t>En outre, pour les praticiens, la première application du SCF était considérée comme une tache extrêmement complexe chose qui a  révélé la complexité conceptuelle et technique du SCF, ainsi que la difficulté de sa mise en application pour les entreprises.</w:t>
      </w:r>
      <w:r w:rsidRPr="00550D4B">
        <w:rPr>
          <w:rFonts w:ascii="Times-Roman" w:eastAsia="Calibri" w:hAnsi="Times-Roman" w:cs="Times-Roman"/>
          <w:sz w:val="24"/>
          <w:szCs w:val="24"/>
        </w:rPr>
        <w:t xml:space="preserve"> </w:t>
      </w:r>
    </w:p>
    <w:p w:rsidR="00550D4B" w:rsidRPr="00550D4B" w:rsidRDefault="00550D4B" w:rsidP="00550D4B">
      <w:pPr>
        <w:numPr>
          <w:ilvl w:val="0"/>
          <w:numId w:val="85"/>
        </w:numPr>
        <w:spacing w:before="120" w:beforeAutospacing="0" w:after="120" w:afterAutospacing="0" w:line="276" w:lineRule="auto"/>
        <w:ind w:left="357" w:hanging="357"/>
        <w:jc w:val="both"/>
        <w:rPr>
          <w:rFonts w:ascii="Times New Roman" w:eastAsia="Calibri" w:hAnsi="Times New Roman" w:cs="Times New Roman"/>
          <w:sz w:val="24"/>
          <w:szCs w:val="24"/>
          <w:lang w:eastAsia="fr-FR"/>
        </w:rPr>
      </w:pPr>
      <w:r w:rsidRPr="00550D4B">
        <w:rPr>
          <w:rFonts w:ascii="Times New Roman" w:eastAsia="Calibri" w:hAnsi="Times New Roman" w:cs="Times New Roman"/>
          <w:sz w:val="24"/>
          <w:szCs w:val="24"/>
          <w:lang w:eastAsia="fr-FR"/>
        </w:rPr>
        <w:t>En effet, que ce soient les préparateurs des comptes ou les commissaires aux comptes, tous ont dû interpréter et mettre en œuvre ces normes considérées comme extrêmement techniques, dans un laps de temps très court, et sans avoir le recul nécessaire.</w:t>
      </w:r>
    </w:p>
    <w:p w:rsidR="00550D4B" w:rsidRPr="00550D4B" w:rsidRDefault="00550D4B" w:rsidP="00550D4B">
      <w:pPr>
        <w:numPr>
          <w:ilvl w:val="0"/>
          <w:numId w:val="85"/>
        </w:numPr>
        <w:spacing w:before="120" w:beforeAutospacing="0" w:after="120" w:afterAutospacing="0" w:line="276" w:lineRule="auto"/>
        <w:ind w:left="357" w:hanging="357"/>
        <w:jc w:val="both"/>
        <w:rPr>
          <w:rFonts w:ascii="Times New Roman" w:eastAsia="Calibri" w:hAnsi="Times New Roman" w:cs="Times New Roman"/>
          <w:sz w:val="24"/>
          <w:szCs w:val="24"/>
          <w:lang w:eastAsia="fr-FR"/>
        </w:rPr>
      </w:pPr>
      <w:r w:rsidRPr="00550D4B">
        <w:rPr>
          <w:rFonts w:ascii="Times New Roman" w:eastAsia="Calibri" w:hAnsi="Times New Roman" w:cs="Times New Roman"/>
          <w:sz w:val="24"/>
          <w:szCs w:val="24"/>
          <w:lang w:eastAsia="fr-FR"/>
        </w:rPr>
        <w:t xml:space="preserve">D’autre part, la transition au SCF a été une période riche pour la pratique comptable étant donné les transformations qu’elle a induite au sein des états financiers. </w:t>
      </w:r>
    </w:p>
    <w:p w:rsidR="00550D4B" w:rsidRPr="00550D4B" w:rsidRDefault="00550D4B" w:rsidP="00550D4B">
      <w:pPr>
        <w:numPr>
          <w:ilvl w:val="0"/>
          <w:numId w:val="85"/>
        </w:numPr>
        <w:spacing w:before="120" w:beforeAutospacing="0" w:after="120" w:afterAutospacing="0" w:line="276" w:lineRule="auto"/>
        <w:ind w:left="357" w:hanging="357"/>
        <w:jc w:val="both"/>
        <w:rPr>
          <w:rFonts w:ascii="Times New Roman" w:eastAsia="Calibri" w:hAnsi="Times New Roman" w:cs="Times New Roman"/>
          <w:sz w:val="24"/>
          <w:szCs w:val="24"/>
          <w:lang w:eastAsia="fr-FR"/>
        </w:rPr>
      </w:pPr>
      <w:r w:rsidRPr="00550D4B">
        <w:rPr>
          <w:rFonts w:ascii="Times New Roman" w:eastAsia="Calibri" w:hAnsi="Times New Roman" w:cs="Times New Roman"/>
          <w:sz w:val="24"/>
          <w:szCs w:val="24"/>
          <w:lang w:eastAsia="fr-FR"/>
        </w:rPr>
        <w:t xml:space="preserve">En somme, pour la première application du SCF a été une période particulièrement intense en matière de prise de décisions comptables pour les sociétés du Groupe </w:t>
      </w:r>
      <w:proofErr w:type="spellStart"/>
      <w:r w:rsidRPr="00550D4B">
        <w:rPr>
          <w:rFonts w:ascii="Times New Roman" w:eastAsia="Calibri" w:hAnsi="Times New Roman" w:cs="Times New Roman"/>
          <w:sz w:val="24"/>
          <w:szCs w:val="24"/>
          <w:lang w:eastAsia="fr-FR"/>
        </w:rPr>
        <w:t>Sonelgaz</w:t>
      </w:r>
      <w:proofErr w:type="spellEnd"/>
      <w:r w:rsidRPr="00550D4B">
        <w:rPr>
          <w:rFonts w:ascii="Times New Roman" w:eastAsia="Calibri" w:hAnsi="Times New Roman" w:cs="Times New Roman"/>
          <w:sz w:val="24"/>
          <w:szCs w:val="24"/>
          <w:lang w:eastAsia="fr-FR"/>
        </w:rPr>
        <w:t>. En outre, il a fallu appliquer des  nouvelles normes et retenir des options sans être en mesure d’anticiper leurs effets sur les états financiers.</w:t>
      </w:r>
    </w:p>
    <w:p w:rsidR="00550D4B" w:rsidRPr="00550D4B" w:rsidRDefault="00550D4B" w:rsidP="00550D4B">
      <w:pPr>
        <w:numPr>
          <w:ilvl w:val="0"/>
          <w:numId w:val="85"/>
        </w:numPr>
        <w:spacing w:before="120" w:beforeAutospacing="0" w:after="120" w:afterAutospacing="0" w:line="276" w:lineRule="auto"/>
        <w:ind w:left="357" w:hanging="357"/>
        <w:jc w:val="both"/>
        <w:rPr>
          <w:rFonts w:ascii="Times New Roman" w:eastAsia="Calibri" w:hAnsi="Times New Roman" w:cs="Times New Roman"/>
          <w:sz w:val="24"/>
          <w:szCs w:val="24"/>
          <w:lang w:eastAsia="fr-FR"/>
        </w:rPr>
      </w:pPr>
      <w:r w:rsidRPr="00550D4B">
        <w:rPr>
          <w:rFonts w:ascii="Times New Roman" w:eastAsia="Calibri" w:hAnsi="Times New Roman" w:cs="Times New Roman"/>
          <w:sz w:val="24"/>
          <w:szCs w:val="24"/>
          <w:lang w:eastAsia="fr-FR"/>
        </w:rPr>
        <w:t xml:space="preserve">Concernant l’impact de l’application du SCF sur les capitaux propres, l’étude menée sur les sociétés du groupe fait ressortir un impact globalement favorable, si on ne </w:t>
      </w:r>
      <w:r w:rsidRPr="00550D4B">
        <w:rPr>
          <w:rFonts w:ascii="Times New Roman" w:eastAsia="Calibri" w:hAnsi="Times New Roman" w:cs="Times New Roman"/>
          <w:sz w:val="24"/>
          <w:szCs w:val="24"/>
          <w:lang w:eastAsia="fr-FR"/>
        </w:rPr>
        <w:lastRenderedPageBreak/>
        <w:t xml:space="preserve">prend pas en considération le reclassement de certaines rubriques en passifs non courants. Cet impact est expliqué </w:t>
      </w:r>
      <w:r w:rsidRPr="00550D4B">
        <w:rPr>
          <w:rFonts w:ascii="Times New Roman" w:eastAsia="Calibri" w:hAnsi="Times New Roman" w:cs="Times New Roman"/>
          <w:sz w:val="24"/>
          <w:szCs w:val="24"/>
        </w:rPr>
        <w:t>principalement par l’augmentation du résultat SCF.</w:t>
      </w:r>
      <w:r w:rsidRPr="00550D4B">
        <w:rPr>
          <w:rFonts w:ascii="Times New Roman" w:eastAsia="Calibri" w:hAnsi="Times New Roman" w:cs="Times New Roman"/>
          <w:color w:val="FF0000"/>
          <w:sz w:val="24"/>
          <w:szCs w:val="24"/>
        </w:rPr>
        <w:t xml:space="preserve"> </w:t>
      </w:r>
      <w:r w:rsidRPr="00550D4B">
        <w:rPr>
          <w:rFonts w:ascii="Times New Roman" w:eastAsia="Calibri" w:hAnsi="Times New Roman" w:cs="Times New Roman"/>
          <w:sz w:val="24"/>
          <w:szCs w:val="24"/>
        </w:rPr>
        <w:t>Cependant, l’impact relatif au changement de méthodes était plutôt défavorable ; sur les 11 sociétés, dont leurs états financiers faisaient objet de l’analyse, trois seulement qui ont connu un impact positif sur leurs capitaux propres suite aux changements de méthode. L’impact relatif aux changements de méthodes est expliqué, pour la plus part des sociétés, par l’augmentation des provisions liées aux droits acquis par le personnel relatives aux exercices antérieurs à 2009 ainsi que la constatation des charges des exercices antérieurs au niveau des capitaux propres. En conclusion, il apparaît que la transition au SCF a conduit à une diminution notable des capitaux propres des entreprises algériennes.</w:t>
      </w:r>
    </w:p>
    <w:p w:rsidR="00550D4B" w:rsidRPr="00550D4B" w:rsidRDefault="00550D4B" w:rsidP="00550D4B">
      <w:pPr>
        <w:numPr>
          <w:ilvl w:val="0"/>
          <w:numId w:val="85"/>
        </w:numPr>
        <w:spacing w:before="120" w:beforeAutospacing="0" w:after="120" w:afterAutospacing="0" w:line="276" w:lineRule="auto"/>
        <w:ind w:left="357" w:hanging="357"/>
        <w:jc w:val="both"/>
        <w:rPr>
          <w:rFonts w:ascii="Times New Roman" w:eastAsia="Calibri" w:hAnsi="Times New Roman" w:cs="Times New Roman"/>
          <w:sz w:val="24"/>
          <w:szCs w:val="24"/>
          <w:lang w:eastAsia="fr-FR"/>
        </w:rPr>
      </w:pPr>
      <w:r w:rsidRPr="00550D4B">
        <w:rPr>
          <w:rFonts w:ascii="Times New Roman" w:eastAsia="Calibri" w:hAnsi="Times New Roman" w:cs="Times New Roman"/>
          <w:sz w:val="24"/>
          <w:szCs w:val="24"/>
        </w:rPr>
        <w:t xml:space="preserve">En reliant ces constats avec les options arrêtées par le Groupe, il peut être conclu que ces dernières étaient orientées vers le </w:t>
      </w:r>
      <w:r w:rsidRPr="00550D4B">
        <w:rPr>
          <w:rFonts w:ascii="Times New Roman" w:eastAsia="Calibri" w:hAnsi="Times New Roman" w:cs="Times New Roman"/>
          <w:sz w:val="24"/>
          <w:szCs w:val="24"/>
        </w:rPr>
        <w:t>maintien</w:t>
      </w:r>
      <w:r w:rsidRPr="00550D4B">
        <w:rPr>
          <w:rFonts w:ascii="Times New Roman" w:eastAsia="Calibri" w:hAnsi="Times New Roman" w:cs="Times New Roman"/>
          <w:sz w:val="24"/>
          <w:szCs w:val="24"/>
        </w:rPr>
        <w:t xml:space="preserve"> des méthodes utilisées dans le cadre du PCN.</w:t>
      </w:r>
    </w:p>
    <w:p w:rsidR="00550D4B" w:rsidRPr="00550D4B" w:rsidRDefault="00550D4B" w:rsidP="00550D4B">
      <w:pPr>
        <w:numPr>
          <w:ilvl w:val="0"/>
          <w:numId w:val="85"/>
        </w:numPr>
        <w:spacing w:before="120" w:beforeAutospacing="0" w:after="120" w:afterAutospacing="0" w:line="276" w:lineRule="auto"/>
        <w:jc w:val="both"/>
        <w:rPr>
          <w:rFonts w:ascii="Times New Roman" w:eastAsia="Calibri" w:hAnsi="Times New Roman" w:cs="Times New Roman"/>
          <w:sz w:val="24"/>
          <w:szCs w:val="24"/>
        </w:rPr>
      </w:pPr>
      <w:r w:rsidRPr="00550D4B">
        <w:rPr>
          <w:rFonts w:ascii="Times New Roman" w:eastAsia="Calibri" w:hAnsi="Times New Roman" w:cs="Times New Roman"/>
          <w:sz w:val="24"/>
          <w:szCs w:val="24"/>
        </w:rPr>
        <w:t xml:space="preserve">En revanche, l’impact moyen de la transition sur les résultats des sociétés était favorable, même très important. Il est expliqué par l’annulation de l’excédent des charges d’amortissement due au changement du mode d’amortissement, la diminution des frais financiers, la diminution des dotations relatives aux provisions des droits acquis (du fait que dans le cadre du PCN on ne faisait pas la distinction entre les charges de l’exercice et les charges des exercices antérieurs) ainsi que l’annulation de certaines provisions tel que la provision du Gros entretiens.  </w:t>
      </w:r>
    </w:p>
    <w:p w:rsidR="00550D4B" w:rsidRPr="00550D4B" w:rsidRDefault="00550D4B" w:rsidP="00550D4B">
      <w:pPr>
        <w:numPr>
          <w:ilvl w:val="0"/>
          <w:numId w:val="85"/>
        </w:numPr>
        <w:spacing w:before="0" w:beforeAutospacing="0" w:after="200" w:afterAutospacing="0" w:line="360" w:lineRule="auto"/>
        <w:jc w:val="both"/>
        <w:rPr>
          <w:rFonts w:ascii="Times New Roman" w:eastAsia="Calibri" w:hAnsi="Times New Roman" w:cs="Times New Roman"/>
          <w:sz w:val="24"/>
          <w:szCs w:val="24"/>
        </w:rPr>
      </w:pPr>
      <w:r w:rsidRPr="00550D4B">
        <w:rPr>
          <w:rFonts w:ascii="Times New Roman" w:eastAsia="Calibri" w:hAnsi="Times New Roman" w:cs="Times New Roman"/>
          <w:sz w:val="24"/>
          <w:szCs w:val="24"/>
        </w:rPr>
        <w:t>En général, la transition au Système Comptable Financier (SCF) a permis aux sociétés d’améliorer leurs situations financières en ayant un impact positif sur leurs capitaux propres et résultats.</w:t>
      </w:r>
    </w:p>
    <w:p w:rsidR="00550D4B" w:rsidRPr="00550D4B" w:rsidRDefault="00550D4B" w:rsidP="00550D4B">
      <w:pPr>
        <w:spacing w:before="0" w:beforeAutospacing="0" w:after="200" w:afterAutospacing="0" w:line="360" w:lineRule="auto"/>
        <w:ind w:firstLine="340"/>
        <w:jc w:val="both"/>
        <w:rPr>
          <w:rFonts w:ascii="Times New Roman" w:eastAsia="Calibri" w:hAnsi="Times New Roman" w:cs="Times New Roman"/>
          <w:bCs/>
          <w:sz w:val="24"/>
          <w:szCs w:val="20"/>
        </w:rPr>
      </w:pPr>
      <w:r w:rsidRPr="00550D4B">
        <w:rPr>
          <w:rFonts w:ascii="Times New Roman" w:eastAsia="Calibri" w:hAnsi="Times New Roman" w:cs="Times New Roman"/>
          <w:bCs/>
          <w:sz w:val="24"/>
          <w:szCs w:val="20"/>
        </w:rPr>
        <w:t>En reliant les résultats de cette étude aux hypothèses posées au préalable, nous pouvons conclure que ces hypothèses se sont vérifiées dans le cadre de notre étude.  En outre :</w:t>
      </w:r>
    </w:p>
    <w:p w:rsidR="00550D4B" w:rsidRPr="00550D4B" w:rsidRDefault="00550D4B" w:rsidP="00550D4B">
      <w:pPr>
        <w:numPr>
          <w:ilvl w:val="0"/>
          <w:numId w:val="85"/>
        </w:numPr>
        <w:spacing w:before="0" w:beforeAutospacing="0" w:after="200" w:afterAutospacing="0" w:line="360" w:lineRule="auto"/>
        <w:jc w:val="both"/>
        <w:rPr>
          <w:rFonts w:ascii="Times New Roman" w:eastAsia="Calibri" w:hAnsi="Times New Roman" w:cs="Times New Roman"/>
          <w:sz w:val="24"/>
          <w:szCs w:val="20"/>
        </w:rPr>
      </w:pPr>
      <w:r w:rsidRPr="00550D4B">
        <w:rPr>
          <w:rFonts w:ascii="Times New Roman" w:eastAsia="Calibri" w:hAnsi="Times New Roman" w:cs="Times New Roman"/>
          <w:sz w:val="24"/>
          <w:szCs w:val="20"/>
        </w:rPr>
        <w:t xml:space="preserve">L’étude menée sur les sociétés du Groupe </w:t>
      </w:r>
      <w:proofErr w:type="spellStart"/>
      <w:r w:rsidRPr="00550D4B">
        <w:rPr>
          <w:rFonts w:ascii="Times New Roman" w:eastAsia="Calibri" w:hAnsi="Times New Roman" w:cs="Times New Roman"/>
          <w:sz w:val="24"/>
          <w:szCs w:val="20"/>
        </w:rPr>
        <w:t>Sonelgaz</w:t>
      </w:r>
      <w:proofErr w:type="spellEnd"/>
      <w:r w:rsidRPr="00550D4B">
        <w:rPr>
          <w:rFonts w:ascii="Times New Roman" w:eastAsia="Calibri" w:hAnsi="Times New Roman" w:cs="Times New Roman"/>
          <w:sz w:val="24"/>
          <w:szCs w:val="20"/>
        </w:rPr>
        <w:t xml:space="preserve"> montre qu’effectivement l’impact sur les capitaux propres des entreprises est défavorable, aussi cet impact est plutôt dû à la mise en application des nouvelles dispositions du SCF, vu que le Groupe a opté plutôt pour le maintien des pratiques comptables.</w:t>
      </w:r>
    </w:p>
    <w:p w:rsidR="00550D4B" w:rsidRPr="00550D4B" w:rsidRDefault="00550D4B" w:rsidP="00550D4B">
      <w:pPr>
        <w:numPr>
          <w:ilvl w:val="0"/>
          <w:numId w:val="85"/>
        </w:numPr>
        <w:spacing w:before="0" w:beforeAutospacing="0" w:after="200" w:afterAutospacing="0" w:line="360" w:lineRule="auto"/>
        <w:jc w:val="both"/>
        <w:rPr>
          <w:rFonts w:ascii="Times New Roman" w:eastAsia="Calibri" w:hAnsi="Times New Roman" w:cs="Times New Roman"/>
          <w:sz w:val="24"/>
          <w:szCs w:val="20"/>
        </w:rPr>
      </w:pPr>
      <w:r w:rsidRPr="00550D4B">
        <w:rPr>
          <w:rFonts w:ascii="Times New Roman" w:eastAsia="Calibri" w:hAnsi="Times New Roman" w:cs="Times New Roman"/>
          <w:sz w:val="24"/>
          <w:szCs w:val="20"/>
        </w:rPr>
        <w:t xml:space="preserve">D’autre part, l’impact sur le résultat était relativement plus important que celui enregistré pour les capitaux propres, qui est principalement expliqué par les choix comptables du Groupe contrairement à l’impact sur les capitaux propres. </w:t>
      </w:r>
    </w:p>
    <w:p w:rsidR="00550D4B" w:rsidRPr="00550D4B" w:rsidRDefault="00550D4B" w:rsidP="00550D4B">
      <w:pPr>
        <w:numPr>
          <w:ilvl w:val="0"/>
          <w:numId w:val="85"/>
        </w:numPr>
        <w:spacing w:before="0" w:beforeAutospacing="0" w:after="200" w:afterAutospacing="0" w:line="360" w:lineRule="auto"/>
        <w:jc w:val="both"/>
        <w:rPr>
          <w:rFonts w:ascii="Times New Roman" w:eastAsia="Calibri" w:hAnsi="Times New Roman" w:cs="Times New Roman"/>
          <w:sz w:val="24"/>
          <w:szCs w:val="20"/>
        </w:rPr>
      </w:pPr>
      <w:r w:rsidRPr="00550D4B">
        <w:rPr>
          <w:rFonts w:ascii="Times New Roman" w:eastAsia="Calibri" w:hAnsi="Times New Roman" w:cs="Times New Roman"/>
          <w:sz w:val="24"/>
          <w:szCs w:val="20"/>
        </w:rPr>
        <w:lastRenderedPageBreak/>
        <w:t xml:space="preserve">La troisième hypothèse stipule que l’impact de la transition est lié aux caractéristiques des entreprises (il est relativement plus important pour les entités de grande taille) l’analyse des données des sociétés est adéquate à cet hypothèse. </w:t>
      </w:r>
    </w:p>
    <w:p w:rsidR="00550D4B" w:rsidRPr="00550D4B" w:rsidRDefault="00550D4B" w:rsidP="00550D4B">
      <w:pPr>
        <w:spacing w:before="240" w:beforeAutospacing="0" w:after="120" w:afterAutospacing="0" w:line="276" w:lineRule="auto"/>
        <w:jc w:val="both"/>
        <w:rPr>
          <w:rFonts w:ascii="Times New Roman" w:eastAsia="Calibri" w:hAnsi="Times New Roman" w:cs="Times New Roman"/>
          <w:b/>
          <w:sz w:val="24"/>
          <w:szCs w:val="24"/>
          <w:lang w:eastAsia="fr-FR"/>
        </w:rPr>
      </w:pPr>
      <w:r w:rsidRPr="00550D4B">
        <w:rPr>
          <w:rFonts w:ascii="Times New Roman" w:eastAsia="Calibri" w:hAnsi="Times New Roman" w:cs="Times New Roman"/>
          <w:b/>
          <w:sz w:val="24"/>
          <w:szCs w:val="24"/>
          <w:lang w:eastAsia="fr-FR"/>
        </w:rPr>
        <w:t xml:space="preserve">Limites de la recherche </w:t>
      </w:r>
    </w:p>
    <w:p w:rsidR="00550D4B" w:rsidRPr="00550D4B" w:rsidRDefault="00550D4B" w:rsidP="00550D4B">
      <w:pPr>
        <w:spacing w:before="0" w:beforeAutospacing="0" w:after="0" w:afterAutospacing="0" w:line="276" w:lineRule="auto"/>
        <w:ind w:firstLine="340"/>
        <w:jc w:val="both"/>
        <w:rPr>
          <w:rFonts w:ascii="Times New Roman" w:eastAsia="Calibri" w:hAnsi="Times New Roman" w:cs="Times New Roman"/>
          <w:sz w:val="24"/>
          <w:szCs w:val="24"/>
          <w:lang w:eastAsia="fr-FR"/>
        </w:rPr>
      </w:pPr>
      <w:r w:rsidRPr="00550D4B">
        <w:rPr>
          <w:rFonts w:ascii="Times New Roman" w:eastAsia="Calibri" w:hAnsi="Times New Roman" w:cs="Times New Roman"/>
          <w:sz w:val="24"/>
          <w:szCs w:val="24"/>
          <w:lang w:eastAsia="fr-FR"/>
        </w:rPr>
        <w:t xml:space="preserve">Comme tout travail, ce mémoire </w:t>
      </w:r>
      <w:r w:rsidRPr="00550D4B">
        <w:rPr>
          <w:rFonts w:ascii="Times New Roman" w:eastAsia="Calibri" w:hAnsi="Times New Roman" w:cs="Times New Roman"/>
          <w:bCs/>
          <w:sz w:val="24"/>
          <w:szCs w:val="20"/>
        </w:rPr>
        <w:t>n’est</w:t>
      </w:r>
      <w:r w:rsidRPr="00550D4B">
        <w:rPr>
          <w:rFonts w:ascii="Times New Roman" w:eastAsia="Calibri" w:hAnsi="Times New Roman" w:cs="Times New Roman"/>
          <w:sz w:val="24"/>
          <w:szCs w:val="24"/>
          <w:lang w:eastAsia="fr-FR"/>
        </w:rPr>
        <w:t xml:space="preserve"> pas exempte de limites. A cet effet, nous pouvons citer les limites méthodologiques suivantes. La première concerne le choix de l’échantillon .Les sociétés constituant l’échantillon de l’étude n’étaient pas choisies aléatoirement ce qui fait que les résultats ne peuvent pas être généralisés, mais cela n’empêche de dire que ces derniers peuvent donner un aperçu sur l’impact de l’adoption du SCF sur les capitaux propres. </w:t>
      </w:r>
    </w:p>
    <w:p w:rsidR="00550D4B" w:rsidRPr="00550D4B" w:rsidRDefault="00550D4B" w:rsidP="00550D4B">
      <w:pPr>
        <w:spacing w:before="0" w:beforeAutospacing="0" w:after="0" w:afterAutospacing="0" w:line="276" w:lineRule="auto"/>
        <w:ind w:firstLine="340"/>
        <w:jc w:val="both"/>
        <w:rPr>
          <w:rFonts w:ascii="Times New Roman" w:eastAsia="Calibri" w:hAnsi="Times New Roman" w:cs="Times New Roman"/>
          <w:sz w:val="24"/>
          <w:szCs w:val="24"/>
          <w:lang w:eastAsia="fr-FR"/>
        </w:rPr>
      </w:pPr>
      <w:r w:rsidRPr="00550D4B">
        <w:rPr>
          <w:rFonts w:ascii="Times New Roman" w:eastAsia="Calibri" w:hAnsi="Times New Roman" w:cs="Times New Roman"/>
          <w:sz w:val="24"/>
          <w:szCs w:val="24"/>
          <w:lang w:eastAsia="fr-FR"/>
        </w:rPr>
        <w:t xml:space="preserve">En </w:t>
      </w:r>
      <w:r w:rsidRPr="00550D4B">
        <w:rPr>
          <w:rFonts w:ascii="Times New Roman" w:eastAsia="Calibri" w:hAnsi="Times New Roman" w:cs="Times New Roman"/>
          <w:bCs/>
          <w:sz w:val="24"/>
          <w:szCs w:val="20"/>
        </w:rPr>
        <w:t>outre</w:t>
      </w:r>
      <w:r w:rsidRPr="00550D4B">
        <w:rPr>
          <w:rFonts w:ascii="Times New Roman" w:eastAsia="Calibri" w:hAnsi="Times New Roman" w:cs="Times New Roman"/>
          <w:sz w:val="24"/>
          <w:szCs w:val="24"/>
          <w:lang w:eastAsia="fr-FR"/>
        </w:rPr>
        <w:t xml:space="preserve">, la deuxième limite concerne la méthode choisie pour décrire le passage au SCF au niveau des sociétés du Groupe </w:t>
      </w:r>
      <w:proofErr w:type="spellStart"/>
      <w:r w:rsidRPr="00550D4B">
        <w:rPr>
          <w:rFonts w:ascii="Times New Roman" w:eastAsia="Calibri" w:hAnsi="Times New Roman" w:cs="Times New Roman"/>
          <w:sz w:val="24"/>
          <w:szCs w:val="24"/>
          <w:lang w:eastAsia="fr-FR"/>
        </w:rPr>
        <w:t>Sonelgaz</w:t>
      </w:r>
      <w:proofErr w:type="spellEnd"/>
      <w:r w:rsidRPr="00550D4B">
        <w:rPr>
          <w:rFonts w:ascii="Times New Roman" w:eastAsia="Calibri" w:hAnsi="Times New Roman" w:cs="Times New Roman"/>
          <w:sz w:val="24"/>
          <w:szCs w:val="24"/>
          <w:lang w:eastAsia="fr-FR"/>
        </w:rPr>
        <w:t xml:space="preserve">. Cette approche peut être critiquée du fait que, la description du passage au niveau d’un seul Groupe ne permet pas d’avoir une vision globale sur le déroulement de ce processus au niveau des sociétés algériennes en particulier les moyennes entreprises. Dès lors, et pour mieux apprécier ce points il était préférable d’adresser des questionnaires aux chefs comptables et financiers des sociétés pour obtenir une vision plus globale et plus exacte, chose qu’on n’a pas pu concrétiser à défaut de moyens et du temps.  </w:t>
      </w:r>
    </w:p>
    <w:p w:rsidR="00550D4B" w:rsidRPr="00550D4B" w:rsidRDefault="00550D4B" w:rsidP="00550D4B">
      <w:pPr>
        <w:spacing w:before="240" w:beforeAutospacing="0" w:after="120" w:afterAutospacing="0" w:line="276" w:lineRule="auto"/>
        <w:jc w:val="both"/>
        <w:rPr>
          <w:rFonts w:ascii="Times New Roman" w:eastAsia="Calibri" w:hAnsi="Times New Roman" w:cs="Times New Roman"/>
          <w:b/>
          <w:sz w:val="24"/>
          <w:szCs w:val="24"/>
          <w:lang w:eastAsia="fr-FR"/>
        </w:rPr>
      </w:pPr>
      <w:r w:rsidRPr="00550D4B">
        <w:rPr>
          <w:rFonts w:ascii="Times New Roman" w:eastAsia="Calibri" w:hAnsi="Times New Roman" w:cs="Times New Roman"/>
          <w:b/>
          <w:sz w:val="24"/>
          <w:szCs w:val="24"/>
          <w:lang w:eastAsia="fr-FR"/>
        </w:rPr>
        <w:t>Voies de recherche à venir</w:t>
      </w:r>
    </w:p>
    <w:p w:rsidR="00550D4B" w:rsidRPr="00550D4B" w:rsidRDefault="00550D4B" w:rsidP="00550D4B">
      <w:pPr>
        <w:spacing w:before="0" w:beforeAutospacing="0" w:after="0" w:afterAutospacing="0" w:line="276" w:lineRule="auto"/>
        <w:ind w:firstLine="340"/>
        <w:jc w:val="both"/>
        <w:rPr>
          <w:rFonts w:ascii="Times New Roman" w:eastAsia="Calibri" w:hAnsi="Times New Roman" w:cs="Times New Roman"/>
          <w:bCs/>
          <w:sz w:val="24"/>
          <w:szCs w:val="24"/>
          <w:lang w:eastAsia="fr-FR"/>
        </w:rPr>
      </w:pPr>
      <w:r w:rsidRPr="00550D4B">
        <w:rPr>
          <w:rFonts w:ascii="Times New Roman" w:eastAsia="Calibri" w:hAnsi="Times New Roman" w:cs="Times New Roman"/>
          <w:bCs/>
          <w:sz w:val="24"/>
          <w:szCs w:val="24"/>
          <w:lang w:eastAsia="fr-FR"/>
        </w:rPr>
        <w:t xml:space="preserve">Cette </w:t>
      </w:r>
      <w:r w:rsidRPr="00550D4B">
        <w:rPr>
          <w:rFonts w:ascii="Times New Roman" w:eastAsia="Calibri" w:hAnsi="Times New Roman" w:cs="Times New Roman"/>
          <w:bCs/>
          <w:sz w:val="24"/>
          <w:szCs w:val="20"/>
        </w:rPr>
        <w:t>étude</w:t>
      </w:r>
      <w:r w:rsidRPr="00550D4B">
        <w:rPr>
          <w:rFonts w:ascii="Times New Roman" w:eastAsia="Calibri" w:hAnsi="Times New Roman" w:cs="Times New Roman"/>
          <w:bCs/>
          <w:sz w:val="24"/>
          <w:szCs w:val="24"/>
          <w:lang w:eastAsia="fr-FR"/>
        </w:rPr>
        <w:t xml:space="preserve"> peut être prolongée par d’autres études qui vont permettre par la suite d’enrichir les connaissances et les faits relatifs à la mise en application du Système Comptable Financier. Parmi ces recherches, nous pouvons proposer les thèmes suivants :</w:t>
      </w:r>
    </w:p>
    <w:p w:rsidR="00550D4B" w:rsidRPr="00550D4B" w:rsidRDefault="00550D4B" w:rsidP="00550D4B">
      <w:pPr>
        <w:spacing w:before="0" w:beforeAutospacing="0" w:after="0" w:afterAutospacing="0" w:line="276" w:lineRule="auto"/>
        <w:ind w:firstLine="340"/>
        <w:jc w:val="both"/>
        <w:rPr>
          <w:rFonts w:ascii="Times New Roman" w:eastAsia="Calibri" w:hAnsi="Times New Roman" w:cs="Times New Roman"/>
          <w:bCs/>
          <w:sz w:val="24"/>
          <w:szCs w:val="24"/>
          <w:lang w:eastAsia="fr-FR"/>
        </w:rPr>
      </w:pPr>
      <w:r w:rsidRPr="00550D4B">
        <w:rPr>
          <w:rFonts w:ascii="Times New Roman" w:eastAsia="Calibri" w:hAnsi="Times New Roman" w:cs="Times New Roman"/>
          <w:bCs/>
          <w:sz w:val="24"/>
          <w:szCs w:val="24"/>
          <w:lang w:eastAsia="fr-FR"/>
        </w:rPr>
        <w:t xml:space="preserve">Il serait </w:t>
      </w:r>
      <w:r w:rsidRPr="00550D4B">
        <w:rPr>
          <w:rFonts w:ascii="Times New Roman" w:eastAsia="Calibri" w:hAnsi="Times New Roman" w:cs="Times New Roman"/>
          <w:bCs/>
          <w:sz w:val="24"/>
          <w:szCs w:val="20"/>
        </w:rPr>
        <w:t>intéressant</w:t>
      </w:r>
      <w:r w:rsidRPr="00550D4B">
        <w:rPr>
          <w:rFonts w:ascii="Times New Roman" w:eastAsia="Calibri" w:hAnsi="Times New Roman" w:cs="Times New Roman"/>
          <w:bCs/>
          <w:sz w:val="24"/>
          <w:szCs w:val="24"/>
          <w:lang w:eastAsia="fr-FR"/>
        </w:rPr>
        <w:t xml:space="preserve"> de mener une étude qui consiste à observer l’impact de l’application du SCF ainsi que la dynamique des pratiques comptables sur plusieurs exercices. Ou bien l’impact relatif à une norme du SCF.</w:t>
      </w:r>
    </w:p>
    <w:p w:rsidR="00550D4B" w:rsidRPr="00550D4B" w:rsidRDefault="00550D4B" w:rsidP="00550D4B">
      <w:pPr>
        <w:spacing w:before="0" w:beforeAutospacing="0" w:after="0" w:afterAutospacing="0" w:line="276" w:lineRule="auto"/>
        <w:ind w:firstLine="340"/>
        <w:jc w:val="both"/>
        <w:rPr>
          <w:rFonts w:ascii="Times New Roman" w:eastAsia="Calibri" w:hAnsi="Times New Roman" w:cs="Times New Roman"/>
          <w:bCs/>
          <w:sz w:val="24"/>
          <w:szCs w:val="24"/>
          <w:lang w:eastAsia="fr-FR"/>
        </w:rPr>
      </w:pPr>
      <w:r w:rsidRPr="00550D4B">
        <w:rPr>
          <w:rFonts w:ascii="Times New Roman" w:eastAsia="Calibri" w:hAnsi="Times New Roman" w:cs="Times New Roman"/>
          <w:bCs/>
          <w:sz w:val="24"/>
          <w:szCs w:val="24"/>
          <w:lang w:eastAsia="fr-FR"/>
        </w:rPr>
        <w:t xml:space="preserve">La </w:t>
      </w:r>
      <w:r w:rsidRPr="00550D4B">
        <w:rPr>
          <w:rFonts w:ascii="Times New Roman" w:eastAsia="Calibri" w:hAnsi="Times New Roman" w:cs="Times New Roman"/>
          <w:bCs/>
          <w:sz w:val="24"/>
          <w:szCs w:val="20"/>
        </w:rPr>
        <w:t>recherche</w:t>
      </w:r>
      <w:r w:rsidRPr="00550D4B">
        <w:rPr>
          <w:rFonts w:ascii="Times New Roman" w:eastAsia="Calibri" w:hAnsi="Times New Roman" w:cs="Times New Roman"/>
          <w:bCs/>
          <w:sz w:val="24"/>
          <w:szCs w:val="24"/>
          <w:lang w:eastAsia="fr-FR"/>
        </w:rPr>
        <w:t xml:space="preserve"> relative aux pratiques comptables peut également être approfondie, cela en traitant à titre d’exemple les questions suivantes : </w:t>
      </w:r>
    </w:p>
    <w:p w:rsidR="00550D4B" w:rsidRPr="00550D4B" w:rsidRDefault="00550D4B" w:rsidP="00550D4B">
      <w:pPr>
        <w:spacing w:before="0" w:beforeAutospacing="0" w:after="0" w:afterAutospacing="0" w:line="276" w:lineRule="auto"/>
        <w:ind w:firstLine="340"/>
        <w:jc w:val="both"/>
        <w:rPr>
          <w:rFonts w:ascii="Times New Roman" w:eastAsia="Calibri" w:hAnsi="Times New Roman" w:cs="Times New Roman"/>
          <w:sz w:val="24"/>
          <w:szCs w:val="24"/>
          <w:lang w:eastAsia="fr-FR"/>
        </w:rPr>
      </w:pPr>
      <w:r w:rsidRPr="00550D4B">
        <w:rPr>
          <w:rFonts w:ascii="Times New Roman" w:eastAsia="Calibri" w:hAnsi="Times New Roman" w:cs="Times New Roman"/>
          <w:sz w:val="24"/>
          <w:szCs w:val="24"/>
          <w:lang w:eastAsia="fr-FR"/>
        </w:rPr>
        <w:t xml:space="preserve">Quels </w:t>
      </w:r>
      <w:r w:rsidRPr="00550D4B">
        <w:rPr>
          <w:rFonts w:ascii="Times New Roman" w:eastAsia="Calibri" w:hAnsi="Times New Roman" w:cs="Times New Roman"/>
          <w:bCs/>
          <w:sz w:val="24"/>
          <w:szCs w:val="20"/>
        </w:rPr>
        <w:t>sont</w:t>
      </w:r>
      <w:r w:rsidRPr="00550D4B">
        <w:rPr>
          <w:rFonts w:ascii="Times New Roman" w:eastAsia="Calibri" w:hAnsi="Times New Roman" w:cs="Times New Roman"/>
          <w:sz w:val="24"/>
          <w:szCs w:val="24"/>
          <w:lang w:eastAsia="fr-FR"/>
        </w:rPr>
        <w:t xml:space="preserve"> les effets des nouvelles normes sur la pratique de la comptabilité, en termes de </w:t>
      </w:r>
      <w:proofErr w:type="spellStart"/>
      <w:r w:rsidRPr="00550D4B">
        <w:rPr>
          <w:rFonts w:ascii="Times New Roman" w:eastAsia="Calibri" w:hAnsi="Times New Roman" w:cs="Times New Roman"/>
          <w:i/>
          <w:iCs/>
          <w:sz w:val="24"/>
          <w:szCs w:val="24"/>
          <w:lang w:eastAsia="fr-FR"/>
        </w:rPr>
        <w:t>reporting</w:t>
      </w:r>
      <w:proofErr w:type="spellEnd"/>
      <w:r w:rsidRPr="00550D4B">
        <w:rPr>
          <w:rFonts w:ascii="Times New Roman" w:eastAsia="Calibri" w:hAnsi="Times New Roman" w:cs="Times New Roman"/>
          <w:sz w:val="24"/>
          <w:szCs w:val="24"/>
          <w:lang w:eastAsia="fr-FR"/>
        </w:rPr>
        <w:t xml:space="preserve">, de comptabilité sociale et consolidée ? </w:t>
      </w:r>
    </w:p>
    <w:p w:rsidR="00550D4B" w:rsidRPr="00550D4B" w:rsidRDefault="00550D4B" w:rsidP="00550D4B">
      <w:pPr>
        <w:spacing w:before="0" w:beforeAutospacing="0" w:after="0" w:afterAutospacing="0" w:line="276" w:lineRule="auto"/>
        <w:ind w:firstLine="340"/>
        <w:jc w:val="both"/>
        <w:rPr>
          <w:rFonts w:ascii="Times New Roman" w:eastAsia="Calibri" w:hAnsi="Times New Roman" w:cs="Times New Roman"/>
          <w:sz w:val="24"/>
          <w:szCs w:val="24"/>
          <w:lang w:eastAsia="fr-FR"/>
        </w:rPr>
      </w:pPr>
      <w:r w:rsidRPr="00550D4B">
        <w:rPr>
          <w:rFonts w:ascii="Times New Roman" w:eastAsia="Calibri" w:hAnsi="Times New Roman" w:cs="Times New Roman"/>
          <w:sz w:val="24"/>
          <w:szCs w:val="24"/>
          <w:lang w:eastAsia="fr-FR"/>
        </w:rPr>
        <w:t xml:space="preserve">Ou bien, la mise en place du SCF a-t-elle eu (ou aura-t-elle) un effet sur le processus de gouvernance des entreprises? </w:t>
      </w:r>
    </w:p>
    <w:p w:rsidR="00550D4B" w:rsidRPr="00550D4B" w:rsidRDefault="00550D4B" w:rsidP="00550D4B">
      <w:pPr>
        <w:spacing w:before="0" w:beforeAutospacing="0" w:after="0" w:afterAutospacing="0" w:line="276" w:lineRule="auto"/>
        <w:ind w:firstLine="340"/>
        <w:jc w:val="both"/>
        <w:rPr>
          <w:rFonts w:ascii="Times New Roman" w:eastAsia="Calibri" w:hAnsi="Times New Roman" w:cs="Times New Roman"/>
          <w:sz w:val="24"/>
          <w:szCs w:val="24"/>
          <w:lang w:eastAsia="fr-FR"/>
        </w:rPr>
      </w:pPr>
      <w:r w:rsidRPr="00550D4B">
        <w:rPr>
          <w:rFonts w:ascii="Times New Roman" w:eastAsia="Calibri" w:hAnsi="Times New Roman" w:cs="Times New Roman"/>
          <w:sz w:val="24"/>
          <w:szCs w:val="24"/>
          <w:lang w:eastAsia="fr-FR"/>
        </w:rPr>
        <w:t>Et en fin l’application du SCF permet-telle aux entreprises d’accroitre leurs ressources de financement externes en améliorant les informations financière de ces dernières ?</w:t>
      </w:r>
    </w:p>
    <w:p w:rsidR="0039067A" w:rsidRDefault="00550D4B" w:rsidP="007B5DAB">
      <w:pPr>
        <w:jc w:val="both"/>
        <w:rPr>
          <w:rFonts w:ascii="Times New Roman" w:hAnsi="Times New Roman" w:cs="Times New Roman"/>
          <w:sz w:val="24"/>
        </w:rPr>
        <w:sectPr w:rsidR="0039067A" w:rsidSect="00550D4B">
          <w:headerReference w:type="default" r:id="rId27"/>
          <w:pgSz w:w="11906" w:h="16838"/>
          <w:pgMar w:top="1418" w:right="1418" w:bottom="1418" w:left="1418" w:header="709" w:footer="709" w:gutter="567"/>
          <w:cols w:space="708"/>
          <w:docGrid w:linePitch="360"/>
        </w:sectPr>
      </w:pPr>
      <w:r w:rsidRPr="00550D4B">
        <w:rPr>
          <w:rFonts w:ascii="Times New Roman" w:eastAsia="Calibri" w:hAnsi="Times New Roman" w:cs="Times New Roman"/>
          <w:sz w:val="24"/>
          <w:szCs w:val="24"/>
          <w:lang w:eastAsia="fr-FR"/>
        </w:rPr>
        <w:t>Des questions qui mènent à prendre conscience que cette étude n’est qu’un point de départ de nouvelles recherches.</w:t>
      </w:r>
      <w:r>
        <w:rPr>
          <w:rFonts w:ascii="Times New Roman" w:hAnsi="Times New Roman" w:cs="Times New Roman"/>
          <w:sz w:val="24"/>
        </w:rPr>
        <w:tab/>
      </w:r>
    </w:p>
    <w:p w:rsidR="00DA0A69" w:rsidRPr="0018245E" w:rsidRDefault="00DA0A69" w:rsidP="007B5DAB">
      <w:pPr>
        <w:rPr>
          <w:rFonts w:ascii="Times New Roman" w:hAnsi="Times New Roman" w:cs="Times New Roman"/>
          <w:sz w:val="24"/>
        </w:rPr>
      </w:pPr>
      <w:bookmarkStart w:id="29" w:name="_GoBack"/>
      <w:bookmarkEnd w:id="29"/>
    </w:p>
    <w:sectPr w:rsidR="00DA0A69" w:rsidRPr="0018245E" w:rsidSect="006542EC">
      <w:headerReference w:type="default" r:id="rId28"/>
      <w:pgSz w:w="11906" w:h="16838"/>
      <w:pgMar w:top="1418" w:right="1418" w:bottom="1418" w:left="1418" w:header="709" w:footer="709"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67A" w:rsidRDefault="0039067A" w:rsidP="00A91916">
      <w:pPr>
        <w:spacing w:before="0" w:after="0"/>
      </w:pPr>
      <w:r>
        <w:separator/>
      </w:r>
    </w:p>
  </w:endnote>
  <w:endnote w:type="continuationSeparator" w:id="0">
    <w:p w:rsidR="0039067A" w:rsidRDefault="0039067A" w:rsidP="00A9191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00"/>
    <w:family w:val="roman"/>
    <w:notTrueType/>
    <w:pitch w:val="default"/>
    <w:sig w:usb0="00000003" w:usb1="00000000" w:usb2="00000000" w:usb3="00000000" w:csb0="00000001" w:csb1="00000000"/>
  </w:font>
  <w:font w:name="Times#20New#20Roman,Italic">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TimesNewRomanPS-BoldItalicMT">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4687"/>
      <w:docPartObj>
        <w:docPartGallery w:val="Page Numbers (Bottom of Page)"/>
        <w:docPartUnique/>
      </w:docPartObj>
    </w:sdtPr>
    <w:sdtContent>
      <w:p w:rsidR="0039067A" w:rsidRDefault="0039067A">
        <w:pPr>
          <w:pStyle w:val="Pieddepage"/>
          <w:jc w:val="right"/>
        </w:pPr>
        <w:r>
          <w:fldChar w:fldCharType="begin"/>
        </w:r>
        <w:r>
          <w:instrText xml:space="preserve"> PAGE   \* MERGEFORMAT </w:instrText>
        </w:r>
        <w:r>
          <w:fldChar w:fldCharType="separate"/>
        </w:r>
        <w:r w:rsidR="006542EC">
          <w:rPr>
            <w:noProof/>
          </w:rPr>
          <w:t>17</w:t>
        </w:r>
        <w:r>
          <w:rPr>
            <w:noProof/>
          </w:rPr>
          <w:fldChar w:fldCharType="end"/>
        </w:r>
      </w:p>
    </w:sdtContent>
  </w:sdt>
  <w:p w:rsidR="0039067A" w:rsidRDefault="0039067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67A" w:rsidRDefault="0039067A">
    <w:pPr>
      <w:pStyle w:val="Pieddepage"/>
      <w:jc w:val="right"/>
    </w:pPr>
  </w:p>
  <w:p w:rsidR="0039067A" w:rsidRDefault="0039067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67A" w:rsidRDefault="0039067A" w:rsidP="00A91916">
      <w:pPr>
        <w:spacing w:before="0" w:after="0"/>
      </w:pPr>
      <w:r>
        <w:separator/>
      </w:r>
    </w:p>
  </w:footnote>
  <w:footnote w:type="continuationSeparator" w:id="0">
    <w:p w:rsidR="0039067A" w:rsidRDefault="0039067A" w:rsidP="00A91916">
      <w:pPr>
        <w:spacing w:before="0" w:after="0"/>
      </w:pPr>
      <w:r>
        <w:continuationSeparator/>
      </w:r>
    </w:p>
  </w:footnote>
  <w:footnote w:id="1">
    <w:p w:rsidR="0039067A" w:rsidRPr="00703956" w:rsidRDefault="0039067A" w:rsidP="00DA0A69">
      <w:pPr>
        <w:pStyle w:val="Notedebasdepage"/>
        <w:jc w:val="both"/>
        <w:rPr>
          <w:rFonts w:ascii="Times New Roman" w:hAnsi="Times New Roman" w:cs="Times New Roman"/>
          <w:lang w:val="en-US"/>
        </w:rPr>
      </w:pPr>
      <w:r w:rsidRPr="00703956">
        <w:rPr>
          <w:rStyle w:val="Appelnotedebasdep"/>
          <w:rFonts w:ascii="Times New Roman" w:hAnsi="Times New Roman" w:cs="Times New Roman"/>
        </w:rPr>
        <w:footnoteRef/>
      </w:r>
      <w:r w:rsidRPr="00703956">
        <w:rPr>
          <w:rFonts w:ascii="Times New Roman" w:hAnsi="Times New Roman" w:cs="Times New Roman"/>
          <w:lang w:val="en-US"/>
        </w:rPr>
        <w:t xml:space="preserve"> </w:t>
      </w:r>
      <w:proofErr w:type="gramStart"/>
      <w:r w:rsidRPr="00703956">
        <w:rPr>
          <w:rFonts w:ascii="Times New Roman" w:hAnsi="Times New Roman" w:cs="Times New Roman"/>
          <w:lang w:val="en-US"/>
        </w:rPr>
        <w:t xml:space="preserve">Prepared Remarks by Sir David </w:t>
      </w:r>
      <w:proofErr w:type="spellStart"/>
      <w:r w:rsidRPr="00703956">
        <w:rPr>
          <w:rFonts w:ascii="Times New Roman" w:hAnsi="Times New Roman" w:cs="Times New Roman"/>
          <w:lang w:val="en-US"/>
        </w:rPr>
        <w:t>Tweedie</w:t>
      </w:r>
      <w:proofErr w:type="spellEnd"/>
      <w:r w:rsidRPr="00703956">
        <w:rPr>
          <w:rFonts w:ascii="Times New Roman" w:hAnsi="Times New Roman" w:cs="Times New Roman"/>
          <w:lang w:val="en-US"/>
        </w:rPr>
        <w:t>, Chairman of the International Accounting Standards Board (IASB), to the US Chamber of Commerce Event, 10 March 2011.</w:t>
      </w:r>
      <w:proofErr w:type="gramEnd"/>
    </w:p>
  </w:footnote>
  <w:footnote w:id="2">
    <w:p w:rsidR="0039067A" w:rsidRPr="00832214" w:rsidRDefault="0039067A" w:rsidP="00D41BD8">
      <w:pPr>
        <w:pStyle w:val="Notedebasdepage"/>
        <w:jc w:val="both"/>
        <w:rPr>
          <w:rFonts w:ascii="Times New Roman" w:hAnsi="Times New Roman" w:cs="Times New Roman"/>
        </w:rPr>
      </w:pPr>
      <w:r w:rsidRPr="00832214">
        <w:rPr>
          <w:rStyle w:val="Appelnotedebasdep"/>
          <w:rFonts w:ascii="Times New Roman" w:hAnsi="Times New Roman" w:cs="Times New Roman"/>
        </w:rPr>
        <w:footnoteRef/>
      </w:r>
      <w:r w:rsidRPr="00832214">
        <w:rPr>
          <w:rFonts w:ascii="Times New Roman" w:hAnsi="Times New Roman" w:cs="Times New Roman"/>
        </w:rPr>
        <w:t xml:space="preserve">MICHEL CAPRON, </w:t>
      </w:r>
      <w:r w:rsidRPr="00832214">
        <w:rPr>
          <w:rFonts w:ascii="Times New Roman" w:hAnsi="Times New Roman" w:cs="Times New Roman"/>
          <w:i/>
        </w:rPr>
        <w:t>« </w:t>
      </w:r>
      <w:r w:rsidRPr="00832214">
        <w:rPr>
          <w:rFonts w:ascii="Times New Roman" w:hAnsi="Times New Roman" w:cs="Times New Roman"/>
          <w:i/>
          <w:u w:val="single"/>
        </w:rPr>
        <w:t>La comptabilité en perspective </w:t>
      </w:r>
      <w:r w:rsidRPr="00832214">
        <w:rPr>
          <w:rFonts w:ascii="Times New Roman" w:hAnsi="Times New Roman" w:cs="Times New Roman"/>
          <w:i/>
        </w:rPr>
        <w:t>»</w:t>
      </w:r>
      <w:r w:rsidRPr="00832214">
        <w:rPr>
          <w:rFonts w:ascii="Times New Roman" w:hAnsi="Times New Roman" w:cs="Times New Roman"/>
        </w:rPr>
        <w:t>, Editions la découverte, Paris, 1993, p.3.</w:t>
      </w:r>
    </w:p>
  </w:footnote>
  <w:footnote w:id="3">
    <w:p w:rsidR="0039067A" w:rsidRPr="00832214" w:rsidRDefault="0039067A" w:rsidP="00D41BD8">
      <w:pPr>
        <w:pStyle w:val="Notedebasdepage"/>
        <w:jc w:val="both"/>
        <w:rPr>
          <w:rFonts w:ascii="Times New Roman" w:hAnsi="Times New Roman" w:cs="Times New Roman"/>
          <w:lang w:val="en-US"/>
        </w:rPr>
      </w:pPr>
      <w:r w:rsidRPr="00832214">
        <w:rPr>
          <w:rStyle w:val="Appelnotedebasdep"/>
          <w:rFonts w:ascii="Times New Roman" w:hAnsi="Times New Roman" w:cs="Times New Roman"/>
        </w:rPr>
        <w:footnoteRef/>
      </w:r>
      <w:proofErr w:type="gramStart"/>
      <w:r w:rsidRPr="00832214">
        <w:rPr>
          <w:rFonts w:ascii="Times New Roman" w:hAnsi="Times New Roman" w:cs="Times New Roman"/>
          <w:lang w:val="en-US"/>
        </w:rPr>
        <w:t>Idem, p.31.</w:t>
      </w:r>
      <w:proofErr w:type="gramEnd"/>
    </w:p>
  </w:footnote>
  <w:footnote w:id="4">
    <w:p w:rsidR="0039067A" w:rsidRPr="00832214" w:rsidRDefault="0039067A" w:rsidP="00D41BD8">
      <w:pPr>
        <w:pStyle w:val="Notedebasdepage"/>
        <w:jc w:val="both"/>
        <w:rPr>
          <w:rFonts w:ascii="Times New Roman" w:hAnsi="Times New Roman" w:cs="Times New Roman"/>
          <w:lang w:val="en-US"/>
        </w:rPr>
      </w:pPr>
      <w:r w:rsidRPr="00832214">
        <w:rPr>
          <w:rStyle w:val="Appelnotedebasdep"/>
          <w:rFonts w:ascii="Times New Roman" w:hAnsi="Times New Roman" w:cs="Times New Roman"/>
        </w:rPr>
        <w:footnoteRef/>
      </w:r>
      <w:r w:rsidRPr="00832214">
        <w:rPr>
          <w:rFonts w:ascii="Times New Roman" w:hAnsi="Times New Roman" w:cs="Times New Roman"/>
          <w:lang w:val="en-US"/>
        </w:rPr>
        <w:t xml:space="preserve"> R. MATTESSICH, </w:t>
      </w:r>
      <w:r w:rsidRPr="00832214">
        <w:rPr>
          <w:rFonts w:ascii="Times New Roman" w:hAnsi="Times New Roman" w:cs="Times New Roman"/>
          <w:i/>
          <w:lang w:val="en-US"/>
        </w:rPr>
        <w:t>«</w:t>
      </w:r>
      <w:r w:rsidRPr="00832214">
        <w:rPr>
          <w:rFonts w:ascii="Times New Roman" w:hAnsi="Times New Roman" w:cs="Times New Roman"/>
          <w:i/>
          <w:u w:val="single"/>
          <w:lang w:val="en-US"/>
        </w:rPr>
        <w:t xml:space="preserve">Accounting representation and the onion model of reality: a comparison with </w:t>
      </w:r>
      <w:proofErr w:type="spellStart"/>
      <w:r w:rsidRPr="00832214">
        <w:rPr>
          <w:rFonts w:ascii="Times New Roman" w:hAnsi="Times New Roman" w:cs="Times New Roman"/>
          <w:i/>
          <w:u w:val="single"/>
          <w:lang w:val="en-US"/>
        </w:rPr>
        <w:t>Baudrillard's</w:t>
      </w:r>
      <w:proofErr w:type="spellEnd"/>
      <w:r w:rsidRPr="00832214">
        <w:rPr>
          <w:rFonts w:ascii="Times New Roman" w:hAnsi="Times New Roman" w:cs="Times New Roman"/>
          <w:i/>
          <w:u w:val="single"/>
          <w:lang w:val="en-US"/>
        </w:rPr>
        <w:t xml:space="preserve"> order of simulacra and his hyper-reality</w:t>
      </w:r>
      <w:r w:rsidRPr="00832214">
        <w:rPr>
          <w:rFonts w:ascii="Times New Roman" w:hAnsi="Times New Roman" w:cs="Times New Roman"/>
          <w:i/>
          <w:lang w:val="en-US"/>
        </w:rPr>
        <w:t>»</w:t>
      </w:r>
      <w:r w:rsidRPr="00832214">
        <w:rPr>
          <w:rFonts w:ascii="Times New Roman" w:hAnsi="Times New Roman" w:cs="Times New Roman"/>
          <w:lang w:val="en-US"/>
        </w:rPr>
        <w:t>, Accounting, Organizations and Society, N°28, 2003, pp. 443-470.</w:t>
      </w:r>
    </w:p>
  </w:footnote>
  <w:footnote w:id="5">
    <w:p w:rsidR="0039067A" w:rsidRPr="00832214" w:rsidRDefault="0039067A" w:rsidP="00D41BD8">
      <w:pPr>
        <w:pStyle w:val="Notedebasdepage"/>
        <w:jc w:val="both"/>
        <w:rPr>
          <w:rFonts w:ascii="Times New Roman" w:hAnsi="Times New Roman" w:cs="Times New Roman"/>
        </w:rPr>
      </w:pPr>
      <w:r w:rsidRPr="00832214">
        <w:rPr>
          <w:rStyle w:val="Appelnotedebasdep"/>
          <w:rFonts w:ascii="Times New Roman" w:hAnsi="Times New Roman" w:cs="Times New Roman"/>
        </w:rPr>
        <w:footnoteRef/>
      </w:r>
      <w:r w:rsidRPr="00832214">
        <w:rPr>
          <w:rFonts w:ascii="Times New Roman" w:hAnsi="Times New Roman" w:cs="Times New Roman"/>
        </w:rPr>
        <w:t xml:space="preserve">P. FOULQUIE, </w:t>
      </w:r>
      <w:r w:rsidRPr="00832214">
        <w:rPr>
          <w:rFonts w:ascii="Times New Roman" w:hAnsi="Times New Roman" w:cs="Times New Roman"/>
          <w:i/>
        </w:rPr>
        <w:t>«</w:t>
      </w:r>
      <w:r w:rsidRPr="00832214">
        <w:rPr>
          <w:rFonts w:ascii="Times New Roman" w:hAnsi="Times New Roman" w:cs="Times New Roman"/>
          <w:i/>
          <w:u w:val="single"/>
        </w:rPr>
        <w:t>Dictionnaire de la langue philosophique </w:t>
      </w:r>
      <w:r w:rsidRPr="00832214">
        <w:rPr>
          <w:rFonts w:ascii="Times New Roman" w:hAnsi="Times New Roman" w:cs="Times New Roman"/>
          <w:i/>
        </w:rPr>
        <w:t>»</w:t>
      </w:r>
      <w:r w:rsidRPr="00832214">
        <w:rPr>
          <w:rFonts w:ascii="Times New Roman" w:hAnsi="Times New Roman" w:cs="Times New Roman"/>
        </w:rPr>
        <w:t>, édition PUF, 5</w:t>
      </w:r>
      <w:r w:rsidRPr="00832214">
        <w:rPr>
          <w:rFonts w:ascii="Times New Roman" w:hAnsi="Times New Roman" w:cs="Times New Roman"/>
          <w:vertAlign w:val="superscript"/>
        </w:rPr>
        <w:t xml:space="preserve">e </w:t>
      </w:r>
      <w:r w:rsidRPr="00832214">
        <w:rPr>
          <w:rFonts w:ascii="Times New Roman" w:hAnsi="Times New Roman" w:cs="Times New Roman"/>
        </w:rPr>
        <w:t xml:space="preserve">édit, 1986, </w:t>
      </w:r>
      <w:r w:rsidRPr="00832214">
        <w:rPr>
          <w:rFonts w:ascii="Times New Roman" w:eastAsia="Times New Roman" w:hAnsi="Times New Roman" w:cs="Times New Roman"/>
          <w:lang w:eastAsia="fr-FR"/>
        </w:rPr>
        <w:t>p.1080.</w:t>
      </w:r>
    </w:p>
  </w:footnote>
  <w:footnote w:id="6">
    <w:p w:rsidR="0039067A" w:rsidRPr="00A82400" w:rsidRDefault="0039067A" w:rsidP="00D41BD8">
      <w:pPr>
        <w:pStyle w:val="Notedebasdepage"/>
        <w:jc w:val="both"/>
        <w:rPr>
          <w:rFonts w:ascii="Times New Roman" w:hAnsi="Times New Roman" w:cs="Times New Roman"/>
        </w:rPr>
      </w:pPr>
      <w:r>
        <w:rPr>
          <w:rStyle w:val="Appelnotedebasdep"/>
        </w:rPr>
        <w:footnoteRef/>
      </w:r>
      <w:r w:rsidRPr="00A82400">
        <w:rPr>
          <w:rFonts w:ascii="Times New Roman" w:hAnsi="Times New Roman" w:cs="Times New Roman"/>
        </w:rPr>
        <w:t xml:space="preserve">B.COLASSE, </w:t>
      </w:r>
      <w:r>
        <w:rPr>
          <w:rFonts w:ascii="Times New Roman" w:hAnsi="Times New Roman" w:cs="Times New Roman"/>
        </w:rPr>
        <w:t>« </w:t>
      </w:r>
      <w:r w:rsidRPr="00A82400">
        <w:rPr>
          <w:rFonts w:ascii="Times New Roman" w:hAnsi="Times New Roman" w:cs="Times New Roman"/>
          <w:i/>
          <w:u w:val="single"/>
        </w:rPr>
        <w:t>Comptabilité générale</w:t>
      </w:r>
      <w:r w:rsidRPr="00A82400">
        <w:rPr>
          <w:rFonts w:ascii="Times New Roman" w:hAnsi="Times New Roman" w:cs="Times New Roman"/>
        </w:rPr>
        <w:t> », PCG 1999 et IAS, 2001, p.39.</w:t>
      </w:r>
    </w:p>
  </w:footnote>
  <w:footnote w:id="7">
    <w:p w:rsidR="0039067A" w:rsidRPr="00A82400" w:rsidRDefault="0039067A" w:rsidP="00D41BD8">
      <w:pPr>
        <w:pStyle w:val="Notedebasdepage"/>
        <w:jc w:val="both"/>
        <w:rPr>
          <w:rFonts w:ascii="Times New Roman" w:hAnsi="Times New Roman" w:cs="Times New Roman"/>
        </w:rPr>
      </w:pPr>
      <w:r w:rsidRPr="00A82400">
        <w:rPr>
          <w:rStyle w:val="Appelnotedebasdep"/>
          <w:rFonts w:ascii="Times New Roman" w:hAnsi="Times New Roman" w:cs="Times New Roman"/>
        </w:rPr>
        <w:footnoteRef/>
      </w:r>
      <w:r w:rsidRPr="00A82400">
        <w:rPr>
          <w:rFonts w:ascii="Times New Roman" w:hAnsi="Times New Roman" w:cs="Times New Roman"/>
        </w:rPr>
        <w:t xml:space="preserve">M.WEBER, </w:t>
      </w:r>
      <w:r>
        <w:rPr>
          <w:rFonts w:ascii="Times New Roman" w:hAnsi="Times New Roman" w:cs="Times New Roman"/>
        </w:rPr>
        <w:t>« </w:t>
      </w:r>
      <w:r w:rsidRPr="00A82400">
        <w:rPr>
          <w:rFonts w:ascii="Times New Roman" w:hAnsi="Times New Roman" w:cs="Times New Roman"/>
          <w:i/>
          <w:u w:val="single"/>
        </w:rPr>
        <w:t>Economie et société</w:t>
      </w:r>
      <w:r>
        <w:rPr>
          <w:rFonts w:ascii="Times New Roman" w:hAnsi="Times New Roman" w:cs="Times New Roman"/>
          <w:u w:val="single"/>
        </w:rPr>
        <w:t> </w:t>
      </w:r>
      <w:r w:rsidRPr="00A82400">
        <w:rPr>
          <w:rFonts w:ascii="Times New Roman" w:hAnsi="Times New Roman" w:cs="Times New Roman"/>
        </w:rPr>
        <w:t>», édit Plon, 1971, p.63.</w:t>
      </w:r>
    </w:p>
  </w:footnote>
  <w:footnote w:id="8">
    <w:p w:rsidR="0039067A" w:rsidRPr="00A82400" w:rsidRDefault="0039067A" w:rsidP="00D41BD8">
      <w:pPr>
        <w:pStyle w:val="Notedebasdepage"/>
        <w:jc w:val="both"/>
        <w:rPr>
          <w:rFonts w:ascii="Times New Roman" w:hAnsi="Times New Roman" w:cs="Times New Roman"/>
        </w:rPr>
      </w:pPr>
      <w:r w:rsidRPr="00A82400">
        <w:rPr>
          <w:rStyle w:val="Appelnotedebasdep"/>
          <w:rFonts w:ascii="Times New Roman" w:hAnsi="Times New Roman" w:cs="Times New Roman"/>
        </w:rPr>
        <w:footnoteRef/>
      </w:r>
      <w:r w:rsidRPr="00A82400">
        <w:rPr>
          <w:rFonts w:ascii="Times New Roman" w:hAnsi="Times New Roman" w:cs="Times New Roman"/>
        </w:rPr>
        <w:t xml:space="preserve">B.ESNAULT, </w:t>
      </w:r>
      <w:r w:rsidRPr="00A82400">
        <w:rPr>
          <w:rFonts w:ascii="Times New Roman" w:hAnsi="Times New Roman" w:cs="Times New Roman"/>
          <w:i/>
        </w:rPr>
        <w:t>« </w:t>
      </w:r>
      <w:r w:rsidRPr="00A82400">
        <w:rPr>
          <w:rFonts w:ascii="Times New Roman" w:hAnsi="Times New Roman" w:cs="Times New Roman"/>
          <w:i/>
          <w:u w:val="single"/>
        </w:rPr>
        <w:t>Comptabilité financière </w:t>
      </w:r>
      <w:r w:rsidRPr="00A82400">
        <w:rPr>
          <w:rFonts w:ascii="Times New Roman" w:hAnsi="Times New Roman" w:cs="Times New Roman"/>
          <w:i/>
        </w:rPr>
        <w:t>»</w:t>
      </w:r>
      <w:r w:rsidRPr="00A82400">
        <w:rPr>
          <w:rFonts w:ascii="Times New Roman" w:hAnsi="Times New Roman" w:cs="Times New Roman"/>
        </w:rPr>
        <w:t xml:space="preserve">, </w:t>
      </w:r>
      <w:proofErr w:type="spellStart"/>
      <w:r w:rsidRPr="00A82400">
        <w:rPr>
          <w:rFonts w:ascii="Times New Roman" w:hAnsi="Times New Roman" w:cs="Times New Roman"/>
        </w:rPr>
        <w:t>Economica</w:t>
      </w:r>
      <w:proofErr w:type="spellEnd"/>
      <w:r w:rsidRPr="00A82400">
        <w:rPr>
          <w:rFonts w:ascii="Times New Roman" w:hAnsi="Times New Roman" w:cs="Times New Roman"/>
        </w:rPr>
        <w:t>, 3</w:t>
      </w:r>
      <w:r w:rsidRPr="00A82400">
        <w:rPr>
          <w:rFonts w:ascii="Times New Roman" w:hAnsi="Times New Roman" w:cs="Times New Roman"/>
          <w:vertAlign w:val="superscript"/>
        </w:rPr>
        <w:t xml:space="preserve">ème </w:t>
      </w:r>
      <w:r w:rsidRPr="00A82400">
        <w:rPr>
          <w:rFonts w:ascii="Times New Roman" w:hAnsi="Times New Roman" w:cs="Times New Roman"/>
        </w:rPr>
        <w:t>édition, 2001, p.6-9.</w:t>
      </w:r>
    </w:p>
  </w:footnote>
  <w:footnote w:id="9">
    <w:p w:rsidR="0039067A" w:rsidRPr="00A82400" w:rsidRDefault="0039067A" w:rsidP="00D41BD8">
      <w:pPr>
        <w:pStyle w:val="Notedebasdepage"/>
        <w:jc w:val="both"/>
        <w:rPr>
          <w:rFonts w:ascii="Times New Roman" w:hAnsi="Times New Roman" w:cs="Times New Roman"/>
        </w:rPr>
      </w:pPr>
      <w:r w:rsidRPr="00A82400">
        <w:rPr>
          <w:rStyle w:val="Appelnotedebasdep"/>
          <w:rFonts w:ascii="Times New Roman" w:hAnsi="Times New Roman" w:cs="Times New Roman"/>
        </w:rPr>
        <w:footnoteRef/>
      </w:r>
      <w:r w:rsidRPr="00A82400">
        <w:rPr>
          <w:rFonts w:ascii="Times New Roman" w:hAnsi="Times New Roman" w:cs="Times New Roman"/>
        </w:rPr>
        <w:t>M. CAPRON,</w:t>
      </w:r>
      <w:r>
        <w:rPr>
          <w:rFonts w:ascii="Times New Roman" w:hAnsi="Times New Roman" w:cs="Times New Roman"/>
        </w:rPr>
        <w:t xml:space="preserve"> </w:t>
      </w:r>
      <w:r w:rsidRPr="00A82400">
        <w:rPr>
          <w:rFonts w:ascii="Times New Roman" w:hAnsi="Times New Roman" w:cs="Times New Roman"/>
          <w:i/>
        </w:rPr>
        <w:t>«</w:t>
      </w:r>
      <w:r w:rsidRPr="00A82400">
        <w:rPr>
          <w:rFonts w:ascii="Times New Roman" w:hAnsi="Times New Roman" w:cs="Times New Roman"/>
          <w:bCs/>
          <w:i/>
          <w:u w:val="single"/>
        </w:rPr>
        <w:t>Les normes comptables internationales, instruments du capitalisme financier »</w:t>
      </w:r>
      <w:r w:rsidRPr="00FD15A5">
        <w:rPr>
          <w:rFonts w:ascii="Times New Roman" w:hAnsi="Times New Roman" w:cs="Times New Roman"/>
          <w:bCs/>
        </w:rPr>
        <w:t xml:space="preserve">, </w:t>
      </w:r>
      <w:r w:rsidRPr="00A82400">
        <w:rPr>
          <w:rFonts w:ascii="Times New Roman" w:hAnsi="Times New Roman" w:cs="Times New Roman"/>
        </w:rPr>
        <w:t>Revue</w:t>
      </w:r>
      <w:r w:rsidRPr="00A82400">
        <w:rPr>
          <w:rFonts w:ascii="Times New Roman" w:hAnsi="Times New Roman" w:cs="Times New Roman"/>
          <w:bCs/>
        </w:rPr>
        <w:t xml:space="preserve"> sciences de la société</w:t>
      </w:r>
      <w:r>
        <w:rPr>
          <w:rFonts w:ascii="Times New Roman" w:hAnsi="Times New Roman" w:cs="Times New Roman"/>
          <w:bCs/>
        </w:rPr>
        <w:t xml:space="preserve"> </w:t>
      </w:r>
      <w:r w:rsidRPr="00A82400">
        <w:rPr>
          <w:rFonts w:ascii="Times New Roman" w:hAnsi="Times New Roman" w:cs="Times New Roman"/>
        </w:rPr>
        <w:t>N° 68 – mai 2006.</w:t>
      </w:r>
    </w:p>
  </w:footnote>
  <w:footnote w:id="10">
    <w:p w:rsidR="0039067A" w:rsidRPr="004B2E7B" w:rsidRDefault="0039067A" w:rsidP="00D41BD8">
      <w:pPr>
        <w:pStyle w:val="Notedebasdepage"/>
        <w:jc w:val="both"/>
        <w:rPr>
          <w:rFonts w:ascii="Times New Roman" w:hAnsi="Times New Roman" w:cs="Times New Roman"/>
        </w:rPr>
      </w:pPr>
      <w:r w:rsidRPr="004B2E7B">
        <w:rPr>
          <w:rStyle w:val="Appelnotedebasdep"/>
          <w:rFonts w:ascii="Times New Roman" w:hAnsi="Times New Roman" w:cs="Times New Roman"/>
        </w:rPr>
        <w:footnoteRef/>
      </w:r>
      <w:r w:rsidRPr="004B2E7B">
        <w:rPr>
          <w:rFonts w:ascii="Times New Roman" w:hAnsi="Times New Roman" w:cs="Times New Roman"/>
        </w:rPr>
        <w:t xml:space="preserve"> </w:t>
      </w:r>
      <w:r w:rsidRPr="004B2E7B">
        <w:rPr>
          <w:rFonts w:ascii="Times New Roman" w:hAnsi="Times New Roman" w:cs="Times New Roman"/>
          <w:bCs/>
        </w:rPr>
        <w:t xml:space="preserve">Elena BARBU, </w:t>
      </w:r>
      <w:r w:rsidRPr="004B2E7B">
        <w:rPr>
          <w:rFonts w:ascii="Times New Roman" w:hAnsi="Times New Roman" w:cs="Times New Roman"/>
          <w:bCs/>
          <w:i/>
        </w:rPr>
        <w:t>« </w:t>
      </w:r>
      <w:r w:rsidRPr="004B2E7B">
        <w:rPr>
          <w:rFonts w:ascii="Times New Roman" w:hAnsi="Times New Roman" w:cs="Times New Roman"/>
          <w:bCs/>
          <w:i/>
          <w:iCs/>
          <w:u w:val="single"/>
        </w:rPr>
        <w:t>une meilleure connaissance de l’environnement comptable : condition sine qua non d’une meilleure compréhension de l’harmonisation comptable internationale </w:t>
      </w:r>
      <w:r w:rsidRPr="004B2E7B">
        <w:rPr>
          <w:rFonts w:ascii="Times New Roman" w:hAnsi="Times New Roman" w:cs="Times New Roman"/>
          <w:bCs/>
          <w:i/>
          <w:iCs/>
        </w:rPr>
        <w:t>»</w:t>
      </w:r>
      <w:r w:rsidRPr="004B2E7B">
        <w:rPr>
          <w:rFonts w:ascii="Times New Roman" w:hAnsi="Times New Roman" w:cs="Times New Roman"/>
          <w:bCs/>
          <w:iCs/>
        </w:rPr>
        <w:t>, publié dans "Comptabilité et Connaissances</w:t>
      </w:r>
      <w:r>
        <w:rPr>
          <w:rFonts w:ascii="Times New Roman" w:hAnsi="Times New Roman" w:cs="Times New Roman"/>
          <w:bCs/>
          <w:iCs/>
        </w:rPr>
        <w:t>"</w:t>
      </w:r>
      <w:r w:rsidRPr="004B2E7B">
        <w:rPr>
          <w:rFonts w:ascii="Times New Roman" w:hAnsi="Times New Roman" w:cs="Times New Roman"/>
          <w:bCs/>
          <w:iCs/>
        </w:rPr>
        <w:t>, France, 2005</w:t>
      </w:r>
      <w:r>
        <w:rPr>
          <w:rFonts w:ascii="Times New Roman" w:hAnsi="Times New Roman" w:cs="Times New Roman"/>
          <w:bCs/>
          <w:iCs/>
        </w:rPr>
        <w:t>, p : 4</w:t>
      </w:r>
      <w:r w:rsidRPr="004B2E7B">
        <w:rPr>
          <w:rFonts w:ascii="Times New Roman" w:hAnsi="Times New Roman" w:cs="Times New Roman"/>
          <w:bCs/>
          <w:iCs/>
        </w:rPr>
        <w:t>.</w:t>
      </w:r>
      <w:r w:rsidRPr="004B2E7B">
        <w:rPr>
          <w:rFonts w:ascii="Times New Roman" w:hAnsi="Times New Roman" w:cs="Times New Roman"/>
        </w:rPr>
        <w:t xml:space="preserve"> </w:t>
      </w:r>
    </w:p>
  </w:footnote>
  <w:footnote w:id="11">
    <w:p w:rsidR="0039067A" w:rsidRPr="000C7773" w:rsidRDefault="0039067A" w:rsidP="00D41BD8">
      <w:pPr>
        <w:pStyle w:val="Notedebasdepage"/>
        <w:jc w:val="both"/>
        <w:rPr>
          <w:rFonts w:ascii="Times New Roman" w:hAnsi="Times New Roman" w:cs="Times New Roman"/>
          <w:bCs/>
          <w:iCs/>
          <w:u w:val="single"/>
        </w:rPr>
      </w:pPr>
      <w:r w:rsidRPr="000C7773">
        <w:rPr>
          <w:rStyle w:val="Appelnotedebasdep"/>
          <w:rFonts w:ascii="Times New Roman" w:hAnsi="Times New Roman" w:cs="Times New Roman"/>
        </w:rPr>
        <w:footnoteRef/>
      </w:r>
      <w:r>
        <w:rPr>
          <w:rFonts w:ascii="Times New Roman" w:hAnsi="Times New Roman" w:cs="Times New Roman"/>
          <w:bCs/>
        </w:rPr>
        <w:t>Idem</w:t>
      </w:r>
      <w:r w:rsidRPr="000C7773">
        <w:rPr>
          <w:rFonts w:ascii="Times New Roman" w:hAnsi="Times New Roman" w:cs="Times New Roman"/>
          <w:bCs/>
        </w:rPr>
        <w:t xml:space="preserve">, P : </w:t>
      </w:r>
      <w:proofErr w:type="gramStart"/>
      <w:r w:rsidRPr="000C7773">
        <w:rPr>
          <w:rFonts w:ascii="Times New Roman" w:hAnsi="Times New Roman" w:cs="Times New Roman"/>
          <w:bCs/>
        </w:rPr>
        <w:t xml:space="preserve">2 </w:t>
      </w:r>
      <w:r w:rsidRPr="000C7773">
        <w:rPr>
          <w:rFonts w:ascii="Times New Roman" w:hAnsi="Times New Roman" w:cs="Times New Roman"/>
          <w:bCs/>
          <w:iCs/>
        </w:rPr>
        <w:t>.</w:t>
      </w:r>
      <w:proofErr w:type="gramEnd"/>
    </w:p>
  </w:footnote>
  <w:footnote w:id="12">
    <w:p w:rsidR="0039067A" w:rsidRPr="000C7773" w:rsidRDefault="0039067A" w:rsidP="00D41BD8">
      <w:pPr>
        <w:pStyle w:val="Notedebasdepage"/>
        <w:jc w:val="both"/>
        <w:rPr>
          <w:rFonts w:ascii="Times New Roman" w:hAnsi="Times New Roman" w:cs="Times New Roman"/>
        </w:rPr>
      </w:pPr>
      <w:r w:rsidRPr="000C7773">
        <w:rPr>
          <w:rStyle w:val="Appelnotedebasdep"/>
          <w:rFonts w:ascii="Times New Roman" w:hAnsi="Times New Roman" w:cs="Times New Roman"/>
        </w:rPr>
        <w:footnoteRef/>
      </w:r>
      <w:proofErr w:type="spellStart"/>
      <w:r w:rsidRPr="000C7773">
        <w:rPr>
          <w:rFonts w:ascii="Times New Roman" w:hAnsi="Times New Roman" w:cs="Times New Roman"/>
        </w:rPr>
        <w:t>C.Roberts</w:t>
      </w:r>
      <w:proofErr w:type="spellEnd"/>
      <w:r w:rsidRPr="000C7773">
        <w:rPr>
          <w:rFonts w:ascii="Times New Roman" w:hAnsi="Times New Roman" w:cs="Times New Roman"/>
        </w:rPr>
        <w:t xml:space="preserve"> et autres, « </w:t>
      </w:r>
      <w:r w:rsidRPr="00B81E4C">
        <w:rPr>
          <w:rFonts w:ascii="Times New Roman" w:hAnsi="Times New Roman" w:cs="Times New Roman"/>
          <w:i/>
          <w:u w:val="single"/>
        </w:rPr>
        <w:t xml:space="preserve">International Financial </w:t>
      </w:r>
      <w:proofErr w:type="spellStart"/>
      <w:r w:rsidRPr="00B81E4C">
        <w:rPr>
          <w:rFonts w:ascii="Times New Roman" w:hAnsi="Times New Roman" w:cs="Times New Roman"/>
          <w:i/>
          <w:u w:val="single"/>
        </w:rPr>
        <w:t>Reporting</w:t>
      </w:r>
      <w:proofErr w:type="spellEnd"/>
      <w:r w:rsidRPr="000C7773">
        <w:rPr>
          <w:rFonts w:ascii="Times New Roman" w:hAnsi="Times New Roman" w:cs="Times New Roman"/>
        </w:rPr>
        <w:t xml:space="preserve"> », </w:t>
      </w:r>
      <w:proofErr w:type="spellStart"/>
      <w:r w:rsidRPr="000C7773">
        <w:rPr>
          <w:rFonts w:ascii="Times New Roman" w:hAnsi="Times New Roman" w:cs="Times New Roman"/>
        </w:rPr>
        <w:t>prentice</w:t>
      </w:r>
      <w:proofErr w:type="spellEnd"/>
      <w:r w:rsidRPr="000C7773">
        <w:rPr>
          <w:rFonts w:ascii="Times New Roman" w:hAnsi="Times New Roman" w:cs="Times New Roman"/>
        </w:rPr>
        <w:t xml:space="preserve"> hall, 3</w:t>
      </w:r>
      <w:r w:rsidRPr="000C7773">
        <w:rPr>
          <w:rFonts w:ascii="Times New Roman" w:hAnsi="Times New Roman" w:cs="Times New Roman"/>
          <w:vertAlign w:val="superscript"/>
        </w:rPr>
        <w:t>ème</w:t>
      </w:r>
      <w:r w:rsidRPr="000C7773">
        <w:rPr>
          <w:rFonts w:ascii="Times New Roman" w:hAnsi="Times New Roman" w:cs="Times New Roman"/>
        </w:rPr>
        <w:t xml:space="preserve"> édition, U.K, 2005, P : 148.</w:t>
      </w:r>
    </w:p>
  </w:footnote>
  <w:footnote w:id="13">
    <w:p w:rsidR="0039067A" w:rsidRPr="00421A21" w:rsidRDefault="0039067A" w:rsidP="00D41BD8">
      <w:pPr>
        <w:pStyle w:val="Notedebasdepage"/>
        <w:jc w:val="both"/>
        <w:rPr>
          <w:rFonts w:ascii="Times New Roman" w:hAnsi="Times New Roman" w:cs="Times New Roman"/>
        </w:rPr>
      </w:pPr>
      <w:r w:rsidRPr="00421A21">
        <w:rPr>
          <w:rStyle w:val="Appelnotedebasdep"/>
          <w:rFonts w:ascii="Times New Roman" w:hAnsi="Times New Roman" w:cs="Times New Roman"/>
        </w:rPr>
        <w:footnoteRef/>
      </w:r>
      <w:r w:rsidRPr="00421A21">
        <w:rPr>
          <w:rFonts w:ascii="Times New Roman" w:hAnsi="Times New Roman" w:cs="Times New Roman"/>
        </w:rPr>
        <w:t xml:space="preserve"> Financial </w:t>
      </w:r>
      <w:proofErr w:type="spellStart"/>
      <w:r w:rsidRPr="00421A21">
        <w:rPr>
          <w:rFonts w:ascii="Times New Roman" w:hAnsi="Times New Roman" w:cs="Times New Roman"/>
        </w:rPr>
        <w:t>Accounting</w:t>
      </w:r>
      <w:proofErr w:type="spellEnd"/>
      <w:r w:rsidRPr="00421A21">
        <w:rPr>
          <w:rFonts w:ascii="Times New Roman" w:hAnsi="Times New Roman" w:cs="Times New Roman"/>
        </w:rPr>
        <w:t xml:space="preserve"> </w:t>
      </w:r>
      <w:proofErr w:type="spellStart"/>
      <w:r w:rsidRPr="00421A21">
        <w:rPr>
          <w:rFonts w:ascii="Times New Roman" w:hAnsi="Times New Roman" w:cs="Times New Roman"/>
        </w:rPr>
        <w:t>Standars</w:t>
      </w:r>
      <w:proofErr w:type="spellEnd"/>
      <w:r w:rsidRPr="00421A21">
        <w:rPr>
          <w:rFonts w:ascii="Times New Roman" w:hAnsi="Times New Roman" w:cs="Times New Roman"/>
        </w:rPr>
        <w:t xml:space="preserve"> </w:t>
      </w:r>
      <w:proofErr w:type="spellStart"/>
      <w:r w:rsidRPr="00421A21">
        <w:rPr>
          <w:rFonts w:ascii="Times New Roman" w:hAnsi="Times New Roman" w:cs="Times New Roman"/>
        </w:rPr>
        <w:t>Board</w:t>
      </w:r>
      <w:proofErr w:type="spellEnd"/>
      <w:r w:rsidRPr="00421A21">
        <w:rPr>
          <w:rFonts w:ascii="Times New Roman" w:hAnsi="Times New Roman" w:cs="Times New Roman"/>
        </w:rPr>
        <w:t>.</w:t>
      </w:r>
    </w:p>
  </w:footnote>
  <w:footnote w:id="14">
    <w:p w:rsidR="0039067A" w:rsidRPr="007F3C02" w:rsidRDefault="0039067A" w:rsidP="00D41BD8">
      <w:pPr>
        <w:pStyle w:val="Notedebasdepage"/>
        <w:rPr>
          <w:lang w:val="en-US"/>
        </w:rPr>
      </w:pPr>
      <w:r>
        <w:rPr>
          <w:rStyle w:val="Appelnotedebasdep"/>
        </w:rPr>
        <w:footnoteRef/>
      </w:r>
      <w:r w:rsidRPr="007F3C02">
        <w:rPr>
          <w:lang w:val="en-US"/>
        </w:rPr>
        <w:t xml:space="preserve"> </w:t>
      </w:r>
      <w:r w:rsidRPr="004F4143">
        <w:rPr>
          <w:rFonts w:ascii="Times New Roman" w:hAnsi="Times New Roman" w:cs="Times New Roman"/>
          <w:lang w:val="en-US"/>
        </w:rPr>
        <w:t xml:space="preserve">Elena </w:t>
      </w:r>
      <w:proofErr w:type="spellStart"/>
      <w:r w:rsidRPr="004F4143">
        <w:rPr>
          <w:rFonts w:ascii="Times New Roman" w:hAnsi="Times New Roman" w:cs="Times New Roman"/>
          <w:lang w:val="en-US"/>
        </w:rPr>
        <w:t>Barbu</w:t>
      </w:r>
      <w:proofErr w:type="spellEnd"/>
      <w:r w:rsidRPr="004F4143">
        <w:rPr>
          <w:rFonts w:ascii="Times New Roman" w:hAnsi="Times New Roman" w:cs="Times New Roman"/>
          <w:lang w:val="en-US"/>
        </w:rPr>
        <w:t>, Op-</w:t>
      </w:r>
      <w:proofErr w:type="spellStart"/>
      <w:r w:rsidRPr="004F4143">
        <w:rPr>
          <w:rFonts w:ascii="Times New Roman" w:hAnsi="Times New Roman" w:cs="Times New Roman"/>
          <w:lang w:val="en-US"/>
        </w:rPr>
        <w:t>Cit</w:t>
      </w:r>
      <w:proofErr w:type="spellEnd"/>
      <w:r w:rsidRPr="004F4143">
        <w:rPr>
          <w:rFonts w:ascii="Times New Roman" w:hAnsi="Times New Roman" w:cs="Times New Roman"/>
          <w:lang w:val="en-US"/>
        </w:rPr>
        <w:t xml:space="preserve">, p : </w:t>
      </w:r>
      <w:r>
        <w:rPr>
          <w:rFonts w:ascii="Times New Roman" w:hAnsi="Times New Roman" w:cs="Times New Roman"/>
          <w:lang w:val="en-US"/>
        </w:rPr>
        <w:t>5</w:t>
      </w:r>
      <w:r w:rsidRPr="004F4143">
        <w:rPr>
          <w:rFonts w:ascii="Times New Roman" w:hAnsi="Times New Roman" w:cs="Times New Roman"/>
          <w:lang w:val="en-US"/>
        </w:rPr>
        <w:t>.</w:t>
      </w:r>
    </w:p>
  </w:footnote>
  <w:footnote w:id="15">
    <w:p w:rsidR="0039067A" w:rsidRPr="004F4143" w:rsidRDefault="0039067A" w:rsidP="00D41BD8">
      <w:pPr>
        <w:pStyle w:val="Notedebasdepage"/>
        <w:rPr>
          <w:rFonts w:ascii="Times New Roman" w:hAnsi="Times New Roman" w:cs="Times New Roman"/>
          <w:lang w:val="en-US"/>
        </w:rPr>
      </w:pPr>
      <w:r w:rsidRPr="00421A21">
        <w:rPr>
          <w:rStyle w:val="Appelnotedebasdep"/>
          <w:rFonts w:ascii="Times New Roman" w:hAnsi="Times New Roman" w:cs="Times New Roman"/>
        </w:rPr>
        <w:footnoteRef/>
      </w:r>
      <w:r w:rsidRPr="004F4143">
        <w:rPr>
          <w:rFonts w:ascii="Times New Roman" w:hAnsi="Times New Roman" w:cs="Times New Roman"/>
          <w:lang w:val="en-US"/>
        </w:rPr>
        <w:t xml:space="preserve"> Elena </w:t>
      </w:r>
      <w:proofErr w:type="spellStart"/>
      <w:r w:rsidRPr="004F4143">
        <w:rPr>
          <w:rFonts w:ascii="Times New Roman" w:hAnsi="Times New Roman" w:cs="Times New Roman"/>
          <w:lang w:val="en-US"/>
        </w:rPr>
        <w:t>Barbu</w:t>
      </w:r>
      <w:proofErr w:type="spellEnd"/>
      <w:r w:rsidRPr="004F4143">
        <w:rPr>
          <w:rFonts w:ascii="Times New Roman" w:hAnsi="Times New Roman" w:cs="Times New Roman"/>
          <w:lang w:val="en-US"/>
        </w:rPr>
        <w:t>, Op-</w:t>
      </w:r>
      <w:proofErr w:type="spellStart"/>
      <w:r w:rsidRPr="004F4143">
        <w:rPr>
          <w:rFonts w:ascii="Times New Roman" w:hAnsi="Times New Roman" w:cs="Times New Roman"/>
          <w:lang w:val="en-US"/>
        </w:rPr>
        <w:t>Cit</w:t>
      </w:r>
      <w:proofErr w:type="spellEnd"/>
      <w:r w:rsidRPr="004F4143">
        <w:rPr>
          <w:rFonts w:ascii="Times New Roman" w:hAnsi="Times New Roman" w:cs="Times New Roman"/>
          <w:lang w:val="en-US"/>
        </w:rPr>
        <w:t xml:space="preserve">, p : 6. </w:t>
      </w:r>
    </w:p>
  </w:footnote>
  <w:footnote w:id="16">
    <w:p w:rsidR="0039067A" w:rsidRPr="004E6F99" w:rsidRDefault="0039067A" w:rsidP="00D41BD8">
      <w:pPr>
        <w:pStyle w:val="Notedebasdepage"/>
        <w:rPr>
          <w:rFonts w:ascii="Times New Roman" w:hAnsi="Times New Roman" w:cs="Times New Roman"/>
          <w:lang w:val="en-US"/>
        </w:rPr>
      </w:pPr>
      <w:r w:rsidRPr="004E6F99">
        <w:rPr>
          <w:rStyle w:val="Appelnotedebasdep"/>
          <w:rFonts w:ascii="Times New Roman" w:hAnsi="Times New Roman" w:cs="Times New Roman"/>
        </w:rPr>
        <w:footnoteRef/>
      </w:r>
      <w:r w:rsidRPr="004E6F99">
        <w:rPr>
          <w:rFonts w:ascii="Times New Roman" w:hAnsi="Times New Roman" w:cs="Times New Roman"/>
          <w:lang w:val="en-US"/>
        </w:rPr>
        <w:t xml:space="preserve"> </w:t>
      </w:r>
      <w:proofErr w:type="spellStart"/>
      <w:r w:rsidRPr="004E6F99">
        <w:rPr>
          <w:rFonts w:ascii="Times New Roman" w:hAnsi="Times New Roman" w:cs="Times New Roman"/>
          <w:lang w:val="en-US"/>
        </w:rPr>
        <w:t>Horngren</w:t>
      </w:r>
      <w:proofErr w:type="spellEnd"/>
      <w:r w:rsidRPr="004E6F99">
        <w:rPr>
          <w:rFonts w:ascii="Times New Roman" w:hAnsi="Times New Roman" w:cs="Times New Roman"/>
          <w:lang w:val="en-US"/>
        </w:rPr>
        <w:t xml:space="preserve"> C.T., « </w:t>
      </w:r>
      <w:r w:rsidRPr="004E6F99">
        <w:rPr>
          <w:rFonts w:ascii="Times New Roman" w:hAnsi="Times New Roman" w:cs="Times New Roman"/>
          <w:i/>
          <w:u w:val="single"/>
          <w:lang w:val="en-US"/>
        </w:rPr>
        <w:t>The Marketing of Accounting Standards</w:t>
      </w:r>
      <w:r w:rsidRPr="004E6F99">
        <w:rPr>
          <w:rFonts w:ascii="Times New Roman" w:hAnsi="Times New Roman" w:cs="Times New Roman"/>
          <w:lang w:val="en-US"/>
        </w:rPr>
        <w:t xml:space="preserve"> », </w:t>
      </w:r>
      <w:r w:rsidRPr="004E6F99">
        <w:rPr>
          <w:rFonts w:ascii="Times New Roman" w:hAnsi="Times New Roman" w:cs="Times New Roman"/>
          <w:i/>
          <w:iCs/>
          <w:lang w:val="en-US"/>
        </w:rPr>
        <w:t xml:space="preserve">Journal of Accountancy, </w:t>
      </w:r>
      <w:proofErr w:type="spellStart"/>
      <w:r>
        <w:rPr>
          <w:rFonts w:ascii="Times New Roman" w:hAnsi="Times New Roman" w:cs="Times New Roman"/>
          <w:lang w:val="en-US"/>
        </w:rPr>
        <w:t>O</w:t>
      </w:r>
      <w:r w:rsidRPr="004E6F99">
        <w:rPr>
          <w:rFonts w:ascii="Times New Roman" w:hAnsi="Times New Roman" w:cs="Times New Roman"/>
          <w:lang w:val="en-US"/>
        </w:rPr>
        <w:t>ctobre</w:t>
      </w:r>
      <w:proofErr w:type="spellEnd"/>
      <w:r>
        <w:rPr>
          <w:rFonts w:ascii="Times New Roman" w:hAnsi="Times New Roman" w:cs="Times New Roman"/>
          <w:lang w:val="en-US"/>
        </w:rPr>
        <w:t xml:space="preserve"> 1973</w:t>
      </w:r>
      <w:r w:rsidRPr="004E6F99">
        <w:rPr>
          <w:rFonts w:ascii="Times New Roman" w:hAnsi="Times New Roman" w:cs="Times New Roman"/>
          <w:lang w:val="en-US"/>
        </w:rPr>
        <w:t xml:space="preserve">, pp. 61-66. </w:t>
      </w:r>
    </w:p>
  </w:footnote>
  <w:footnote w:id="17">
    <w:p w:rsidR="0039067A" w:rsidRDefault="0039067A" w:rsidP="00D41BD8">
      <w:pPr>
        <w:pStyle w:val="Notedebasdepage"/>
      </w:pPr>
      <w:r>
        <w:rPr>
          <w:rStyle w:val="Appelnotedebasdep"/>
        </w:rPr>
        <w:footnoteRef/>
      </w:r>
      <w:r>
        <w:t xml:space="preserve"> </w:t>
      </w:r>
      <w:r w:rsidRPr="0050317B">
        <w:rPr>
          <w:rFonts w:ascii="Times New Roman" w:hAnsi="Times New Roman" w:cs="Times New Roman"/>
        </w:rPr>
        <w:t xml:space="preserve">Elena Barbu, </w:t>
      </w:r>
      <w:proofErr w:type="spellStart"/>
      <w:r w:rsidRPr="0050317B">
        <w:rPr>
          <w:rFonts w:ascii="Times New Roman" w:hAnsi="Times New Roman" w:cs="Times New Roman"/>
        </w:rPr>
        <w:t>Op-Cit</w:t>
      </w:r>
      <w:proofErr w:type="spellEnd"/>
      <w:r w:rsidRPr="0050317B">
        <w:rPr>
          <w:rFonts w:ascii="Times New Roman" w:hAnsi="Times New Roman" w:cs="Times New Roman"/>
        </w:rPr>
        <w:t>, p : 7.</w:t>
      </w:r>
    </w:p>
  </w:footnote>
  <w:footnote w:id="18">
    <w:p w:rsidR="0039067A" w:rsidRPr="00C2329C" w:rsidRDefault="0039067A" w:rsidP="00D41BD8">
      <w:pPr>
        <w:pStyle w:val="Notedebasdepage"/>
        <w:jc w:val="both"/>
        <w:rPr>
          <w:rFonts w:ascii="Times New Roman" w:hAnsi="Times New Roman" w:cs="Times New Roman"/>
        </w:rPr>
      </w:pPr>
      <w:r w:rsidRPr="00C2329C">
        <w:rPr>
          <w:rStyle w:val="Appelnotedebasdep"/>
          <w:rFonts w:ascii="Times New Roman" w:hAnsi="Times New Roman" w:cs="Times New Roman"/>
        </w:rPr>
        <w:footnoteRef/>
      </w:r>
      <w:r w:rsidRPr="00C2329C">
        <w:rPr>
          <w:rFonts w:ascii="Times New Roman" w:hAnsi="Times New Roman" w:cs="Times New Roman"/>
        </w:rPr>
        <w:t xml:space="preserve"> GENEVIEVE CAUSSE, </w:t>
      </w:r>
      <w:r w:rsidRPr="00C2329C">
        <w:rPr>
          <w:rFonts w:ascii="Times New Roman" w:hAnsi="Times New Roman" w:cs="Times New Roman"/>
          <w:i/>
        </w:rPr>
        <w:t>« </w:t>
      </w:r>
      <w:r w:rsidRPr="00C2329C">
        <w:rPr>
          <w:rFonts w:ascii="Times New Roman" w:hAnsi="Times New Roman" w:cs="Times New Roman"/>
          <w:i/>
          <w:u w:val="single"/>
        </w:rPr>
        <w:t>Développement et comptabilité</w:t>
      </w:r>
      <w:r w:rsidRPr="00C2329C">
        <w:rPr>
          <w:rFonts w:ascii="Times New Roman" w:hAnsi="Times New Roman" w:cs="Times New Roman"/>
          <w:i/>
        </w:rPr>
        <w:t> »</w:t>
      </w:r>
      <w:r w:rsidRPr="00C2329C">
        <w:rPr>
          <w:rFonts w:ascii="Times New Roman" w:hAnsi="Times New Roman" w:cs="Times New Roman"/>
        </w:rPr>
        <w:t xml:space="preserve">, Encyclopédie de comptabilité, de contrôle de gestion et d'audit, édition </w:t>
      </w:r>
      <w:proofErr w:type="spellStart"/>
      <w:r w:rsidRPr="00C2329C">
        <w:rPr>
          <w:rFonts w:ascii="Times New Roman" w:hAnsi="Times New Roman" w:cs="Times New Roman"/>
        </w:rPr>
        <w:t>Economica</w:t>
      </w:r>
      <w:proofErr w:type="spellEnd"/>
      <w:r w:rsidRPr="00C2329C">
        <w:rPr>
          <w:rFonts w:ascii="Times New Roman" w:hAnsi="Times New Roman" w:cs="Times New Roman"/>
        </w:rPr>
        <w:t>, Paris, 2000</w:t>
      </w:r>
      <w:proofErr w:type="gramStart"/>
      <w:r w:rsidRPr="00C2329C">
        <w:rPr>
          <w:rFonts w:ascii="Times New Roman" w:hAnsi="Times New Roman" w:cs="Times New Roman"/>
        </w:rPr>
        <w:t>,p</w:t>
      </w:r>
      <w:proofErr w:type="gramEnd"/>
      <w:r w:rsidRPr="00C2329C">
        <w:rPr>
          <w:rFonts w:ascii="Times New Roman" w:hAnsi="Times New Roman" w:cs="Times New Roman"/>
        </w:rPr>
        <w:t>-p.597-598.</w:t>
      </w:r>
    </w:p>
  </w:footnote>
  <w:footnote w:id="19">
    <w:p w:rsidR="0039067A" w:rsidRPr="00C2329C" w:rsidRDefault="0039067A" w:rsidP="00D41BD8">
      <w:pPr>
        <w:pStyle w:val="Notedebasdepage"/>
        <w:jc w:val="both"/>
        <w:rPr>
          <w:rFonts w:ascii="Times New Roman" w:hAnsi="Times New Roman" w:cs="Times New Roman"/>
        </w:rPr>
      </w:pPr>
      <w:r w:rsidRPr="00C2329C">
        <w:rPr>
          <w:rStyle w:val="Appelnotedebasdep"/>
          <w:rFonts w:ascii="Times New Roman" w:hAnsi="Times New Roman" w:cs="Times New Roman"/>
        </w:rPr>
        <w:footnoteRef/>
      </w:r>
      <w:proofErr w:type="spellStart"/>
      <w:r w:rsidRPr="00F3418D">
        <w:rPr>
          <w:rFonts w:ascii="Times New Roman" w:hAnsi="Times New Roman" w:cs="Times New Roman"/>
          <w:bCs/>
          <w:color w:val="0F0F0F"/>
        </w:rPr>
        <w:t>Colasse</w:t>
      </w:r>
      <w:proofErr w:type="spellEnd"/>
      <w:r w:rsidRPr="00F3418D">
        <w:rPr>
          <w:rFonts w:ascii="Times New Roman" w:hAnsi="Times New Roman" w:cs="Times New Roman"/>
          <w:bCs/>
          <w:color w:val="0F0F0F"/>
        </w:rPr>
        <w:t>, B.</w:t>
      </w:r>
      <w:r w:rsidRPr="00F3418D">
        <w:rPr>
          <w:rFonts w:ascii="Times New Roman" w:hAnsi="Times New Roman" w:cs="Times New Roman"/>
          <w:color w:val="0F0F0F"/>
        </w:rPr>
        <w:t>, « </w:t>
      </w:r>
      <w:r w:rsidRPr="00F3418D">
        <w:rPr>
          <w:rFonts w:ascii="Times New Roman" w:hAnsi="Times New Roman" w:cs="Times New Roman"/>
          <w:color w:val="0F0F0F"/>
          <w:u w:val="single"/>
        </w:rPr>
        <w:t>Raymond John Chambers : pour une comptabilité continuellement actuelle</w:t>
      </w:r>
      <w:r w:rsidRPr="00F3418D">
        <w:rPr>
          <w:rFonts w:ascii="Times New Roman" w:hAnsi="Times New Roman" w:cs="Times New Roman"/>
          <w:color w:val="0F0F0F"/>
        </w:rPr>
        <w:t xml:space="preserve"> ». In </w:t>
      </w:r>
      <w:r w:rsidRPr="00F3418D">
        <w:rPr>
          <w:rFonts w:ascii="Times New Roman" w:hAnsi="Times New Roman" w:cs="Times New Roman"/>
          <w:i/>
          <w:iCs/>
          <w:color w:val="0F0F0F"/>
        </w:rPr>
        <w:t>Les grands auteurs en comptabilité</w:t>
      </w:r>
      <w:r w:rsidRPr="00F3418D">
        <w:rPr>
          <w:rFonts w:ascii="Times New Roman" w:hAnsi="Times New Roman" w:cs="Times New Roman"/>
          <w:color w:val="0F0F0F"/>
        </w:rPr>
        <w:t>, Editions EMS</w:t>
      </w:r>
      <w:r>
        <w:rPr>
          <w:rFonts w:ascii="Times New Roman" w:hAnsi="Times New Roman" w:cs="Times New Roman"/>
          <w:color w:val="0F0F0F"/>
        </w:rPr>
        <w:t>,</w:t>
      </w:r>
      <w:r w:rsidRPr="00F3418D">
        <w:rPr>
          <w:rFonts w:ascii="Times New Roman" w:hAnsi="Times New Roman" w:cs="Times New Roman"/>
          <w:color w:val="0F0F0F"/>
        </w:rPr>
        <w:t xml:space="preserve"> Paris</w:t>
      </w:r>
      <w:r>
        <w:rPr>
          <w:rFonts w:ascii="Times New Roman" w:hAnsi="Times New Roman" w:cs="Times New Roman"/>
          <w:color w:val="0F0F0F"/>
        </w:rPr>
        <w:t xml:space="preserve">, </w:t>
      </w:r>
      <w:r w:rsidRPr="00F3418D">
        <w:rPr>
          <w:rFonts w:ascii="Times New Roman" w:hAnsi="Times New Roman" w:cs="Times New Roman"/>
          <w:color w:val="0F0F0F"/>
        </w:rPr>
        <w:t>2005, pp.197-215.</w:t>
      </w:r>
    </w:p>
  </w:footnote>
  <w:footnote w:id="20">
    <w:p w:rsidR="0039067A" w:rsidRPr="00C2329C" w:rsidRDefault="0039067A" w:rsidP="00D41BD8">
      <w:pPr>
        <w:pStyle w:val="Notedebasdepage"/>
        <w:jc w:val="both"/>
        <w:rPr>
          <w:rFonts w:ascii="Times New Roman" w:hAnsi="Times New Roman" w:cs="Times New Roman"/>
        </w:rPr>
      </w:pPr>
      <w:r w:rsidRPr="00C2329C">
        <w:rPr>
          <w:rStyle w:val="Appelnotedebasdep"/>
          <w:rFonts w:ascii="Times New Roman" w:hAnsi="Times New Roman" w:cs="Times New Roman"/>
        </w:rPr>
        <w:footnoteRef/>
      </w:r>
      <w:proofErr w:type="spellStart"/>
      <w:r w:rsidRPr="000A6D2C">
        <w:rPr>
          <w:rFonts w:ascii="Times New Roman" w:hAnsi="Times New Roman" w:cs="Times New Roman"/>
          <w:bCs/>
        </w:rPr>
        <w:t>R.Chantiri</w:t>
      </w:r>
      <w:proofErr w:type="spellEnd"/>
      <w:r>
        <w:rPr>
          <w:rFonts w:ascii="Times New Roman" w:hAnsi="Times New Roman" w:cs="Times New Roman"/>
        </w:rPr>
        <w:t xml:space="preserve">, </w:t>
      </w:r>
      <w:r w:rsidRPr="00522FFF">
        <w:rPr>
          <w:rFonts w:ascii="Times New Roman" w:hAnsi="Times New Roman" w:cs="Times New Roman"/>
        </w:rPr>
        <w:t>Conférence</w:t>
      </w:r>
      <w:r>
        <w:rPr>
          <w:rFonts w:ascii="Times New Roman" w:hAnsi="Times New Roman" w:cs="Times New Roman"/>
          <w:b/>
          <w:bCs/>
          <w:i/>
        </w:rPr>
        <w:t xml:space="preserve"> : </w:t>
      </w:r>
      <w:r w:rsidRPr="00F908A4">
        <w:rPr>
          <w:rFonts w:ascii="Times New Roman" w:hAnsi="Times New Roman" w:cs="Times New Roman"/>
          <w:bCs/>
          <w:i/>
        </w:rPr>
        <w:t>« </w:t>
      </w:r>
      <w:r w:rsidRPr="00F908A4">
        <w:rPr>
          <w:rFonts w:ascii="Times New Roman" w:hAnsi="Times New Roman" w:cs="Times New Roman"/>
          <w:bCs/>
          <w:i/>
          <w:u w:val="single"/>
        </w:rPr>
        <w:t>Les recherches anglo-saxonnes sur la "régulation" comptable</w:t>
      </w:r>
      <w:r w:rsidRPr="00F908A4">
        <w:rPr>
          <w:rFonts w:ascii="Times New Roman" w:hAnsi="Times New Roman" w:cs="Times New Roman"/>
          <w:bCs/>
          <w:i/>
        </w:rPr>
        <w:t> »,</w:t>
      </w:r>
      <w:r w:rsidRPr="00522FFF">
        <w:rPr>
          <w:rFonts w:ascii="Times New Roman" w:hAnsi="Times New Roman" w:cs="Times New Roman"/>
        </w:rPr>
        <w:t xml:space="preserve"> Association française de comptabilité</w:t>
      </w:r>
      <w:r>
        <w:rPr>
          <w:rFonts w:ascii="Times New Roman" w:hAnsi="Times New Roman" w:cs="Times New Roman"/>
        </w:rPr>
        <w:t>,</w:t>
      </w:r>
      <w:r w:rsidRPr="00522FFF">
        <w:rPr>
          <w:rFonts w:ascii="Times New Roman" w:hAnsi="Times New Roman" w:cs="Times New Roman"/>
        </w:rPr>
        <w:t xml:space="preserve"> Montpellier</w:t>
      </w:r>
      <w:r>
        <w:rPr>
          <w:rFonts w:ascii="Times New Roman" w:hAnsi="Times New Roman" w:cs="Times New Roman"/>
        </w:rPr>
        <w:t xml:space="preserve">, </w:t>
      </w:r>
      <w:r w:rsidRPr="00522FFF">
        <w:rPr>
          <w:rFonts w:ascii="Times New Roman" w:hAnsi="Times New Roman" w:cs="Times New Roman"/>
        </w:rPr>
        <w:t>1995</w:t>
      </w:r>
      <w:r>
        <w:rPr>
          <w:rFonts w:ascii="Times New Roman" w:hAnsi="Times New Roman" w:cs="Times New Roman"/>
        </w:rPr>
        <w:t xml:space="preserve">, pp : </w:t>
      </w:r>
      <w:r w:rsidRPr="00522FFF">
        <w:rPr>
          <w:rFonts w:ascii="Times New Roman" w:hAnsi="Times New Roman" w:cs="Times New Roman"/>
        </w:rPr>
        <w:t>469-488</w:t>
      </w:r>
      <w:r>
        <w:rPr>
          <w:rFonts w:ascii="Times New Roman" w:hAnsi="Times New Roman" w:cs="Times New Roman"/>
        </w:rPr>
        <w:t>.</w:t>
      </w:r>
    </w:p>
  </w:footnote>
  <w:footnote w:id="21">
    <w:p w:rsidR="0039067A" w:rsidRPr="00F908A4" w:rsidRDefault="0039067A" w:rsidP="00D41BD8">
      <w:pPr>
        <w:pStyle w:val="Notedebasdepage"/>
        <w:jc w:val="both"/>
        <w:rPr>
          <w:rFonts w:ascii="Times New Roman" w:hAnsi="Times New Roman" w:cs="Times New Roman"/>
        </w:rPr>
      </w:pPr>
      <w:r w:rsidRPr="00F908A4">
        <w:rPr>
          <w:rStyle w:val="Appelnotedebasdep"/>
          <w:rFonts w:ascii="Times New Roman" w:hAnsi="Times New Roman" w:cs="Times New Roman"/>
        </w:rPr>
        <w:footnoteRef/>
      </w:r>
      <w:r w:rsidRPr="00F908A4">
        <w:rPr>
          <w:rFonts w:ascii="Times New Roman" w:eastAsia="Times New Roman" w:hAnsi="Times New Roman" w:cs="Times New Roman"/>
          <w:lang w:eastAsia="fr-FR"/>
        </w:rPr>
        <w:t>J.</w:t>
      </w:r>
      <w:r>
        <w:rPr>
          <w:rFonts w:ascii="Times New Roman" w:eastAsia="Times New Roman" w:hAnsi="Times New Roman" w:cs="Times New Roman"/>
          <w:lang w:eastAsia="fr-FR"/>
        </w:rPr>
        <w:t xml:space="preserve"> </w:t>
      </w:r>
      <w:r w:rsidRPr="00F908A4">
        <w:rPr>
          <w:rFonts w:ascii="Times New Roman" w:eastAsia="Times New Roman" w:hAnsi="Times New Roman" w:cs="Times New Roman"/>
          <w:lang w:eastAsia="fr-FR"/>
        </w:rPr>
        <w:t>FORTIN, </w:t>
      </w:r>
      <w:r w:rsidRPr="00F908A4">
        <w:rPr>
          <w:rFonts w:ascii="Times New Roman" w:hAnsi="Times New Roman" w:cs="Times New Roman"/>
          <w:bCs/>
          <w:i/>
        </w:rPr>
        <w:t>« </w:t>
      </w:r>
      <w:r w:rsidRPr="00F908A4">
        <w:rPr>
          <w:rFonts w:ascii="Times New Roman" w:hAnsi="Times New Roman" w:cs="Times New Roman"/>
          <w:bCs/>
          <w:i/>
          <w:u w:val="single"/>
        </w:rPr>
        <w:t>Normalisation comptable : des règles discrètes qui mènent le jeu </w:t>
      </w:r>
      <w:r w:rsidRPr="00F908A4">
        <w:rPr>
          <w:rFonts w:ascii="Times New Roman" w:hAnsi="Times New Roman" w:cs="Times New Roman"/>
          <w:bCs/>
          <w:i/>
        </w:rPr>
        <w:t>»</w:t>
      </w:r>
      <w:r w:rsidRPr="00F908A4">
        <w:rPr>
          <w:rFonts w:ascii="Times New Roman" w:eastAsia="Times New Roman" w:hAnsi="Times New Roman" w:cs="Times New Roman"/>
          <w:lang w:eastAsia="fr-FR"/>
        </w:rPr>
        <w:t>, Gérer et Comprendre, Annales des Mines, septembre1989, pp. 22-32.</w:t>
      </w:r>
    </w:p>
  </w:footnote>
  <w:footnote w:id="22">
    <w:p w:rsidR="0039067A" w:rsidRPr="00C2329C" w:rsidRDefault="0039067A" w:rsidP="00D41BD8">
      <w:pPr>
        <w:pStyle w:val="Notedebasdepage"/>
        <w:jc w:val="both"/>
        <w:rPr>
          <w:rFonts w:ascii="Times New Roman" w:hAnsi="Times New Roman" w:cs="Times New Roman"/>
          <w:lang w:val="en-US"/>
        </w:rPr>
      </w:pPr>
      <w:r w:rsidRPr="00C2329C">
        <w:rPr>
          <w:rStyle w:val="Appelnotedebasdep"/>
          <w:rFonts w:ascii="Times New Roman" w:hAnsi="Times New Roman" w:cs="Times New Roman"/>
        </w:rPr>
        <w:footnoteRef/>
      </w:r>
      <w:proofErr w:type="spellStart"/>
      <w:proofErr w:type="gramStart"/>
      <w:r w:rsidRPr="004F4143">
        <w:rPr>
          <w:rFonts w:ascii="Times New Roman" w:hAnsi="Times New Roman" w:cs="Times New Roman"/>
          <w:bCs/>
          <w:lang w:val="en-US"/>
        </w:rPr>
        <w:t>R.Chantiri</w:t>
      </w:r>
      <w:proofErr w:type="spellEnd"/>
      <w:r w:rsidRPr="004F4143">
        <w:rPr>
          <w:rFonts w:ascii="Times New Roman" w:hAnsi="Times New Roman" w:cs="Times New Roman"/>
          <w:lang w:val="en-US"/>
        </w:rPr>
        <w:t>, Op-cit</w:t>
      </w:r>
      <w:r w:rsidRPr="00C2329C">
        <w:rPr>
          <w:rFonts w:ascii="Times New Roman" w:hAnsi="Times New Roman" w:cs="Times New Roman"/>
          <w:lang w:val="en-US"/>
        </w:rPr>
        <w:t>.</w:t>
      </w:r>
      <w:proofErr w:type="gramEnd"/>
    </w:p>
  </w:footnote>
  <w:footnote w:id="23">
    <w:p w:rsidR="0039067A" w:rsidRPr="00C2329C" w:rsidRDefault="0039067A" w:rsidP="00D41BD8">
      <w:pPr>
        <w:pStyle w:val="Notedebasdepage"/>
        <w:jc w:val="both"/>
        <w:rPr>
          <w:rFonts w:ascii="Times New Roman" w:hAnsi="Times New Roman" w:cs="Times New Roman"/>
          <w:lang w:val="en-US"/>
        </w:rPr>
      </w:pPr>
      <w:r w:rsidRPr="00C2329C">
        <w:rPr>
          <w:rStyle w:val="Appelnotedebasdep"/>
          <w:rFonts w:ascii="Times New Roman" w:hAnsi="Times New Roman" w:cs="Times New Roman"/>
        </w:rPr>
        <w:footnoteRef/>
      </w:r>
      <w:r w:rsidRPr="00C2329C">
        <w:rPr>
          <w:rFonts w:ascii="Times New Roman" w:hAnsi="Times New Roman" w:cs="Times New Roman"/>
          <w:lang w:val="en-US"/>
        </w:rPr>
        <w:t>MAY (R.G.), SUNDEM (G. L.), “</w:t>
      </w:r>
      <w:r w:rsidRPr="00C2329C">
        <w:rPr>
          <w:rFonts w:ascii="Times New Roman" w:hAnsi="Times New Roman" w:cs="Times New Roman"/>
          <w:i/>
          <w:iCs/>
          <w:u w:val="single"/>
          <w:lang w:val="en-US"/>
        </w:rPr>
        <w:t xml:space="preserve">Research for accounting </w:t>
      </w:r>
      <w:proofErr w:type="gramStart"/>
      <w:r w:rsidRPr="00C2329C">
        <w:rPr>
          <w:rFonts w:ascii="Times New Roman" w:hAnsi="Times New Roman" w:cs="Times New Roman"/>
          <w:i/>
          <w:iCs/>
          <w:u w:val="single"/>
          <w:lang w:val="en-US"/>
        </w:rPr>
        <w:t>policy :</w:t>
      </w:r>
      <w:proofErr w:type="gramEnd"/>
      <w:r w:rsidRPr="00C2329C">
        <w:rPr>
          <w:rFonts w:ascii="Times New Roman" w:hAnsi="Times New Roman" w:cs="Times New Roman"/>
          <w:i/>
          <w:iCs/>
          <w:u w:val="single"/>
          <w:lang w:val="en-US"/>
        </w:rPr>
        <w:t xml:space="preserve"> an overview</w:t>
      </w:r>
      <w:r w:rsidRPr="00C2329C">
        <w:rPr>
          <w:rFonts w:ascii="Times New Roman" w:hAnsi="Times New Roman" w:cs="Times New Roman"/>
          <w:i/>
          <w:iCs/>
          <w:lang w:val="en-US"/>
        </w:rPr>
        <w:t>”</w:t>
      </w:r>
      <w:r w:rsidRPr="00C2329C">
        <w:rPr>
          <w:rFonts w:ascii="Times New Roman" w:hAnsi="Times New Roman" w:cs="Times New Roman"/>
          <w:lang w:val="en-US"/>
        </w:rPr>
        <w:t xml:space="preserve"> , The Accounting Review, vol. LI, n° 4, 1976, pp. 747-63.</w:t>
      </w:r>
    </w:p>
  </w:footnote>
  <w:footnote w:id="24">
    <w:p w:rsidR="0039067A" w:rsidRPr="00D82221" w:rsidRDefault="0039067A" w:rsidP="00D41BD8">
      <w:pPr>
        <w:pStyle w:val="Notedebasdepage"/>
        <w:jc w:val="both"/>
        <w:rPr>
          <w:rFonts w:ascii="Times New Roman" w:hAnsi="Times New Roman" w:cs="Times New Roman"/>
          <w:lang w:val="en-US"/>
        </w:rPr>
      </w:pPr>
      <w:r w:rsidRPr="00C2329C">
        <w:rPr>
          <w:rStyle w:val="Appelnotedebasdep"/>
          <w:rFonts w:ascii="Times New Roman" w:hAnsi="Times New Roman" w:cs="Times New Roman"/>
        </w:rPr>
        <w:footnoteRef/>
      </w:r>
      <w:r w:rsidRPr="00C2329C">
        <w:rPr>
          <w:rFonts w:ascii="Times New Roman" w:hAnsi="Times New Roman" w:cs="Times New Roman"/>
          <w:lang w:val="en-US"/>
        </w:rPr>
        <w:t xml:space="preserve"> FEROZ, “</w:t>
      </w:r>
      <w:r w:rsidRPr="00C2329C">
        <w:rPr>
          <w:rFonts w:ascii="Times New Roman" w:hAnsi="Times New Roman" w:cs="Times New Roman"/>
          <w:i/>
          <w:iCs/>
          <w:u w:val="single"/>
          <w:lang w:val="en-US"/>
        </w:rPr>
        <w:t>Financial accounting standards setting : a social science perspective”</w:t>
      </w:r>
      <w:r w:rsidRPr="00C2329C">
        <w:rPr>
          <w:rFonts w:ascii="Times New Roman" w:hAnsi="Times New Roman" w:cs="Times New Roman"/>
          <w:lang w:val="en-US"/>
        </w:rPr>
        <w:t xml:space="preserve"> , Advances in </w:t>
      </w:r>
      <w:r w:rsidRPr="00D82221">
        <w:rPr>
          <w:rFonts w:ascii="Times New Roman" w:hAnsi="Times New Roman" w:cs="Times New Roman"/>
          <w:lang w:val="en-US"/>
        </w:rPr>
        <w:t xml:space="preserve">Accounting, vol. 5, ed. B.N. Schwartz, Greenwich, Connecticut, Jai Press </w:t>
      </w:r>
      <w:proofErr w:type="spellStart"/>
      <w:r w:rsidRPr="00D82221">
        <w:rPr>
          <w:rFonts w:ascii="Times New Roman" w:hAnsi="Times New Roman" w:cs="Times New Roman"/>
          <w:lang w:val="en-US"/>
        </w:rPr>
        <w:t>Inc</w:t>
      </w:r>
      <w:proofErr w:type="spellEnd"/>
      <w:r w:rsidRPr="00D82221">
        <w:rPr>
          <w:rFonts w:ascii="Times New Roman" w:hAnsi="Times New Roman" w:cs="Times New Roman"/>
          <w:lang w:val="en-US"/>
        </w:rPr>
        <w:t>, 1987, pp. 3-14.</w:t>
      </w:r>
    </w:p>
  </w:footnote>
  <w:footnote w:id="25">
    <w:p w:rsidR="0039067A" w:rsidRPr="007F3C02" w:rsidRDefault="0039067A" w:rsidP="00D41BD8">
      <w:pPr>
        <w:pStyle w:val="Notedebasdepage"/>
        <w:rPr>
          <w:rFonts w:ascii="Times New Roman" w:hAnsi="Times New Roman" w:cs="Times New Roman"/>
          <w:lang w:val="en-US"/>
        </w:rPr>
      </w:pPr>
      <w:r w:rsidRPr="00D82221">
        <w:rPr>
          <w:rStyle w:val="Appelnotedebasdep"/>
          <w:rFonts w:ascii="Times New Roman" w:hAnsi="Times New Roman" w:cs="Times New Roman"/>
        </w:rPr>
        <w:footnoteRef/>
      </w:r>
      <w:r w:rsidRPr="007F3C02">
        <w:rPr>
          <w:rFonts w:ascii="Times New Roman" w:hAnsi="Times New Roman" w:cs="Times New Roman"/>
          <w:lang w:val="en-US"/>
        </w:rPr>
        <w:t xml:space="preserve"> </w:t>
      </w:r>
      <w:proofErr w:type="spellStart"/>
      <w:r w:rsidRPr="007F3C02">
        <w:rPr>
          <w:rFonts w:ascii="Times New Roman" w:hAnsi="Times New Roman" w:cs="Times New Roman"/>
          <w:bCs/>
          <w:lang w:val="en-US"/>
        </w:rPr>
        <w:t>R.Chantiri</w:t>
      </w:r>
      <w:proofErr w:type="spellEnd"/>
      <w:r w:rsidRPr="007F3C02">
        <w:rPr>
          <w:rFonts w:ascii="Times New Roman" w:hAnsi="Times New Roman" w:cs="Times New Roman"/>
          <w:lang w:val="en-US"/>
        </w:rPr>
        <w:t>, Op-</w:t>
      </w:r>
      <w:proofErr w:type="spellStart"/>
      <w:r w:rsidRPr="007F3C02">
        <w:rPr>
          <w:rFonts w:ascii="Times New Roman" w:hAnsi="Times New Roman" w:cs="Times New Roman"/>
          <w:lang w:val="en-US"/>
        </w:rPr>
        <w:t>Cit</w:t>
      </w:r>
      <w:proofErr w:type="spellEnd"/>
      <w:r w:rsidRPr="007F3C02">
        <w:rPr>
          <w:rFonts w:ascii="Times New Roman" w:hAnsi="Times New Roman" w:cs="Times New Roman"/>
          <w:lang w:val="en-US"/>
        </w:rPr>
        <w:t xml:space="preserve">, </w:t>
      </w:r>
      <w:proofErr w:type="spellStart"/>
      <w:proofErr w:type="gramStart"/>
      <w:r w:rsidRPr="007F3C02">
        <w:rPr>
          <w:rFonts w:ascii="Times New Roman" w:hAnsi="Times New Roman" w:cs="Times New Roman"/>
          <w:lang w:val="en-US"/>
        </w:rPr>
        <w:t>pp</w:t>
      </w:r>
      <w:proofErr w:type="spellEnd"/>
      <w:r w:rsidRPr="007F3C02">
        <w:rPr>
          <w:rFonts w:ascii="Times New Roman" w:hAnsi="Times New Roman" w:cs="Times New Roman"/>
          <w:lang w:val="en-US"/>
        </w:rPr>
        <w:t> :</w:t>
      </w:r>
      <w:proofErr w:type="gramEnd"/>
      <w:r w:rsidRPr="007F3C02">
        <w:rPr>
          <w:rFonts w:ascii="Times New Roman" w:hAnsi="Times New Roman" w:cs="Times New Roman"/>
          <w:lang w:val="en-US"/>
        </w:rPr>
        <w:t xml:space="preserve"> 469-488.</w:t>
      </w:r>
    </w:p>
  </w:footnote>
  <w:footnote w:id="26">
    <w:p w:rsidR="0039067A" w:rsidRPr="00D82221" w:rsidRDefault="0039067A" w:rsidP="00D41BD8">
      <w:pPr>
        <w:pStyle w:val="Notedebasdepage"/>
        <w:rPr>
          <w:lang w:val="en-US"/>
        </w:rPr>
      </w:pPr>
      <w:r w:rsidRPr="00D82221">
        <w:rPr>
          <w:rStyle w:val="Appelnotedebasdep"/>
          <w:rFonts w:ascii="Times New Roman" w:hAnsi="Times New Roman" w:cs="Times New Roman"/>
        </w:rPr>
        <w:footnoteRef/>
      </w:r>
      <w:r w:rsidRPr="00D82221">
        <w:rPr>
          <w:rFonts w:ascii="Times New Roman" w:hAnsi="Times New Roman" w:cs="Times New Roman"/>
          <w:lang w:val="en-US"/>
        </w:rPr>
        <w:t xml:space="preserve"> </w:t>
      </w:r>
      <w:proofErr w:type="gramStart"/>
      <w:r w:rsidRPr="00D82221">
        <w:rPr>
          <w:rFonts w:ascii="Times New Roman" w:hAnsi="Times New Roman" w:cs="Times New Roman"/>
          <w:lang w:val="en-US"/>
        </w:rPr>
        <w:t>Idem.</w:t>
      </w:r>
      <w:proofErr w:type="gramEnd"/>
      <w:r>
        <w:rPr>
          <w:lang w:val="en-US"/>
        </w:rPr>
        <w:t xml:space="preserve"> </w:t>
      </w:r>
    </w:p>
  </w:footnote>
  <w:footnote w:id="27">
    <w:p w:rsidR="0039067A" w:rsidRPr="00C2329C" w:rsidRDefault="0039067A" w:rsidP="00D41BD8">
      <w:pPr>
        <w:pStyle w:val="Notedebasdepage"/>
        <w:spacing w:line="276" w:lineRule="auto"/>
        <w:jc w:val="both"/>
        <w:rPr>
          <w:rFonts w:ascii="Times New Roman" w:hAnsi="Times New Roman" w:cs="Times New Roman"/>
          <w:lang w:val="en-US"/>
        </w:rPr>
      </w:pPr>
      <w:r w:rsidRPr="00C2329C">
        <w:rPr>
          <w:rStyle w:val="Appelnotedebasdep"/>
          <w:rFonts w:ascii="Times New Roman" w:hAnsi="Times New Roman" w:cs="Times New Roman"/>
        </w:rPr>
        <w:footnoteRef/>
      </w:r>
      <w:r w:rsidRPr="00C2329C">
        <w:rPr>
          <w:rFonts w:ascii="Times New Roman" w:hAnsi="Times New Roman" w:cs="Times New Roman"/>
          <w:lang w:val="en-US"/>
        </w:rPr>
        <w:t xml:space="preserve"> PUXTY, WILLMOTT, COOPER, LOWE, “</w:t>
      </w:r>
      <w:r w:rsidRPr="00C2329C">
        <w:rPr>
          <w:rFonts w:ascii="Times New Roman" w:hAnsi="Times New Roman" w:cs="Times New Roman"/>
          <w:i/>
          <w:iCs/>
          <w:u w:val="single"/>
          <w:lang w:val="en-US"/>
        </w:rPr>
        <w:t>Modes of regulation in advanced capitalism: locating accountancy in four countries</w:t>
      </w:r>
      <w:r w:rsidRPr="00C2329C">
        <w:rPr>
          <w:rFonts w:ascii="Times New Roman" w:hAnsi="Times New Roman" w:cs="Times New Roman"/>
          <w:i/>
          <w:iCs/>
          <w:lang w:val="en-US"/>
        </w:rPr>
        <w:t>”</w:t>
      </w:r>
      <w:r w:rsidRPr="00C2329C">
        <w:rPr>
          <w:rFonts w:ascii="Times New Roman" w:hAnsi="Times New Roman" w:cs="Times New Roman"/>
          <w:lang w:val="en-US"/>
        </w:rPr>
        <w:t>, Accounting Organizations and Society, vol. 12, n°3, 1987, pp. 91-273.</w:t>
      </w:r>
    </w:p>
  </w:footnote>
  <w:footnote w:id="28">
    <w:p w:rsidR="0039067A" w:rsidRDefault="0039067A" w:rsidP="00D41BD8">
      <w:pPr>
        <w:pStyle w:val="Notedebasdepage"/>
        <w:jc w:val="both"/>
      </w:pPr>
      <w:r w:rsidRPr="00225538">
        <w:rPr>
          <w:rStyle w:val="Appelnotedebasdep"/>
          <w:rFonts w:ascii="Times New Roman" w:hAnsi="Times New Roman" w:cs="Times New Roman"/>
        </w:rPr>
        <w:footnoteRef/>
      </w:r>
      <w:r w:rsidRPr="00225538">
        <w:rPr>
          <w:rFonts w:ascii="Times New Roman" w:hAnsi="Times New Roman" w:cs="Times New Roman"/>
        </w:rPr>
        <w:t xml:space="preserve"> </w:t>
      </w:r>
      <w:proofErr w:type="spellStart"/>
      <w:r w:rsidRPr="000A6D2C">
        <w:rPr>
          <w:rFonts w:ascii="Times New Roman" w:hAnsi="Times New Roman" w:cs="Times New Roman"/>
          <w:bCs/>
        </w:rPr>
        <w:t>R.Chantiri</w:t>
      </w:r>
      <w:proofErr w:type="spellEnd"/>
      <w:r>
        <w:rPr>
          <w:rFonts w:ascii="Times New Roman" w:hAnsi="Times New Roman" w:cs="Times New Roman"/>
        </w:rPr>
        <w:t xml:space="preserve">, </w:t>
      </w:r>
      <w:proofErr w:type="spellStart"/>
      <w:r>
        <w:rPr>
          <w:rFonts w:ascii="Times New Roman" w:hAnsi="Times New Roman" w:cs="Times New Roman"/>
        </w:rPr>
        <w:t>Op-Cit</w:t>
      </w:r>
      <w:proofErr w:type="spellEnd"/>
      <w:r>
        <w:rPr>
          <w:rFonts w:ascii="Times New Roman" w:hAnsi="Times New Roman" w:cs="Times New Roman"/>
        </w:rPr>
        <w:t xml:space="preserve">, pp : </w:t>
      </w:r>
      <w:r w:rsidRPr="00522FFF">
        <w:rPr>
          <w:rFonts w:ascii="Times New Roman" w:hAnsi="Times New Roman" w:cs="Times New Roman"/>
        </w:rPr>
        <w:t>469-488</w:t>
      </w:r>
      <w:r>
        <w:rPr>
          <w:rFonts w:ascii="Times New Roman" w:hAnsi="Times New Roman" w:cs="Times New Roman"/>
        </w:rPr>
        <w:t>.</w:t>
      </w:r>
    </w:p>
  </w:footnote>
  <w:footnote w:id="29">
    <w:p w:rsidR="0039067A" w:rsidRPr="00225538" w:rsidRDefault="0039067A" w:rsidP="00D41BD8">
      <w:pPr>
        <w:pStyle w:val="Notedebasdepage"/>
        <w:jc w:val="both"/>
        <w:rPr>
          <w:rFonts w:ascii="Times New Roman" w:hAnsi="Times New Roman" w:cs="Times New Roman"/>
        </w:rPr>
      </w:pPr>
      <w:r w:rsidRPr="00225538">
        <w:rPr>
          <w:rStyle w:val="Appelnotedebasdep"/>
          <w:rFonts w:ascii="Times New Roman" w:hAnsi="Times New Roman" w:cs="Times New Roman"/>
        </w:rPr>
        <w:footnoteRef/>
      </w:r>
      <w:r w:rsidRPr="00225538">
        <w:rPr>
          <w:rFonts w:ascii="Times New Roman" w:hAnsi="Times New Roman" w:cs="Times New Roman"/>
        </w:rPr>
        <w:t xml:space="preserve"> Idem</w:t>
      </w:r>
    </w:p>
  </w:footnote>
  <w:footnote w:id="30">
    <w:p w:rsidR="0039067A" w:rsidRPr="00225538" w:rsidRDefault="0039067A" w:rsidP="00D41BD8">
      <w:pPr>
        <w:pStyle w:val="Notedebasdepage"/>
        <w:jc w:val="both"/>
        <w:rPr>
          <w:rFonts w:ascii="Times New Roman" w:hAnsi="Times New Roman" w:cs="Times New Roman"/>
          <w:bCs/>
          <w:i/>
          <w:u w:val="single"/>
        </w:rPr>
      </w:pPr>
      <w:r w:rsidRPr="00AF6574">
        <w:rPr>
          <w:rStyle w:val="Appelnotedebasdep"/>
          <w:rFonts w:ascii="Times New Roman" w:hAnsi="Times New Roman" w:cs="Times New Roman"/>
        </w:rPr>
        <w:footnoteRef/>
      </w:r>
      <w:r w:rsidRPr="00AF6574">
        <w:rPr>
          <w:rFonts w:ascii="Times New Roman" w:hAnsi="Times New Roman" w:cs="Times New Roman"/>
        </w:rPr>
        <w:t xml:space="preserve"> </w:t>
      </w:r>
      <w:r w:rsidRPr="00AB045A">
        <w:rPr>
          <w:rFonts w:ascii="Times New Roman" w:hAnsi="Times New Roman" w:cs="Times New Roman"/>
          <w:bCs/>
        </w:rPr>
        <w:t>H</w:t>
      </w:r>
      <w:r>
        <w:rPr>
          <w:rFonts w:ascii="Times New Roman" w:hAnsi="Times New Roman" w:cs="Times New Roman"/>
          <w:bCs/>
        </w:rPr>
        <w:t>.</w:t>
      </w:r>
      <w:r w:rsidRPr="00AB045A">
        <w:rPr>
          <w:rFonts w:ascii="Times New Roman" w:hAnsi="Times New Roman" w:cs="Times New Roman"/>
          <w:bCs/>
        </w:rPr>
        <w:t xml:space="preserve"> </w:t>
      </w:r>
      <w:proofErr w:type="spellStart"/>
      <w:r w:rsidRPr="00AB045A">
        <w:rPr>
          <w:rFonts w:ascii="Times New Roman" w:hAnsi="Times New Roman" w:cs="Times New Roman"/>
          <w:bCs/>
        </w:rPr>
        <w:t>Belkharroubi</w:t>
      </w:r>
      <w:proofErr w:type="spellEnd"/>
      <w:r>
        <w:rPr>
          <w:rFonts w:ascii="Times New Roman" w:hAnsi="Times New Roman" w:cs="Times New Roman"/>
          <w:bCs/>
        </w:rPr>
        <w:t>, « </w:t>
      </w:r>
      <w:r w:rsidRPr="00AB045A">
        <w:rPr>
          <w:rFonts w:ascii="Times New Roman" w:hAnsi="Times New Roman" w:cs="Times New Roman"/>
          <w:bCs/>
          <w:i/>
          <w:u w:val="single"/>
        </w:rPr>
        <w:t>Convergence des systèmes d’information comptable et intégration financière :</w:t>
      </w:r>
      <w:r>
        <w:rPr>
          <w:rFonts w:ascii="Times New Roman" w:hAnsi="Times New Roman" w:cs="Times New Roman"/>
          <w:bCs/>
          <w:i/>
          <w:u w:val="single"/>
        </w:rPr>
        <w:t xml:space="preserve"> </w:t>
      </w:r>
      <w:r w:rsidRPr="00AB045A">
        <w:rPr>
          <w:rFonts w:ascii="Times New Roman" w:hAnsi="Times New Roman" w:cs="Times New Roman"/>
          <w:bCs/>
          <w:i/>
          <w:u w:val="single"/>
        </w:rPr>
        <w:t>Contraintes d’un processus</w:t>
      </w:r>
      <w:r>
        <w:rPr>
          <w:rFonts w:ascii="Times New Roman" w:hAnsi="Times New Roman" w:cs="Times New Roman"/>
          <w:bCs/>
        </w:rPr>
        <w:t xml:space="preserve"> », disponible </w:t>
      </w:r>
      <w:proofErr w:type="spellStart"/>
      <w:r>
        <w:rPr>
          <w:rFonts w:ascii="Times New Roman" w:hAnsi="Times New Roman" w:cs="Times New Roman"/>
          <w:bCs/>
        </w:rPr>
        <w:t>sue</w:t>
      </w:r>
      <w:proofErr w:type="spellEnd"/>
      <w:r>
        <w:rPr>
          <w:rFonts w:ascii="Times New Roman" w:hAnsi="Times New Roman" w:cs="Times New Roman"/>
          <w:bCs/>
        </w:rPr>
        <w:t xml:space="preserve"> le site : </w:t>
      </w:r>
      <w:hyperlink r:id="rId1" w:history="1">
        <w:r w:rsidRPr="00AE2314">
          <w:rPr>
            <w:rStyle w:val="Lienhypertexte"/>
            <w:rFonts w:ascii="Times New Roman" w:hAnsi="Times New Roman" w:cs="Times New Roman"/>
            <w:bCs/>
          </w:rPr>
          <w:t>www.iefpedia.com</w:t>
        </w:r>
      </w:hyperlink>
      <w:r>
        <w:t>.</w:t>
      </w:r>
    </w:p>
  </w:footnote>
  <w:footnote w:id="31">
    <w:p w:rsidR="0039067A" w:rsidRPr="00F20977" w:rsidRDefault="0039067A" w:rsidP="00D41BD8">
      <w:pPr>
        <w:pStyle w:val="Notedebasdepage"/>
        <w:spacing w:line="276" w:lineRule="auto"/>
        <w:jc w:val="both"/>
        <w:rPr>
          <w:rFonts w:ascii="Times New Roman" w:hAnsi="Times New Roman" w:cs="Times New Roman"/>
          <w:lang w:val="en-US"/>
        </w:rPr>
      </w:pPr>
      <w:r w:rsidRPr="00F20977">
        <w:rPr>
          <w:rStyle w:val="Appelnotedebasdep"/>
          <w:rFonts w:ascii="Times New Roman" w:hAnsi="Times New Roman" w:cs="Times New Roman"/>
        </w:rPr>
        <w:footnoteRef/>
      </w:r>
      <w:r w:rsidRPr="00F20977">
        <w:rPr>
          <w:rStyle w:val="Appelnotedebasdep"/>
          <w:rFonts w:ascii="Times New Roman" w:hAnsi="Times New Roman" w:cs="Times New Roman"/>
          <w:lang w:val="en-US"/>
        </w:rPr>
        <w:t xml:space="preserve"> </w:t>
      </w:r>
      <w:r w:rsidRPr="00F20977">
        <w:rPr>
          <w:rFonts w:ascii="Times New Roman" w:hAnsi="Times New Roman" w:cs="Times New Roman"/>
          <w:bCs/>
          <w:lang w:val="en-US"/>
        </w:rPr>
        <w:t xml:space="preserve">H. </w:t>
      </w:r>
      <w:proofErr w:type="spellStart"/>
      <w:r w:rsidRPr="00F20977">
        <w:rPr>
          <w:rFonts w:ascii="Times New Roman" w:hAnsi="Times New Roman" w:cs="Times New Roman"/>
          <w:bCs/>
          <w:lang w:val="en-US"/>
        </w:rPr>
        <w:t>Belkharroubi</w:t>
      </w:r>
      <w:proofErr w:type="spellEnd"/>
      <w:r w:rsidRPr="00F20977">
        <w:rPr>
          <w:rFonts w:ascii="Times New Roman" w:hAnsi="Times New Roman" w:cs="Times New Roman"/>
          <w:bCs/>
          <w:lang w:val="en-US"/>
        </w:rPr>
        <w:t>, Op-Cit.</w:t>
      </w:r>
    </w:p>
  </w:footnote>
  <w:footnote w:id="32">
    <w:p w:rsidR="0039067A" w:rsidRPr="00F20977" w:rsidRDefault="0039067A" w:rsidP="00D41BD8">
      <w:pPr>
        <w:pStyle w:val="Notedebasdepage"/>
        <w:spacing w:line="276" w:lineRule="auto"/>
        <w:jc w:val="both"/>
        <w:rPr>
          <w:rFonts w:ascii="Times New Roman" w:hAnsi="Times New Roman" w:cs="Times New Roman"/>
          <w:lang w:val="en-US"/>
        </w:rPr>
      </w:pPr>
      <w:r w:rsidRPr="00F20977">
        <w:rPr>
          <w:rStyle w:val="Appelnotedebasdep"/>
          <w:rFonts w:ascii="Times New Roman" w:hAnsi="Times New Roman" w:cs="Times New Roman"/>
        </w:rPr>
        <w:footnoteRef/>
      </w:r>
      <w:r w:rsidRPr="00F20977">
        <w:rPr>
          <w:rFonts w:ascii="Times New Roman" w:hAnsi="Times New Roman" w:cs="Times New Roman"/>
          <w:lang w:val="en-US"/>
        </w:rPr>
        <w:t xml:space="preserve"> </w:t>
      </w:r>
      <w:r w:rsidRPr="00F20977">
        <w:rPr>
          <w:rFonts w:ascii="Times New Roman" w:hAnsi="Times New Roman" w:cs="Times New Roman"/>
          <w:bCs/>
          <w:lang w:val="en-US"/>
        </w:rPr>
        <w:t xml:space="preserve">Christopher </w:t>
      </w:r>
      <w:proofErr w:type="spellStart"/>
      <w:r w:rsidRPr="00F20977">
        <w:rPr>
          <w:rFonts w:ascii="Times New Roman" w:hAnsi="Times New Roman" w:cs="Times New Roman"/>
          <w:bCs/>
          <w:lang w:val="en-US"/>
        </w:rPr>
        <w:t>Nobes</w:t>
      </w:r>
      <w:proofErr w:type="spellEnd"/>
      <w:r w:rsidRPr="00F20977">
        <w:rPr>
          <w:rFonts w:ascii="Times New Roman" w:hAnsi="Times New Roman" w:cs="Times New Roman"/>
          <w:bCs/>
          <w:lang w:val="en-US"/>
        </w:rPr>
        <w:t>, International classification of financial reporting</w:t>
      </w:r>
      <w:r w:rsidRPr="00F20977">
        <w:rPr>
          <w:rFonts w:ascii="Times New Roman" w:eastAsia="Times New Roman" w:hAnsi="Times New Roman" w:cs="Times New Roman"/>
          <w:lang w:val="en-US" w:eastAsia="fr-FR"/>
        </w:rPr>
        <w:t xml:space="preserve">, </w:t>
      </w:r>
      <w:proofErr w:type="spellStart"/>
      <w:r w:rsidRPr="00F20977">
        <w:rPr>
          <w:rFonts w:ascii="Times New Roman" w:eastAsia="Times New Roman" w:hAnsi="Times New Roman" w:cs="Times New Roman"/>
          <w:lang w:val="en-US" w:eastAsia="fr-FR"/>
        </w:rPr>
        <w:t>Croom</w:t>
      </w:r>
      <w:proofErr w:type="spellEnd"/>
      <w:r w:rsidRPr="00F20977">
        <w:rPr>
          <w:rFonts w:ascii="Times New Roman" w:eastAsia="Times New Roman" w:hAnsi="Times New Roman" w:cs="Times New Roman"/>
          <w:lang w:val="en-US" w:eastAsia="fr-FR"/>
        </w:rPr>
        <w:t xml:space="preserve"> Helm, New York, 1984, </w:t>
      </w:r>
      <w:proofErr w:type="spellStart"/>
      <w:r w:rsidRPr="00F20977">
        <w:rPr>
          <w:rFonts w:ascii="Times New Roman" w:eastAsia="Times New Roman" w:hAnsi="Times New Roman" w:cs="Times New Roman"/>
          <w:lang w:val="en-US" w:eastAsia="fr-FR"/>
        </w:rPr>
        <w:t>pp</w:t>
      </w:r>
      <w:proofErr w:type="spellEnd"/>
      <w:r w:rsidRPr="00F20977">
        <w:rPr>
          <w:rFonts w:ascii="Times New Roman" w:eastAsia="Times New Roman" w:hAnsi="Times New Roman" w:cs="Times New Roman"/>
          <w:lang w:val="en-US" w:eastAsia="fr-FR"/>
        </w:rPr>
        <w:t>: 99-104.</w:t>
      </w:r>
    </w:p>
  </w:footnote>
  <w:footnote w:id="33">
    <w:p w:rsidR="0039067A" w:rsidRPr="00F20977" w:rsidRDefault="0039067A" w:rsidP="00D41BD8">
      <w:pPr>
        <w:pStyle w:val="Notedebasdepage"/>
        <w:spacing w:line="276" w:lineRule="auto"/>
        <w:jc w:val="both"/>
        <w:rPr>
          <w:rFonts w:ascii="Times New Roman" w:hAnsi="Times New Roman" w:cs="Times New Roman"/>
        </w:rPr>
      </w:pPr>
      <w:r w:rsidRPr="00F20977">
        <w:rPr>
          <w:rStyle w:val="Appelnotedebasdep"/>
          <w:rFonts w:ascii="Times New Roman" w:hAnsi="Times New Roman" w:cs="Times New Roman"/>
        </w:rPr>
        <w:footnoteRef/>
      </w:r>
      <w:r w:rsidRPr="00F20977">
        <w:rPr>
          <w:rFonts w:ascii="Times New Roman" w:hAnsi="Times New Roman" w:cs="Times New Roman"/>
        </w:rPr>
        <w:t xml:space="preserve"> </w:t>
      </w:r>
      <w:proofErr w:type="spellStart"/>
      <w:r w:rsidRPr="00F20977">
        <w:rPr>
          <w:rFonts w:ascii="Times New Roman" w:hAnsi="Times New Roman" w:cs="Times New Roman"/>
        </w:rPr>
        <w:t>B.Colasse</w:t>
      </w:r>
      <w:proofErr w:type="spellEnd"/>
      <w:r w:rsidRPr="00F20977">
        <w:rPr>
          <w:rFonts w:ascii="Times New Roman" w:hAnsi="Times New Roman" w:cs="Times New Roman"/>
        </w:rPr>
        <w:t>, « </w:t>
      </w:r>
      <w:r w:rsidRPr="00F20977">
        <w:rPr>
          <w:rFonts w:ascii="Times New Roman" w:hAnsi="Times New Roman" w:cs="Times New Roman"/>
          <w:i/>
          <w:iCs/>
        </w:rPr>
        <w:t xml:space="preserve"> </w:t>
      </w:r>
      <w:r w:rsidRPr="00F20977">
        <w:rPr>
          <w:rFonts w:ascii="Times New Roman" w:hAnsi="Times New Roman" w:cs="Times New Roman"/>
          <w:i/>
          <w:iCs/>
          <w:u w:val="single"/>
        </w:rPr>
        <w:t>Les fondements  de la comptabilité</w:t>
      </w:r>
      <w:r w:rsidRPr="00F20977">
        <w:rPr>
          <w:rFonts w:ascii="Times New Roman" w:hAnsi="Times New Roman" w:cs="Times New Roman"/>
          <w:i/>
          <w:iCs/>
        </w:rPr>
        <w:t> </w:t>
      </w:r>
      <w:r w:rsidRPr="00F20977">
        <w:rPr>
          <w:rFonts w:ascii="Times New Roman" w:hAnsi="Times New Roman" w:cs="Times New Roman"/>
          <w:iCs/>
        </w:rPr>
        <w:t>»</w:t>
      </w:r>
      <w:r w:rsidRPr="00F20977">
        <w:rPr>
          <w:rFonts w:ascii="Times New Roman" w:hAnsi="Times New Roman" w:cs="Times New Roman"/>
          <w:i/>
          <w:iCs/>
        </w:rPr>
        <w:t xml:space="preserve">, </w:t>
      </w:r>
      <w:r w:rsidRPr="00F20977">
        <w:rPr>
          <w:rFonts w:ascii="Times New Roman" w:hAnsi="Times New Roman" w:cs="Times New Roman"/>
        </w:rPr>
        <w:t xml:space="preserve">La Découverte, 2007,  p.50. </w:t>
      </w:r>
    </w:p>
  </w:footnote>
  <w:footnote w:id="34">
    <w:p w:rsidR="0039067A" w:rsidRPr="00F20977" w:rsidRDefault="0039067A" w:rsidP="00D41BD8">
      <w:pPr>
        <w:pStyle w:val="Notedebasdepage"/>
        <w:spacing w:line="276" w:lineRule="auto"/>
        <w:jc w:val="both"/>
        <w:rPr>
          <w:rFonts w:ascii="Times New Roman" w:hAnsi="Times New Roman" w:cs="Times New Roman"/>
          <w:lang w:val="en-US"/>
        </w:rPr>
      </w:pPr>
      <w:r w:rsidRPr="00F20977">
        <w:rPr>
          <w:rStyle w:val="Appelnotedebasdep"/>
          <w:rFonts w:ascii="Times New Roman" w:hAnsi="Times New Roman" w:cs="Times New Roman"/>
        </w:rPr>
        <w:footnoteRef/>
      </w:r>
      <w:r w:rsidRPr="00F20977">
        <w:rPr>
          <w:rFonts w:ascii="Times New Roman" w:hAnsi="Times New Roman" w:cs="Times New Roman"/>
          <w:lang w:val="en-US"/>
        </w:rPr>
        <w:t xml:space="preserve"> Idem, p. 51</w:t>
      </w:r>
    </w:p>
  </w:footnote>
  <w:footnote w:id="35">
    <w:p w:rsidR="0039067A" w:rsidRPr="0050317B" w:rsidRDefault="0039067A" w:rsidP="00D41BD8">
      <w:pPr>
        <w:pStyle w:val="Notedebasdepage"/>
        <w:rPr>
          <w:rFonts w:ascii="Times New Roman" w:hAnsi="Times New Roman" w:cs="Times New Roman"/>
          <w:lang w:val="en-US"/>
        </w:rPr>
      </w:pPr>
      <w:r w:rsidRPr="00F20977">
        <w:rPr>
          <w:rStyle w:val="Appelnotedebasdep"/>
          <w:rFonts w:ascii="Times New Roman" w:hAnsi="Times New Roman" w:cs="Times New Roman"/>
        </w:rPr>
        <w:footnoteRef/>
      </w:r>
      <w:r w:rsidRPr="0050317B">
        <w:rPr>
          <w:rFonts w:ascii="Times New Roman" w:hAnsi="Times New Roman" w:cs="Times New Roman"/>
          <w:lang w:val="en-US"/>
        </w:rPr>
        <w:t xml:space="preserve"> </w:t>
      </w:r>
      <w:proofErr w:type="spellStart"/>
      <w:r w:rsidRPr="0050317B">
        <w:rPr>
          <w:rFonts w:ascii="Times New Roman" w:hAnsi="Times New Roman" w:cs="Times New Roman"/>
          <w:lang w:val="en-US"/>
        </w:rPr>
        <w:t>B.Colasse</w:t>
      </w:r>
      <w:proofErr w:type="spellEnd"/>
      <w:r w:rsidRPr="0050317B">
        <w:rPr>
          <w:rFonts w:ascii="Times New Roman" w:hAnsi="Times New Roman" w:cs="Times New Roman"/>
          <w:lang w:val="en-US"/>
        </w:rPr>
        <w:t>, Op-</w:t>
      </w:r>
      <w:proofErr w:type="spellStart"/>
      <w:r w:rsidRPr="0050317B">
        <w:rPr>
          <w:rFonts w:ascii="Times New Roman" w:hAnsi="Times New Roman" w:cs="Times New Roman"/>
          <w:lang w:val="en-US"/>
        </w:rPr>
        <w:t>Cit</w:t>
      </w:r>
      <w:proofErr w:type="spellEnd"/>
      <w:r w:rsidRPr="0050317B">
        <w:rPr>
          <w:rFonts w:ascii="Times New Roman" w:hAnsi="Times New Roman" w:cs="Times New Roman"/>
          <w:lang w:val="en-US"/>
        </w:rPr>
        <w:t>, p.54</w:t>
      </w:r>
    </w:p>
  </w:footnote>
  <w:footnote w:id="36">
    <w:p w:rsidR="0039067A" w:rsidRPr="004F4143" w:rsidRDefault="0039067A" w:rsidP="00D41BD8">
      <w:pPr>
        <w:pStyle w:val="Notedebasdepage"/>
        <w:rPr>
          <w:rFonts w:ascii="Times New Roman" w:hAnsi="Times New Roman" w:cs="Times New Roman"/>
          <w:lang w:val="en-US"/>
        </w:rPr>
      </w:pPr>
      <w:r w:rsidRPr="00C646DB">
        <w:rPr>
          <w:rStyle w:val="Appelnotedebasdep"/>
          <w:rFonts w:ascii="Times New Roman" w:hAnsi="Times New Roman" w:cs="Times New Roman"/>
        </w:rPr>
        <w:footnoteRef/>
      </w:r>
      <w:r w:rsidRPr="004F4143">
        <w:rPr>
          <w:rFonts w:ascii="Times New Roman" w:hAnsi="Times New Roman" w:cs="Times New Roman"/>
          <w:lang w:val="en-US"/>
        </w:rPr>
        <w:t xml:space="preserve"> Elena </w:t>
      </w:r>
      <w:proofErr w:type="spellStart"/>
      <w:r w:rsidRPr="004F4143">
        <w:rPr>
          <w:rFonts w:ascii="Times New Roman" w:hAnsi="Times New Roman" w:cs="Times New Roman"/>
          <w:lang w:val="en-US"/>
        </w:rPr>
        <w:t>Barbu</w:t>
      </w:r>
      <w:proofErr w:type="spellEnd"/>
      <w:r w:rsidRPr="004F4143">
        <w:rPr>
          <w:rFonts w:ascii="Times New Roman" w:hAnsi="Times New Roman" w:cs="Times New Roman"/>
          <w:lang w:val="en-US"/>
        </w:rPr>
        <w:t>, Op-</w:t>
      </w:r>
      <w:proofErr w:type="spellStart"/>
      <w:r w:rsidRPr="004F4143">
        <w:rPr>
          <w:rFonts w:ascii="Times New Roman" w:hAnsi="Times New Roman" w:cs="Times New Roman"/>
          <w:lang w:val="en-US"/>
        </w:rPr>
        <w:t>cit</w:t>
      </w:r>
      <w:proofErr w:type="spellEnd"/>
      <w:r w:rsidRPr="004F4143">
        <w:rPr>
          <w:rFonts w:ascii="Times New Roman" w:hAnsi="Times New Roman" w:cs="Times New Roman"/>
          <w:lang w:val="en-US"/>
        </w:rPr>
        <w:t>, p : 2.</w:t>
      </w:r>
    </w:p>
  </w:footnote>
  <w:footnote w:id="37">
    <w:p w:rsidR="0039067A" w:rsidRPr="00855922" w:rsidRDefault="0039067A" w:rsidP="00D41BD8">
      <w:pPr>
        <w:pStyle w:val="Notedebasdepage"/>
        <w:jc w:val="both"/>
        <w:rPr>
          <w:rFonts w:ascii="Times New Roman" w:hAnsi="Times New Roman" w:cs="Times New Roman"/>
          <w:lang w:val="en-US"/>
        </w:rPr>
      </w:pPr>
      <w:r w:rsidRPr="00855922">
        <w:rPr>
          <w:rStyle w:val="Appelnotedebasdep"/>
          <w:rFonts w:ascii="Times New Roman" w:hAnsi="Times New Roman" w:cs="Times New Roman"/>
        </w:rPr>
        <w:footnoteRef/>
      </w:r>
      <w:proofErr w:type="spellStart"/>
      <w:r w:rsidRPr="00855922">
        <w:rPr>
          <w:rFonts w:ascii="Times New Roman" w:hAnsi="Times New Roman" w:cs="Times New Roman"/>
          <w:lang w:val="en-US"/>
        </w:rPr>
        <w:t>Nobes</w:t>
      </w:r>
      <w:proofErr w:type="spellEnd"/>
      <w:r w:rsidRPr="00855922">
        <w:rPr>
          <w:rFonts w:ascii="Times New Roman" w:hAnsi="Times New Roman" w:cs="Times New Roman"/>
          <w:lang w:val="en-US"/>
        </w:rPr>
        <w:t xml:space="preserve"> C.W, « </w:t>
      </w:r>
      <w:r w:rsidRPr="00855922">
        <w:rPr>
          <w:rFonts w:ascii="Times New Roman" w:hAnsi="Times New Roman" w:cs="Times New Roman"/>
          <w:i/>
          <w:u w:val="single"/>
          <w:lang w:val="en-US"/>
        </w:rPr>
        <w:t xml:space="preserve">An empirical investigation of International accounting </w:t>
      </w:r>
      <w:proofErr w:type="gramStart"/>
      <w:r w:rsidRPr="00855922">
        <w:rPr>
          <w:rFonts w:ascii="Times New Roman" w:hAnsi="Times New Roman" w:cs="Times New Roman"/>
          <w:i/>
          <w:u w:val="single"/>
          <w:lang w:val="en-US"/>
        </w:rPr>
        <w:t>principles :</w:t>
      </w:r>
      <w:proofErr w:type="gramEnd"/>
      <w:r w:rsidRPr="00855922">
        <w:rPr>
          <w:rFonts w:ascii="Times New Roman" w:hAnsi="Times New Roman" w:cs="Times New Roman"/>
          <w:i/>
          <w:u w:val="single"/>
          <w:lang w:val="en-US"/>
        </w:rPr>
        <w:t xml:space="preserve"> </w:t>
      </w:r>
      <w:proofErr w:type="spellStart"/>
      <w:r w:rsidRPr="00855922">
        <w:rPr>
          <w:rFonts w:ascii="Times New Roman" w:hAnsi="Times New Roman" w:cs="Times New Roman"/>
          <w:i/>
          <w:u w:val="single"/>
          <w:lang w:val="en-US"/>
        </w:rPr>
        <w:t>acomment</w:t>
      </w:r>
      <w:proofErr w:type="spellEnd"/>
      <w:r w:rsidRPr="00855922">
        <w:rPr>
          <w:rFonts w:ascii="Times New Roman" w:hAnsi="Times New Roman" w:cs="Times New Roman"/>
          <w:lang w:val="en-US"/>
        </w:rPr>
        <w:t xml:space="preserve"> </w:t>
      </w:r>
      <w:r w:rsidRPr="00855922">
        <w:rPr>
          <w:rFonts w:ascii="Times New Roman" w:eastAsia="Times New Roman" w:hAnsi="Times New Roman" w:cs="Times New Roman"/>
          <w:lang w:val="en-US" w:eastAsia="fr-FR"/>
        </w:rPr>
        <w:t xml:space="preserve">», Journal of Accounting Research, </w:t>
      </w:r>
      <w:proofErr w:type="spellStart"/>
      <w:r w:rsidRPr="00855922">
        <w:rPr>
          <w:rFonts w:ascii="Times New Roman" w:eastAsia="Times New Roman" w:hAnsi="Times New Roman" w:cs="Times New Roman"/>
          <w:lang w:val="en-US" w:eastAsia="fr-FR"/>
        </w:rPr>
        <w:t>Printemps</w:t>
      </w:r>
      <w:proofErr w:type="spellEnd"/>
      <w:r w:rsidRPr="00855922">
        <w:rPr>
          <w:rFonts w:ascii="Times New Roman" w:eastAsia="Times New Roman" w:hAnsi="Times New Roman" w:cs="Times New Roman"/>
          <w:lang w:val="en-US" w:eastAsia="fr-FR"/>
        </w:rPr>
        <w:t xml:space="preserve">, 1981, </w:t>
      </w:r>
      <w:proofErr w:type="spellStart"/>
      <w:r w:rsidRPr="00855922">
        <w:rPr>
          <w:rFonts w:ascii="Times New Roman" w:eastAsia="Times New Roman" w:hAnsi="Times New Roman" w:cs="Times New Roman"/>
          <w:lang w:val="en-US" w:eastAsia="fr-FR"/>
        </w:rPr>
        <w:t>pp</w:t>
      </w:r>
      <w:proofErr w:type="spellEnd"/>
      <w:r w:rsidRPr="00855922">
        <w:rPr>
          <w:rFonts w:ascii="Times New Roman" w:eastAsia="Times New Roman" w:hAnsi="Times New Roman" w:cs="Times New Roman"/>
          <w:lang w:val="en-US" w:eastAsia="fr-FR"/>
        </w:rPr>
        <w:t xml:space="preserve"> : 80-268.</w:t>
      </w:r>
    </w:p>
    <w:p w:rsidR="0039067A" w:rsidRPr="00855922" w:rsidRDefault="0039067A" w:rsidP="00D41BD8">
      <w:pPr>
        <w:pStyle w:val="Notedebasdepage"/>
        <w:rPr>
          <w:lang w:val="en-US"/>
        </w:rPr>
      </w:pPr>
    </w:p>
  </w:footnote>
  <w:footnote w:id="38">
    <w:p w:rsidR="0039067A" w:rsidRPr="00ED7D8C" w:rsidRDefault="0039067A" w:rsidP="00D41BD8">
      <w:pPr>
        <w:pStyle w:val="Notedebasdepage"/>
        <w:jc w:val="both"/>
        <w:rPr>
          <w:rFonts w:ascii="Times New Roman" w:hAnsi="Times New Roman" w:cs="Times New Roman"/>
          <w:lang w:val="en-US"/>
        </w:rPr>
      </w:pPr>
      <w:r w:rsidRPr="00ED7D8C">
        <w:rPr>
          <w:rStyle w:val="Appelnotedebasdep"/>
          <w:rFonts w:ascii="Times New Roman" w:hAnsi="Times New Roman" w:cs="Times New Roman"/>
        </w:rPr>
        <w:footnoteRef/>
      </w:r>
      <w:r w:rsidRPr="00ED7D8C">
        <w:rPr>
          <w:rFonts w:ascii="Times New Roman" w:hAnsi="Times New Roman" w:cs="Times New Roman"/>
          <w:lang w:val="en-US"/>
        </w:rPr>
        <w:t xml:space="preserve"> Choi F.D.</w:t>
      </w:r>
      <w:proofErr w:type="spellStart"/>
      <w:r w:rsidRPr="00ED7D8C">
        <w:rPr>
          <w:rFonts w:ascii="Times New Roman" w:hAnsi="Times New Roman" w:cs="Times New Roman"/>
          <w:lang w:val="en-US"/>
        </w:rPr>
        <w:t>S et</w:t>
      </w:r>
      <w:proofErr w:type="spellEnd"/>
      <w:r w:rsidRPr="00ED7D8C">
        <w:rPr>
          <w:rFonts w:ascii="Times New Roman" w:hAnsi="Times New Roman" w:cs="Times New Roman"/>
          <w:lang w:val="en-US"/>
        </w:rPr>
        <w:t xml:space="preserve"> Mueller G.G, « </w:t>
      </w:r>
      <w:r w:rsidRPr="00ED7D8C">
        <w:rPr>
          <w:rFonts w:ascii="Times New Roman" w:hAnsi="Times New Roman" w:cs="Times New Roman"/>
          <w:i/>
          <w:u w:val="single"/>
          <w:lang w:val="en-US"/>
        </w:rPr>
        <w:t>International Accounting</w:t>
      </w:r>
      <w:r w:rsidRPr="00ED7D8C">
        <w:rPr>
          <w:rFonts w:ascii="Times New Roman" w:hAnsi="Times New Roman" w:cs="Times New Roman"/>
          <w:lang w:val="en-US"/>
        </w:rPr>
        <w:t xml:space="preserve"> », Englewood cliffs, </w:t>
      </w:r>
      <w:proofErr w:type="gramStart"/>
      <w:r w:rsidRPr="00ED7D8C">
        <w:rPr>
          <w:rFonts w:ascii="Times New Roman" w:hAnsi="Times New Roman" w:cs="Times New Roman"/>
          <w:lang w:val="en-US"/>
        </w:rPr>
        <w:t>NJ :</w:t>
      </w:r>
      <w:proofErr w:type="gramEnd"/>
      <w:r w:rsidRPr="00ED7D8C">
        <w:rPr>
          <w:rFonts w:ascii="Times New Roman" w:hAnsi="Times New Roman" w:cs="Times New Roman"/>
          <w:lang w:val="en-US"/>
        </w:rPr>
        <w:t xml:space="preserve"> Prentice-Hall, 1984.</w:t>
      </w:r>
    </w:p>
  </w:footnote>
  <w:footnote w:id="39">
    <w:p w:rsidR="0039067A" w:rsidRPr="00ED7D8C" w:rsidRDefault="0039067A" w:rsidP="00D41BD8">
      <w:pPr>
        <w:pStyle w:val="Notedebasdepage"/>
        <w:jc w:val="both"/>
        <w:rPr>
          <w:rFonts w:ascii="Times New Roman" w:hAnsi="Times New Roman" w:cs="Times New Roman"/>
        </w:rPr>
      </w:pPr>
      <w:r w:rsidRPr="00ED7D8C">
        <w:rPr>
          <w:rStyle w:val="Appelnotedebasdep"/>
          <w:rFonts w:ascii="Times New Roman" w:hAnsi="Times New Roman" w:cs="Times New Roman"/>
        </w:rPr>
        <w:footnoteRef/>
      </w:r>
      <w:r w:rsidRPr="00ED7D8C">
        <w:rPr>
          <w:rFonts w:ascii="Times New Roman" w:hAnsi="Times New Roman" w:cs="Times New Roman"/>
        </w:rPr>
        <w:t xml:space="preserve">E. Barbu, « </w:t>
      </w:r>
      <w:r w:rsidRPr="00ED7D8C">
        <w:rPr>
          <w:rFonts w:ascii="Times New Roman" w:hAnsi="Times New Roman" w:cs="Times New Roman"/>
          <w:i/>
          <w:u w:val="single"/>
        </w:rPr>
        <w:t>40 ans de recherche en Harmonisation Comptable Internationale</w:t>
      </w:r>
      <w:r w:rsidRPr="00ED7D8C">
        <w:rPr>
          <w:rFonts w:ascii="Times New Roman" w:hAnsi="Times New Roman" w:cs="Times New Roman"/>
        </w:rPr>
        <w:t xml:space="preserve"> », </w:t>
      </w:r>
      <w:r w:rsidRPr="00ED7D8C">
        <w:rPr>
          <w:rFonts w:ascii="Times New Roman" w:hAnsi="Times New Roman" w:cs="Times New Roman"/>
          <w:i/>
          <w:iCs/>
        </w:rPr>
        <w:t>Normes et Mondialisation</w:t>
      </w:r>
      <w:r w:rsidRPr="00ED7D8C">
        <w:rPr>
          <w:rFonts w:ascii="Times New Roman" w:hAnsi="Times New Roman" w:cs="Times New Roman"/>
        </w:rPr>
        <w:t xml:space="preserve">, France, 2004, P : 3, disponible sur le site : </w:t>
      </w:r>
      <w:hyperlink r:id="rId2" w:history="1">
        <w:r w:rsidRPr="00ED7D8C">
          <w:rPr>
            <w:rStyle w:val="Lienhypertexte"/>
            <w:rFonts w:ascii="Times New Roman" w:hAnsi="Times New Roman" w:cs="Times New Roman"/>
          </w:rPr>
          <w:t>http://halshs.archives-ouvertes.fr/halshs-00592767/fr/</w:t>
        </w:r>
      </w:hyperlink>
      <w:r w:rsidRPr="00ED7D8C">
        <w:rPr>
          <w:rFonts w:ascii="Times New Roman" w:hAnsi="Times New Roman" w:cs="Times New Roman"/>
        </w:rPr>
        <w:t>.</w:t>
      </w:r>
    </w:p>
  </w:footnote>
  <w:footnote w:id="40">
    <w:p w:rsidR="0039067A" w:rsidRPr="00D716F4" w:rsidRDefault="0039067A" w:rsidP="00D41BD8">
      <w:pPr>
        <w:pStyle w:val="Notedebasdepage"/>
        <w:jc w:val="both"/>
        <w:rPr>
          <w:rFonts w:ascii="Times New Roman" w:hAnsi="Times New Roman" w:cs="Times New Roman"/>
          <w:lang w:val="en-US"/>
        </w:rPr>
      </w:pPr>
      <w:r w:rsidRPr="00D716F4">
        <w:rPr>
          <w:rStyle w:val="Appelnotedebasdep"/>
          <w:rFonts w:ascii="Times New Roman" w:hAnsi="Times New Roman" w:cs="Times New Roman"/>
        </w:rPr>
        <w:footnoteRef/>
      </w:r>
      <w:r w:rsidRPr="00D716F4">
        <w:rPr>
          <w:rFonts w:ascii="Times New Roman" w:hAnsi="Times New Roman" w:cs="Times New Roman"/>
          <w:lang w:val="en-US"/>
        </w:rPr>
        <w:t xml:space="preserve"> </w:t>
      </w:r>
      <w:proofErr w:type="gramStart"/>
      <w:r w:rsidRPr="00D716F4">
        <w:rPr>
          <w:rFonts w:ascii="Times New Roman" w:hAnsi="Times New Roman" w:cs="Times New Roman"/>
          <w:lang w:val="en-US"/>
        </w:rPr>
        <w:t>Idem.</w:t>
      </w:r>
      <w:proofErr w:type="gramEnd"/>
    </w:p>
  </w:footnote>
  <w:footnote w:id="41">
    <w:p w:rsidR="0039067A" w:rsidRPr="00ED7D8C" w:rsidRDefault="0039067A" w:rsidP="00D41BD8">
      <w:pPr>
        <w:pStyle w:val="Notedebasdepage"/>
        <w:jc w:val="both"/>
        <w:rPr>
          <w:rFonts w:ascii="Times New Roman" w:hAnsi="Times New Roman" w:cs="Times New Roman"/>
          <w:lang w:val="en-US"/>
        </w:rPr>
      </w:pPr>
      <w:r w:rsidRPr="00ED7D8C">
        <w:rPr>
          <w:rStyle w:val="Appelnotedebasdep"/>
          <w:rFonts w:ascii="Times New Roman" w:hAnsi="Times New Roman" w:cs="Times New Roman"/>
        </w:rPr>
        <w:footnoteRef/>
      </w:r>
      <w:r w:rsidRPr="00ED7D8C">
        <w:rPr>
          <w:rFonts w:ascii="Times New Roman" w:hAnsi="Times New Roman" w:cs="Times New Roman"/>
          <w:lang w:val="en-US"/>
        </w:rPr>
        <w:t xml:space="preserve">Van der </w:t>
      </w:r>
      <w:proofErr w:type="spellStart"/>
      <w:r w:rsidRPr="00ED7D8C">
        <w:rPr>
          <w:rFonts w:ascii="Times New Roman" w:hAnsi="Times New Roman" w:cs="Times New Roman"/>
          <w:lang w:val="en-US"/>
        </w:rPr>
        <w:t>tas</w:t>
      </w:r>
      <w:proofErr w:type="spellEnd"/>
      <w:r w:rsidRPr="00ED7D8C">
        <w:rPr>
          <w:rFonts w:ascii="Times New Roman" w:hAnsi="Times New Roman" w:cs="Times New Roman"/>
          <w:lang w:val="en-US"/>
        </w:rPr>
        <w:t>, « </w:t>
      </w:r>
      <w:r w:rsidRPr="00ED7D8C">
        <w:rPr>
          <w:rFonts w:ascii="Times New Roman" w:hAnsi="Times New Roman" w:cs="Times New Roman"/>
          <w:i/>
          <w:u w:val="single"/>
          <w:lang w:val="en-US"/>
        </w:rPr>
        <w:t xml:space="preserve">Measuring international Accounting harmonization and </w:t>
      </w:r>
      <w:proofErr w:type="gramStart"/>
      <w:r w:rsidRPr="00ED7D8C">
        <w:rPr>
          <w:rFonts w:ascii="Times New Roman" w:hAnsi="Times New Roman" w:cs="Times New Roman"/>
          <w:i/>
          <w:u w:val="single"/>
          <w:lang w:val="en-US"/>
        </w:rPr>
        <w:t>standardization :</w:t>
      </w:r>
      <w:proofErr w:type="gramEnd"/>
      <w:r w:rsidRPr="00ED7D8C">
        <w:rPr>
          <w:rFonts w:ascii="Times New Roman" w:hAnsi="Times New Roman" w:cs="Times New Roman"/>
          <w:i/>
          <w:u w:val="single"/>
          <w:lang w:val="en-US"/>
        </w:rPr>
        <w:t xml:space="preserve"> a comment</w:t>
      </w:r>
      <w:r w:rsidRPr="00ED7D8C">
        <w:rPr>
          <w:rFonts w:ascii="Times New Roman" w:hAnsi="Times New Roman" w:cs="Times New Roman"/>
          <w:lang w:val="en-US"/>
        </w:rPr>
        <w:t xml:space="preserve"> », Abacus, vol.28 n°2, </w:t>
      </w:r>
      <w:proofErr w:type="spellStart"/>
      <w:r w:rsidRPr="00ED7D8C">
        <w:rPr>
          <w:rFonts w:ascii="Times New Roman" w:hAnsi="Times New Roman" w:cs="Times New Roman"/>
          <w:lang w:val="en-US"/>
        </w:rPr>
        <w:t>pp</w:t>
      </w:r>
      <w:proofErr w:type="spellEnd"/>
      <w:r w:rsidRPr="00ED7D8C">
        <w:rPr>
          <w:rFonts w:ascii="Times New Roman" w:hAnsi="Times New Roman" w:cs="Times New Roman"/>
          <w:lang w:val="en-US"/>
        </w:rPr>
        <w:t xml:space="preserve"> : 211-216. </w:t>
      </w:r>
    </w:p>
  </w:footnote>
  <w:footnote w:id="42">
    <w:p w:rsidR="0039067A" w:rsidRPr="00ED7D8C" w:rsidRDefault="0039067A" w:rsidP="00D41BD8">
      <w:pPr>
        <w:pStyle w:val="Notedebasdepage"/>
        <w:jc w:val="both"/>
        <w:rPr>
          <w:rFonts w:ascii="Times New Roman" w:hAnsi="Times New Roman" w:cs="Times New Roman"/>
        </w:rPr>
      </w:pPr>
      <w:r w:rsidRPr="00ED7D8C">
        <w:rPr>
          <w:rStyle w:val="Appelnotedebasdep"/>
          <w:rFonts w:ascii="Times New Roman" w:hAnsi="Times New Roman" w:cs="Times New Roman"/>
        </w:rPr>
        <w:footnoteRef/>
      </w:r>
      <w:r w:rsidRPr="00ED7D8C">
        <w:rPr>
          <w:rFonts w:ascii="Times New Roman" w:hAnsi="Times New Roman" w:cs="Times New Roman"/>
        </w:rPr>
        <w:t xml:space="preserve">E. Barbu, </w:t>
      </w:r>
      <w:proofErr w:type="spellStart"/>
      <w:r w:rsidRPr="00ED7D8C">
        <w:rPr>
          <w:rFonts w:ascii="Times New Roman" w:hAnsi="Times New Roman" w:cs="Times New Roman"/>
        </w:rPr>
        <w:t>Op-Cit</w:t>
      </w:r>
      <w:proofErr w:type="spellEnd"/>
      <w:r w:rsidRPr="00ED7D8C">
        <w:rPr>
          <w:rFonts w:ascii="Times New Roman" w:hAnsi="Times New Roman" w:cs="Times New Roman"/>
        </w:rPr>
        <w:t>, p : 4.</w:t>
      </w:r>
    </w:p>
  </w:footnote>
  <w:footnote w:id="43">
    <w:p w:rsidR="0039067A" w:rsidRPr="0045598A" w:rsidRDefault="0039067A" w:rsidP="00D41BD8">
      <w:pPr>
        <w:pStyle w:val="Notedebasdepage"/>
        <w:rPr>
          <w:rFonts w:ascii="Times New Roman" w:hAnsi="Times New Roman" w:cs="Times New Roman"/>
          <w:lang w:val="en-US"/>
        </w:rPr>
      </w:pPr>
      <w:r w:rsidRPr="0045598A">
        <w:rPr>
          <w:rStyle w:val="Appelnotedebasdep"/>
          <w:rFonts w:ascii="Times New Roman" w:hAnsi="Times New Roman" w:cs="Times New Roman"/>
        </w:rPr>
        <w:footnoteRef/>
      </w:r>
      <w:r w:rsidRPr="0045598A">
        <w:rPr>
          <w:rFonts w:ascii="Times New Roman" w:hAnsi="Times New Roman" w:cs="Times New Roman"/>
          <w:lang w:val="en-US"/>
        </w:rPr>
        <w:t xml:space="preserve"> </w:t>
      </w:r>
      <w:proofErr w:type="gramStart"/>
      <w:r w:rsidRPr="0045598A">
        <w:rPr>
          <w:rFonts w:ascii="Times New Roman" w:hAnsi="Times New Roman" w:cs="Times New Roman"/>
          <w:lang w:val="en-US"/>
        </w:rPr>
        <w:t>International Organization of Securities Commissions.</w:t>
      </w:r>
      <w:proofErr w:type="gramEnd"/>
    </w:p>
  </w:footnote>
  <w:footnote w:id="44">
    <w:p w:rsidR="0039067A" w:rsidRPr="00576EB1" w:rsidRDefault="0039067A" w:rsidP="00D41BD8">
      <w:pPr>
        <w:pStyle w:val="Notedebasdepage"/>
        <w:rPr>
          <w:rFonts w:ascii="Times New Roman" w:hAnsi="Times New Roman" w:cs="Times New Roman"/>
          <w:bCs/>
          <w:i/>
          <w:u w:val="single"/>
        </w:rPr>
      </w:pPr>
      <w:r w:rsidRPr="00576EB1">
        <w:rPr>
          <w:rStyle w:val="Appelnotedebasdep"/>
          <w:rFonts w:ascii="Times New Roman" w:hAnsi="Times New Roman" w:cs="Times New Roman"/>
        </w:rPr>
        <w:footnoteRef/>
      </w:r>
      <w:r w:rsidRPr="00576EB1">
        <w:rPr>
          <w:rFonts w:ascii="Times New Roman" w:hAnsi="Times New Roman" w:cs="Times New Roman"/>
          <w:bCs/>
        </w:rPr>
        <w:t>MURIEL NAHMIAS, « </w:t>
      </w:r>
      <w:r w:rsidRPr="00576EB1">
        <w:rPr>
          <w:rFonts w:ascii="Times New Roman" w:hAnsi="Times New Roman" w:cs="Times New Roman"/>
          <w:bCs/>
          <w:i/>
          <w:u w:val="single"/>
        </w:rPr>
        <w:t>L’essentiel des normes IAS/IFRS </w:t>
      </w:r>
      <w:r w:rsidRPr="00576EB1">
        <w:rPr>
          <w:rFonts w:ascii="Times New Roman" w:hAnsi="Times New Roman" w:cs="Times New Roman"/>
          <w:bCs/>
          <w:i/>
        </w:rPr>
        <w:t>»,</w:t>
      </w:r>
      <w:r w:rsidRPr="00576EB1">
        <w:rPr>
          <w:rFonts w:ascii="Times New Roman" w:hAnsi="Times New Roman" w:cs="Times New Roman"/>
        </w:rPr>
        <w:t xml:space="preserve"> Éditions d’Organisation, 2004, P : 48.</w:t>
      </w:r>
    </w:p>
  </w:footnote>
  <w:footnote w:id="45">
    <w:p w:rsidR="0039067A" w:rsidRPr="001B31B1" w:rsidRDefault="0039067A" w:rsidP="00D41BD8">
      <w:pPr>
        <w:pStyle w:val="Notedebasdepage"/>
        <w:jc w:val="both"/>
      </w:pPr>
      <w:r w:rsidRPr="001B31B1">
        <w:rPr>
          <w:rStyle w:val="Appelnotedebasdep"/>
          <w:rFonts w:ascii="Times New Roman" w:hAnsi="Times New Roman" w:cs="Times New Roman"/>
        </w:rPr>
        <w:footnoteRef/>
      </w:r>
      <w:r w:rsidRPr="00576EB1">
        <w:rPr>
          <w:rFonts w:ascii="Times New Roman" w:hAnsi="Times New Roman" w:cs="Times New Roman"/>
          <w:bCs/>
        </w:rPr>
        <w:t>MURIEL NAHMIAS</w:t>
      </w:r>
      <w:r>
        <w:rPr>
          <w:rFonts w:ascii="Times New Roman" w:hAnsi="Times New Roman" w:cs="Times New Roman"/>
          <w:bCs/>
        </w:rPr>
        <w:t xml:space="preserve">, </w:t>
      </w:r>
      <w:proofErr w:type="spellStart"/>
      <w:r>
        <w:rPr>
          <w:rFonts w:ascii="Times New Roman" w:hAnsi="Times New Roman" w:cs="Times New Roman"/>
          <w:bCs/>
        </w:rPr>
        <w:t>Op-Cit</w:t>
      </w:r>
      <w:proofErr w:type="spellEnd"/>
      <w:r>
        <w:rPr>
          <w:rFonts w:ascii="Times New Roman" w:hAnsi="Times New Roman" w:cs="Times New Roman"/>
          <w:bCs/>
        </w:rPr>
        <w:t>, P : 48</w:t>
      </w:r>
      <w:r w:rsidRPr="001B31B1">
        <w:rPr>
          <w:rFonts w:ascii="Times New Roman" w:hAnsi="Times New Roman" w:cs="Times New Roman"/>
        </w:rPr>
        <w:t>.</w:t>
      </w:r>
    </w:p>
  </w:footnote>
  <w:footnote w:id="46">
    <w:p w:rsidR="0039067A" w:rsidRDefault="0039067A" w:rsidP="00D41BD8">
      <w:pPr>
        <w:pStyle w:val="Notedebasdepage"/>
      </w:pPr>
      <w:r>
        <w:rPr>
          <w:rStyle w:val="Appelnotedebasdep"/>
        </w:rPr>
        <w:footnoteRef/>
      </w:r>
      <w:r>
        <w:t xml:space="preserve"> </w:t>
      </w:r>
      <w:r w:rsidRPr="00E956BB">
        <w:rPr>
          <w:rFonts w:ascii="Times New Roman" w:hAnsi="Times New Roman" w:cs="Times New Roman"/>
        </w:rPr>
        <w:t xml:space="preserve">Disponible sur le site : </w:t>
      </w:r>
      <w:hyperlink r:id="rId3" w:history="1">
        <w:r w:rsidRPr="00E956BB">
          <w:rPr>
            <w:rStyle w:val="Lienhypertexte"/>
            <w:rFonts w:ascii="Times New Roman" w:hAnsi="Times New Roman" w:cs="Times New Roman"/>
          </w:rPr>
          <w:t>www.iasb.com</w:t>
        </w:r>
      </w:hyperlink>
      <w:r w:rsidRPr="00E956BB">
        <w:rPr>
          <w:rFonts w:ascii="Times New Roman" w:hAnsi="Times New Roman" w:cs="Times New Roman"/>
        </w:rPr>
        <w:t>.</w:t>
      </w:r>
    </w:p>
  </w:footnote>
  <w:footnote w:id="47">
    <w:p w:rsidR="0039067A" w:rsidRPr="005A5374" w:rsidRDefault="0039067A" w:rsidP="00D41BD8">
      <w:pPr>
        <w:pStyle w:val="Notedebasdepage"/>
        <w:rPr>
          <w:rFonts w:ascii="Times New Roman" w:hAnsi="Times New Roman" w:cs="Times New Roman"/>
        </w:rPr>
      </w:pPr>
      <w:r w:rsidRPr="005A5374">
        <w:rPr>
          <w:rStyle w:val="Appelnotedebasdep"/>
          <w:rFonts w:ascii="Times New Roman" w:hAnsi="Times New Roman" w:cs="Times New Roman"/>
        </w:rPr>
        <w:footnoteRef/>
      </w:r>
      <w:r w:rsidRPr="005A5374">
        <w:rPr>
          <w:rFonts w:ascii="Times New Roman" w:hAnsi="Times New Roman" w:cs="Times New Roman"/>
        </w:rPr>
        <w:t xml:space="preserve"> Disponible sur le site d’</w:t>
      </w:r>
      <w:proofErr w:type="spellStart"/>
      <w:r w:rsidRPr="005A5374">
        <w:rPr>
          <w:rFonts w:ascii="Times New Roman" w:eastAsia="Calibri" w:hAnsi="Times New Roman" w:cs="Times New Roman"/>
          <w:b/>
          <w:i/>
        </w:rPr>
        <w:t>Écho</w:t>
      </w:r>
      <w:proofErr w:type="spellEnd"/>
      <w:r w:rsidRPr="005A5374">
        <w:rPr>
          <w:rFonts w:ascii="Times New Roman" w:eastAsia="Calibri" w:hAnsi="Times New Roman" w:cs="Times New Roman"/>
          <w:b/>
          <w:i/>
        </w:rPr>
        <w:t>-Gestion</w:t>
      </w:r>
      <w:r w:rsidRPr="005A5374">
        <w:rPr>
          <w:rFonts w:ascii="Times New Roman" w:hAnsi="Times New Roman" w:cs="Times New Roman"/>
          <w:i/>
        </w:rPr>
        <w:t xml:space="preserve"> : </w:t>
      </w:r>
      <w:r w:rsidRPr="005A5374">
        <w:rPr>
          <w:rFonts w:ascii="Times New Roman" w:eastAsia="Calibri" w:hAnsi="Times New Roman" w:cs="Times New Roman"/>
          <w:i/>
          <w:u w:val="single"/>
        </w:rPr>
        <w:t>http://pedagogie.ac-aix-marseille.fr/ecolyc/revue</w:t>
      </w:r>
      <w:r>
        <w:rPr>
          <w:rFonts w:ascii="Times New Roman" w:hAnsi="Times New Roman" w:cs="Times New Roman"/>
          <w:i/>
          <w:u w:val="single"/>
        </w:rPr>
        <w:t>.</w:t>
      </w:r>
    </w:p>
  </w:footnote>
  <w:footnote w:id="48">
    <w:p w:rsidR="0039067A" w:rsidRDefault="0039067A" w:rsidP="00D41BD8">
      <w:pPr>
        <w:pStyle w:val="Notedebasdepage"/>
        <w:jc w:val="both"/>
      </w:pPr>
      <w:r>
        <w:rPr>
          <w:rStyle w:val="Appelnotedebasdep"/>
        </w:rPr>
        <w:footnoteRef/>
      </w:r>
      <w:r>
        <w:t xml:space="preserve"> </w:t>
      </w:r>
      <w:r w:rsidRPr="008526F3">
        <w:rPr>
          <w:rFonts w:ascii="Times New Roman" w:hAnsi="Times New Roman" w:cs="Times New Roman"/>
        </w:rPr>
        <w:t>Extrait du texte relatif au Cadre conceptuel de l’IASC qui a été approuvé par le Conseil</w:t>
      </w:r>
      <w:r>
        <w:rPr>
          <w:rFonts w:ascii="Times New Roman" w:hAnsi="Times New Roman" w:cs="Times New Roman"/>
        </w:rPr>
        <w:t xml:space="preserve"> </w:t>
      </w:r>
      <w:r w:rsidRPr="008526F3">
        <w:rPr>
          <w:rFonts w:ascii="Times New Roman" w:hAnsi="Times New Roman" w:cs="Times New Roman"/>
        </w:rPr>
        <w:t>en avril 1989 pour publication en juillet 1989 et a été adopté par l’IASB en avril 2001.</w:t>
      </w:r>
    </w:p>
  </w:footnote>
  <w:footnote w:id="49">
    <w:p w:rsidR="0039067A" w:rsidRPr="008526F3" w:rsidRDefault="0039067A" w:rsidP="00D41BD8">
      <w:pPr>
        <w:pStyle w:val="Notedebasdepage"/>
        <w:rPr>
          <w:rFonts w:ascii="Times New Roman" w:hAnsi="Times New Roman" w:cs="Times New Roman"/>
        </w:rPr>
      </w:pPr>
      <w:r w:rsidRPr="008526F3">
        <w:rPr>
          <w:rStyle w:val="Appelnotedebasdep"/>
          <w:rFonts w:ascii="Times New Roman" w:hAnsi="Times New Roman" w:cs="Times New Roman"/>
        </w:rPr>
        <w:footnoteRef/>
      </w:r>
      <w:proofErr w:type="spellStart"/>
      <w:r w:rsidRPr="008526F3">
        <w:rPr>
          <w:rFonts w:ascii="Times New Roman" w:hAnsi="Times New Roman" w:cs="Times New Roman"/>
        </w:rPr>
        <w:t>Colasse</w:t>
      </w:r>
      <w:proofErr w:type="spellEnd"/>
      <w:r>
        <w:rPr>
          <w:rFonts w:ascii="Times New Roman" w:hAnsi="Times New Roman" w:cs="Times New Roman"/>
        </w:rPr>
        <w:t xml:space="preserve">, B, </w:t>
      </w:r>
      <w:r w:rsidRPr="008526F3">
        <w:rPr>
          <w:rFonts w:ascii="Times New Roman" w:hAnsi="Times New Roman" w:cs="Times New Roman"/>
        </w:rPr>
        <w:t xml:space="preserve"> </w:t>
      </w:r>
      <w:r>
        <w:rPr>
          <w:rFonts w:ascii="Times New Roman" w:hAnsi="Times New Roman" w:cs="Times New Roman"/>
        </w:rPr>
        <w:t>« </w:t>
      </w:r>
      <w:r w:rsidRPr="00A0732C">
        <w:rPr>
          <w:rFonts w:ascii="Times New Roman" w:hAnsi="Times New Roman" w:cs="Times New Roman"/>
          <w:i/>
          <w:u w:val="single"/>
        </w:rPr>
        <w:t>Cadres comptables conceptuels</w:t>
      </w:r>
      <w:r>
        <w:rPr>
          <w:rFonts w:ascii="Times New Roman" w:hAnsi="Times New Roman" w:cs="Times New Roman"/>
        </w:rPr>
        <w:t> »,</w:t>
      </w:r>
      <w:r w:rsidRPr="008526F3">
        <w:rPr>
          <w:rFonts w:ascii="Times New Roman" w:hAnsi="Times New Roman" w:cs="Times New Roman"/>
        </w:rPr>
        <w:t xml:space="preserve"> In </w:t>
      </w:r>
      <w:r w:rsidRPr="008526F3">
        <w:rPr>
          <w:rFonts w:ascii="Times New Roman" w:hAnsi="Times New Roman" w:cs="Times New Roman"/>
          <w:i/>
          <w:iCs/>
        </w:rPr>
        <w:t>Encyclopédie de comptabilité, contrôle de gestion et audit</w:t>
      </w:r>
      <w:r>
        <w:rPr>
          <w:rFonts w:ascii="Times New Roman" w:hAnsi="Times New Roman" w:cs="Times New Roman"/>
          <w:i/>
          <w:iCs/>
        </w:rPr>
        <w:t xml:space="preserve">, </w:t>
      </w:r>
      <w:r w:rsidRPr="008526F3">
        <w:rPr>
          <w:rFonts w:ascii="Times New Roman" w:hAnsi="Times New Roman" w:cs="Times New Roman"/>
          <w:i/>
          <w:iCs/>
        </w:rPr>
        <w:t xml:space="preserve"> </w:t>
      </w:r>
      <w:proofErr w:type="spellStart"/>
      <w:r w:rsidRPr="008526F3">
        <w:rPr>
          <w:rFonts w:ascii="Times New Roman" w:hAnsi="Times New Roman" w:cs="Times New Roman"/>
        </w:rPr>
        <w:t>Economica</w:t>
      </w:r>
      <w:proofErr w:type="spellEnd"/>
      <w:r w:rsidRPr="00A0732C">
        <w:rPr>
          <w:rFonts w:ascii="Times New Roman" w:hAnsi="Times New Roman" w:cs="Times New Roman"/>
        </w:rPr>
        <w:t xml:space="preserve"> </w:t>
      </w:r>
      <w:r w:rsidRPr="008526F3">
        <w:rPr>
          <w:rFonts w:ascii="Times New Roman" w:hAnsi="Times New Roman" w:cs="Times New Roman"/>
        </w:rPr>
        <w:t>Paris</w:t>
      </w:r>
      <w:r>
        <w:rPr>
          <w:rFonts w:ascii="Times New Roman" w:hAnsi="Times New Roman" w:cs="Times New Roman"/>
        </w:rPr>
        <w:t xml:space="preserve">, </w:t>
      </w:r>
      <w:r w:rsidRPr="008526F3">
        <w:rPr>
          <w:rFonts w:ascii="Times New Roman" w:hAnsi="Times New Roman" w:cs="Times New Roman"/>
        </w:rPr>
        <w:t xml:space="preserve">2000, </w:t>
      </w:r>
      <w:r>
        <w:rPr>
          <w:rFonts w:ascii="Times New Roman" w:hAnsi="Times New Roman" w:cs="Times New Roman"/>
        </w:rPr>
        <w:t xml:space="preserve">pp : </w:t>
      </w:r>
      <w:r w:rsidRPr="008526F3">
        <w:rPr>
          <w:rFonts w:ascii="Times New Roman" w:hAnsi="Times New Roman" w:cs="Times New Roman"/>
        </w:rPr>
        <w:t>92-104.</w:t>
      </w:r>
    </w:p>
  </w:footnote>
  <w:footnote w:id="50">
    <w:p w:rsidR="0039067A" w:rsidRPr="008526F3" w:rsidRDefault="0039067A" w:rsidP="00D41BD8">
      <w:pPr>
        <w:pStyle w:val="Notedebasdepage"/>
        <w:rPr>
          <w:rFonts w:ascii="Times New Roman" w:hAnsi="Times New Roman" w:cs="Times New Roman"/>
        </w:rPr>
      </w:pPr>
      <w:r w:rsidRPr="008526F3">
        <w:rPr>
          <w:rStyle w:val="Appelnotedebasdep"/>
          <w:rFonts w:ascii="Times New Roman" w:hAnsi="Times New Roman" w:cs="Times New Roman"/>
        </w:rPr>
        <w:footnoteRef/>
      </w:r>
      <w:r w:rsidRPr="008526F3">
        <w:rPr>
          <w:rFonts w:ascii="Times New Roman" w:hAnsi="Times New Roman" w:cs="Times New Roman"/>
        </w:rPr>
        <w:t>Une liste des normes comptables internationales sera présentée en annexe.</w:t>
      </w:r>
    </w:p>
  </w:footnote>
  <w:footnote w:id="51">
    <w:p w:rsidR="0039067A" w:rsidRPr="00C85A44" w:rsidRDefault="0039067A" w:rsidP="00D41BD8">
      <w:pPr>
        <w:pStyle w:val="Notedebasdepage"/>
        <w:jc w:val="both"/>
        <w:rPr>
          <w:rFonts w:ascii="Times New Roman" w:hAnsi="Times New Roman" w:cs="Times New Roman"/>
        </w:rPr>
      </w:pPr>
      <w:r w:rsidRPr="00C85A44">
        <w:rPr>
          <w:rStyle w:val="Appelnotedebasdep"/>
          <w:rFonts w:ascii="Times New Roman" w:hAnsi="Times New Roman" w:cs="Times New Roman"/>
        </w:rPr>
        <w:footnoteRef/>
      </w:r>
      <w:r w:rsidRPr="00C85A44">
        <w:rPr>
          <w:rFonts w:ascii="Times New Roman" w:hAnsi="Times New Roman" w:cs="Times New Roman"/>
        </w:rPr>
        <w:t> </w:t>
      </w:r>
      <w:proofErr w:type="spellStart"/>
      <w:r w:rsidRPr="00C85A44">
        <w:rPr>
          <w:rFonts w:ascii="Times New Roman" w:hAnsi="Times New Roman" w:cs="Times New Roman"/>
          <w:bCs/>
        </w:rPr>
        <w:t>Stettler</w:t>
      </w:r>
      <w:proofErr w:type="spellEnd"/>
      <w:r w:rsidRPr="00C85A44">
        <w:rPr>
          <w:rFonts w:ascii="Times New Roman" w:hAnsi="Times New Roman" w:cs="Times New Roman"/>
          <w:bCs/>
        </w:rPr>
        <w:t xml:space="preserve"> A et </w:t>
      </w:r>
      <w:proofErr w:type="spellStart"/>
      <w:r w:rsidRPr="00C85A44">
        <w:rPr>
          <w:rFonts w:ascii="Times New Roman" w:hAnsi="Times New Roman" w:cs="Times New Roman"/>
          <w:bCs/>
        </w:rPr>
        <w:t>R.Guerbi</w:t>
      </w:r>
      <w:proofErr w:type="spellEnd"/>
      <w:r w:rsidRPr="00C85A44">
        <w:rPr>
          <w:rFonts w:ascii="Times New Roman" w:hAnsi="Times New Roman" w:cs="Times New Roman"/>
          <w:bCs/>
        </w:rPr>
        <w:t xml:space="preserve">, </w:t>
      </w:r>
      <w:r w:rsidRPr="00C85A44">
        <w:rPr>
          <w:rFonts w:ascii="Times New Roman" w:hAnsi="Times New Roman" w:cs="Times New Roman"/>
        </w:rPr>
        <w:t xml:space="preserve">« </w:t>
      </w:r>
      <w:r w:rsidRPr="00C85A44">
        <w:rPr>
          <w:rFonts w:ascii="Times New Roman" w:hAnsi="Times New Roman" w:cs="Times New Roman"/>
          <w:i/>
          <w:u w:val="single"/>
        </w:rPr>
        <w:t>Les cadres conceptuels comptables et les méthodes d’évaluation : A la recherche d’une logique interne</w:t>
      </w:r>
      <w:r w:rsidRPr="00C85A44">
        <w:rPr>
          <w:rFonts w:ascii="Times New Roman" w:hAnsi="Times New Roman" w:cs="Times New Roman"/>
        </w:rPr>
        <w:t xml:space="preserve"> », L’</w:t>
      </w:r>
      <w:proofErr w:type="spellStart"/>
      <w:r w:rsidRPr="00C85A44">
        <w:rPr>
          <w:rFonts w:ascii="Times New Roman" w:hAnsi="Times New Roman" w:cs="Times New Roman"/>
        </w:rPr>
        <w:t>expert comptable</w:t>
      </w:r>
      <w:proofErr w:type="spellEnd"/>
      <w:r w:rsidRPr="00C85A44">
        <w:rPr>
          <w:rFonts w:ascii="Times New Roman" w:hAnsi="Times New Roman" w:cs="Times New Roman"/>
        </w:rPr>
        <w:t xml:space="preserve"> suisse</w:t>
      </w:r>
      <w:r>
        <w:rPr>
          <w:rFonts w:ascii="Times New Roman" w:hAnsi="Times New Roman" w:cs="Times New Roman"/>
        </w:rPr>
        <w:t xml:space="preserve">, </w:t>
      </w:r>
      <w:r w:rsidRPr="00C85A44">
        <w:rPr>
          <w:rFonts w:ascii="Times New Roman" w:hAnsi="Times New Roman" w:cs="Times New Roman"/>
          <w:bCs/>
        </w:rPr>
        <w:t>04/2005</w:t>
      </w:r>
      <w:r w:rsidRPr="00C85A44">
        <w:rPr>
          <w:rFonts w:ascii="Times New Roman" w:hAnsi="Times New Roman" w:cs="Times New Roman"/>
        </w:rPr>
        <w:t>.</w:t>
      </w:r>
    </w:p>
  </w:footnote>
  <w:footnote w:id="52">
    <w:p w:rsidR="0039067A" w:rsidRPr="00C85A44" w:rsidRDefault="0039067A" w:rsidP="00D41BD8">
      <w:pPr>
        <w:autoSpaceDE w:val="0"/>
        <w:autoSpaceDN w:val="0"/>
        <w:adjustRightInd w:val="0"/>
        <w:spacing w:after="0"/>
        <w:jc w:val="both"/>
        <w:rPr>
          <w:rFonts w:ascii="Times New Roman" w:hAnsi="Times New Roman" w:cs="Times New Roman"/>
          <w:sz w:val="20"/>
          <w:szCs w:val="20"/>
        </w:rPr>
      </w:pPr>
      <w:r>
        <w:rPr>
          <w:rStyle w:val="Appelnotedebasdep"/>
        </w:rPr>
        <w:footnoteRef/>
      </w:r>
      <w:r w:rsidRPr="00C85A44">
        <w:rPr>
          <w:rFonts w:ascii="Times New Roman" w:hAnsi="Times New Roman" w:cs="Times New Roman"/>
          <w:bCs/>
          <w:sz w:val="20"/>
          <w:szCs w:val="20"/>
        </w:rPr>
        <w:t>Cadre pour la préparation et la présentation des états financiers</w:t>
      </w:r>
      <w:r>
        <w:rPr>
          <w:rFonts w:ascii="Times New Roman" w:hAnsi="Times New Roman" w:cs="Times New Roman"/>
          <w:sz w:val="20"/>
          <w:szCs w:val="20"/>
        </w:rPr>
        <w:t xml:space="preserve">, disponible sur le site : </w:t>
      </w:r>
      <w:r w:rsidRPr="00C85A44">
        <w:rPr>
          <w:rFonts w:ascii="Times New Roman" w:hAnsi="Times New Roman" w:cs="Times New Roman"/>
          <w:sz w:val="20"/>
          <w:szCs w:val="20"/>
          <w:u w:val="single"/>
        </w:rPr>
        <w:t>www.iasb.org.uk</w:t>
      </w:r>
      <w:r>
        <w:rPr>
          <w:rFonts w:ascii="Times New Roman" w:hAnsi="Times New Roman" w:cs="Times New Roman"/>
          <w:sz w:val="20"/>
          <w:szCs w:val="20"/>
          <w:u w:val="single"/>
        </w:rPr>
        <w:t>.</w:t>
      </w:r>
    </w:p>
  </w:footnote>
  <w:footnote w:id="53">
    <w:p w:rsidR="0039067A" w:rsidRPr="005A2415" w:rsidRDefault="0039067A" w:rsidP="00D41BD8">
      <w:pPr>
        <w:pStyle w:val="Notedebasdepage"/>
        <w:rPr>
          <w:rFonts w:ascii="Times New Roman" w:hAnsi="Times New Roman" w:cs="Times New Roman"/>
        </w:rPr>
      </w:pPr>
      <w:r>
        <w:rPr>
          <w:rStyle w:val="Appelnotedebasdep"/>
        </w:rPr>
        <w:footnoteRef/>
      </w:r>
      <w:r>
        <w:t> </w:t>
      </w:r>
      <w:r w:rsidRPr="005A2415">
        <w:rPr>
          <w:rFonts w:ascii="Times New Roman" w:eastAsia="Calibri" w:hAnsi="Times New Roman" w:cs="Times New Roman"/>
        </w:rPr>
        <w:t>BIRANE GUEYE</w:t>
      </w:r>
      <w:r>
        <w:rPr>
          <w:rFonts w:ascii="Times New Roman" w:hAnsi="Times New Roman" w:cs="Times New Roman"/>
        </w:rPr>
        <w:t>,  « </w:t>
      </w:r>
      <w:r w:rsidRPr="005A2415">
        <w:rPr>
          <w:rFonts w:ascii="Times New Roman" w:eastAsia="Calibri" w:hAnsi="Times New Roman" w:cs="Times New Roman"/>
          <w:i/>
          <w:u w:val="single"/>
        </w:rPr>
        <w:t>L’impact des normes IFRS sur  les entreprises françaises et leur information financière</w:t>
      </w:r>
      <w:r>
        <w:rPr>
          <w:rFonts w:ascii="Times New Roman" w:hAnsi="Times New Roman" w:cs="Times New Roman"/>
          <w:i/>
          <w:u w:val="single"/>
        </w:rPr>
        <w:t> </w:t>
      </w:r>
      <w:r w:rsidRPr="005A2415">
        <w:rPr>
          <w:rFonts w:ascii="Times New Roman" w:hAnsi="Times New Roman" w:cs="Times New Roman"/>
          <w:i/>
        </w:rPr>
        <w:t>»,</w:t>
      </w:r>
      <w:r w:rsidRPr="005A2415">
        <w:rPr>
          <w:rFonts w:ascii="Times New Roman" w:hAnsi="Times New Roman" w:cs="Times New Roman"/>
        </w:rPr>
        <w:t xml:space="preserve"> mémoire de recherche</w:t>
      </w:r>
      <w:r>
        <w:rPr>
          <w:rFonts w:ascii="Times New Roman" w:hAnsi="Times New Roman" w:cs="Times New Roman"/>
        </w:rPr>
        <w:t xml:space="preserve">, </w:t>
      </w:r>
      <w:r w:rsidRPr="005A2415">
        <w:rPr>
          <w:rFonts w:ascii="Times New Roman" w:eastAsia="Calibri" w:hAnsi="Times New Roman" w:cs="Times New Roman"/>
          <w:bCs/>
        </w:rPr>
        <w:t>Institut Supérieur Européen de Gestion (ISEG)</w:t>
      </w:r>
      <w:r>
        <w:rPr>
          <w:rFonts w:ascii="Times New Roman" w:hAnsi="Times New Roman" w:cs="Times New Roman"/>
          <w:bCs/>
        </w:rPr>
        <w:t>, 2008, p : ??.</w:t>
      </w:r>
    </w:p>
  </w:footnote>
  <w:footnote w:id="54">
    <w:p w:rsidR="0039067A" w:rsidRPr="00CB62B8" w:rsidRDefault="0039067A" w:rsidP="00D41BD8">
      <w:pPr>
        <w:pStyle w:val="Notedebasdepage"/>
        <w:jc w:val="both"/>
        <w:rPr>
          <w:rFonts w:ascii="Times New Roman" w:hAnsi="Times New Roman" w:cs="Times New Roman"/>
          <w:bCs/>
        </w:rPr>
      </w:pPr>
      <w:r w:rsidRPr="00CB62B8">
        <w:rPr>
          <w:rStyle w:val="Appelnotedebasdep"/>
          <w:rFonts w:ascii="Times New Roman" w:hAnsi="Times New Roman" w:cs="Times New Roman"/>
        </w:rPr>
        <w:footnoteRef/>
      </w:r>
      <w:r>
        <w:rPr>
          <w:rFonts w:ascii="Times New Roman" w:hAnsi="Times New Roman" w:cs="Times New Roman"/>
        </w:rPr>
        <w:t xml:space="preserve"> Extrait de la norme IAS 16,</w:t>
      </w:r>
      <w:r w:rsidRPr="00CB62B8">
        <w:rPr>
          <w:rFonts w:ascii="Times New Roman" w:hAnsi="Times New Roman" w:cs="Times New Roman"/>
        </w:rPr>
        <w:t> </w:t>
      </w:r>
      <w:r w:rsidRPr="00CB62B8">
        <w:rPr>
          <w:rFonts w:ascii="Times New Roman" w:hAnsi="Times New Roman" w:cs="Times New Roman"/>
          <w:bCs/>
        </w:rPr>
        <w:t>Règlement (CE) No 1725/2003 de la commission</w:t>
      </w:r>
      <w:r>
        <w:rPr>
          <w:rFonts w:ascii="Times New Roman" w:hAnsi="Times New Roman" w:cs="Times New Roman"/>
          <w:bCs/>
        </w:rPr>
        <w:t xml:space="preserve"> du 29 septembre 2003 </w:t>
      </w:r>
      <w:r w:rsidRPr="00CB62B8">
        <w:rPr>
          <w:rFonts w:ascii="Times New Roman" w:hAnsi="Times New Roman" w:cs="Times New Roman"/>
          <w:bCs/>
        </w:rPr>
        <w:t>portant adoption de certaines normes comptables internatio</w:t>
      </w:r>
      <w:r>
        <w:rPr>
          <w:rFonts w:ascii="Times New Roman" w:hAnsi="Times New Roman" w:cs="Times New Roman"/>
          <w:bCs/>
        </w:rPr>
        <w:t xml:space="preserve">nales conformément au Règlement </w:t>
      </w:r>
      <w:r w:rsidRPr="00CB62B8">
        <w:rPr>
          <w:rFonts w:ascii="Times New Roman" w:hAnsi="Times New Roman" w:cs="Times New Roman"/>
          <w:bCs/>
        </w:rPr>
        <w:t>(CE) n</w:t>
      </w:r>
      <w:r>
        <w:rPr>
          <w:rFonts w:ascii="Times New Roman" w:hAnsi="Times New Roman" w:cs="Times New Roman"/>
          <w:bCs/>
        </w:rPr>
        <w:t>°</w:t>
      </w:r>
      <w:r w:rsidRPr="00CB62B8">
        <w:rPr>
          <w:rFonts w:ascii="Times New Roman" w:hAnsi="Times New Roman" w:cs="Times New Roman"/>
          <w:bCs/>
        </w:rPr>
        <w:t xml:space="preserve"> 1606/2002 du Parlement européen et du Conseil</w:t>
      </w:r>
      <w:r>
        <w:rPr>
          <w:rFonts w:ascii="Times New Roman" w:hAnsi="Times New Roman" w:cs="Times New Roman"/>
          <w:bCs/>
        </w:rPr>
        <w:t>.</w:t>
      </w:r>
    </w:p>
  </w:footnote>
  <w:footnote w:id="55">
    <w:p w:rsidR="0039067A" w:rsidRPr="003B19BA" w:rsidRDefault="0039067A" w:rsidP="00D41BD8">
      <w:pPr>
        <w:pStyle w:val="Notedebasdepage"/>
        <w:jc w:val="both"/>
        <w:rPr>
          <w:rFonts w:ascii="Times New Roman" w:hAnsi="Times New Roman" w:cs="Times New Roman"/>
        </w:rPr>
      </w:pPr>
      <w:r w:rsidRPr="003B19BA">
        <w:rPr>
          <w:rStyle w:val="Appelnotedebasdep"/>
          <w:rFonts w:ascii="Times New Roman" w:hAnsi="Times New Roman" w:cs="Times New Roman"/>
        </w:rPr>
        <w:footnoteRef/>
      </w:r>
      <w:r w:rsidRPr="003B19BA">
        <w:rPr>
          <w:rFonts w:ascii="Times New Roman" w:hAnsi="Times New Roman" w:cs="Times New Roman"/>
        </w:rPr>
        <w:t>M.AMBLARD, «</w:t>
      </w:r>
      <w:r w:rsidRPr="003B19BA">
        <w:rPr>
          <w:rFonts w:ascii="Times New Roman" w:hAnsi="Times New Roman" w:cs="Times New Roman"/>
          <w:i/>
          <w:u w:val="single"/>
        </w:rPr>
        <w:t xml:space="preserve">Conventions et modélisation </w:t>
      </w:r>
      <w:proofErr w:type="spellStart"/>
      <w:r w:rsidRPr="003B19BA">
        <w:rPr>
          <w:rFonts w:ascii="Times New Roman" w:hAnsi="Times New Roman" w:cs="Times New Roman"/>
          <w:i/>
          <w:u w:val="single"/>
        </w:rPr>
        <w:t>comptable</w:t>
      </w:r>
      <w:r w:rsidRPr="003B19BA">
        <w:rPr>
          <w:rFonts w:ascii="Times New Roman" w:hAnsi="Times New Roman" w:cs="Times New Roman"/>
        </w:rPr>
        <w:t>»</w:t>
      </w:r>
      <w:proofErr w:type="gramStart"/>
      <w:r w:rsidRPr="003B19BA">
        <w:rPr>
          <w:rFonts w:ascii="Times New Roman" w:hAnsi="Times New Roman" w:cs="Times New Roman"/>
        </w:rPr>
        <w:t>,</w:t>
      </w:r>
      <w:r w:rsidRPr="003B19BA">
        <w:rPr>
          <w:rFonts w:ascii="Times New Roman" w:hAnsi="Times New Roman" w:cs="Times New Roman"/>
          <w:i/>
          <w:iCs/>
        </w:rPr>
        <w:t>Conventions</w:t>
      </w:r>
      <w:proofErr w:type="spellEnd"/>
      <w:proofErr w:type="gramEnd"/>
      <w:r w:rsidRPr="003B19BA">
        <w:rPr>
          <w:rFonts w:ascii="Times New Roman" w:hAnsi="Times New Roman" w:cs="Times New Roman"/>
          <w:i/>
          <w:iCs/>
        </w:rPr>
        <w:t xml:space="preserve"> et management</w:t>
      </w:r>
      <w:r w:rsidRPr="003B19BA">
        <w:rPr>
          <w:rFonts w:ascii="Times New Roman" w:hAnsi="Times New Roman" w:cs="Times New Roman"/>
        </w:rPr>
        <w:t>, De Boeck, Louvain, Belgique, (2003), pp. 61-88.</w:t>
      </w:r>
    </w:p>
  </w:footnote>
  <w:footnote w:id="56">
    <w:p w:rsidR="0039067A" w:rsidRPr="00FB1571" w:rsidRDefault="0039067A" w:rsidP="00D41BD8">
      <w:pPr>
        <w:pStyle w:val="Notedebasdepage"/>
        <w:jc w:val="both"/>
        <w:rPr>
          <w:rFonts w:ascii="Times New Roman" w:hAnsi="Times New Roman" w:cs="Times New Roman"/>
          <w:lang w:val="en-US"/>
        </w:rPr>
      </w:pPr>
      <w:r w:rsidRPr="00FB1571">
        <w:rPr>
          <w:rStyle w:val="Appelnotedebasdep"/>
          <w:rFonts w:ascii="Times New Roman" w:hAnsi="Times New Roman" w:cs="Times New Roman"/>
        </w:rPr>
        <w:footnoteRef/>
      </w:r>
      <w:proofErr w:type="gramStart"/>
      <w:r w:rsidRPr="00FB1571">
        <w:rPr>
          <w:rFonts w:ascii="Times New Roman" w:hAnsi="Times New Roman" w:cs="Times New Roman"/>
          <w:bCs/>
          <w:lang w:val="en-US"/>
        </w:rPr>
        <w:t>CHAMBERS, R., «</w:t>
      </w:r>
      <w:r>
        <w:rPr>
          <w:rFonts w:ascii="Times New Roman" w:hAnsi="Times New Roman" w:cs="Times New Roman"/>
          <w:bCs/>
          <w:lang w:val="en-US"/>
        </w:rPr>
        <w:t xml:space="preserve"> </w:t>
      </w:r>
      <w:r w:rsidRPr="00FB1571">
        <w:rPr>
          <w:rFonts w:ascii="Times New Roman" w:hAnsi="Times New Roman" w:cs="Times New Roman"/>
          <w:bCs/>
          <w:i/>
          <w:u w:val="single"/>
          <w:lang w:val="en-US"/>
        </w:rPr>
        <w:t>Blueprint for a theory of accounting</w:t>
      </w:r>
      <w:r>
        <w:rPr>
          <w:rFonts w:ascii="Times New Roman" w:hAnsi="Times New Roman" w:cs="Times New Roman"/>
          <w:bCs/>
          <w:lang w:val="en-US"/>
        </w:rPr>
        <w:t xml:space="preserve"> </w:t>
      </w:r>
      <w:r w:rsidRPr="00FB1571">
        <w:rPr>
          <w:rFonts w:ascii="Times New Roman" w:hAnsi="Times New Roman" w:cs="Times New Roman"/>
          <w:bCs/>
          <w:lang w:val="en-US"/>
        </w:rPr>
        <w:t>», Accounting Research, 1955</w:t>
      </w:r>
      <w:r>
        <w:rPr>
          <w:rFonts w:ascii="Times New Roman" w:hAnsi="Times New Roman" w:cs="Times New Roman"/>
          <w:bCs/>
          <w:lang w:val="en-US"/>
        </w:rPr>
        <w:t xml:space="preserve">, </w:t>
      </w:r>
      <w:r w:rsidRPr="00FB1571">
        <w:rPr>
          <w:rFonts w:ascii="Times New Roman" w:hAnsi="Times New Roman" w:cs="Times New Roman"/>
          <w:lang w:val="en-US"/>
        </w:rPr>
        <w:t>p.17</w:t>
      </w:r>
      <w:r>
        <w:rPr>
          <w:rFonts w:ascii="Times New Roman" w:hAnsi="Times New Roman" w:cs="Times New Roman"/>
          <w:lang w:val="en-US"/>
        </w:rPr>
        <w:t>.</w:t>
      </w:r>
      <w:proofErr w:type="gramEnd"/>
    </w:p>
  </w:footnote>
  <w:footnote w:id="57">
    <w:p w:rsidR="0039067A" w:rsidRPr="003B19BA" w:rsidRDefault="0039067A" w:rsidP="00D41BD8">
      <w:pPr>
        <w:pStyle w:val="Notedebasdepage"/>
        <w:jc w:val="both"/>
        <w:rPr>
          <w:rFonts w:ascii="Times New Roman" w:hAnsi="Times New Roman" w:cs="Times New Roman"/>
        </w:rPr>
      </w:pPr>
      <w:r w:rsidRPr="003B19BA">
        <w:rPr>
          <w:rStyle w:val="Appelnotedebasdep"/>
          <w:rFonts w:ascii="Times New Roman" w:hAnsi="Times New Roman" w:cs="Times New Roman"/>
        </w:rPr>
        <w:footnoteRef/>
      </w:r>
      <w:r w:rsidRPr="003B19BA">
        <w:rPr>
          <w:rFonts w:ascii="Times New Roman" w:hAnsi="Times New Roman" w:cs="Times New Roman"/>
        </w:rPr>
        <w:t>Idem, p.19</w:t>
      </w:r>
      <w:r>
        <w:rPr>
          <w:rFonts w:ascii="Times New Roman" w:hAnsi="Times New Roman" w:cs="Times New Roman"/>
        </w:rPr>
        <w:t>.</w:t>
      </w:r>
    </w:p>
  </w:footnote>
  <w:footnote w:id="58">
    <w:p w:rsidR="0039067A" w:rsidRPr="00487137" w:rsidRDefault="0039067A" w:rsidP="00D41BD8">
      <w:pPr>
        <w:pStyle w:val="Notedebasdepage"/>
        <w:jc w:val="both"/>
        <w:rPr>
          <w:rFonts w:ascii="Times New Roman" w:hAnsi="Times New Roman" w:cs="Times New Roman"/>
          <w:b/>
          <w:bCs/>
        </w:rPr>
      </w:pPr>
      <w:r w:rsidRPr="003B19BA">
        <w:rPr>
          <w:rStyle w:val="Appelnotedebasdep"/>
          <w:rFonts w:ascii="Times New Roman" w:hAnsi="Times New Roman" w:cs="Times New Roman"/>
        </w:rPr>
        <w:footnoteRef/>
      </w:r>
      <w:r>
        <w:rPr>
          <w:rFonts w:ascii="Times New Roman" w:hAnsi="Times New Roman" w:cs="Times New Roman"/>
          <w:bCs/>
        </w:rPr>
        <w:t xml:space="preserve">COLASSE, B., </w:t>
      </w:r>
      <w:r w:rsidRPr="00487137">
        <w:rPr>
          <w:rFonts w:ascii="Times New Roman" w:hAnsi="Times New Roman" w:cs="Times New Roman"/>
          <w:bCs/>
        </w:rPr>
        <w:t xml:space="preserve">« </w:t>
      </w:r>
      <w:r w:rsidRPr="00487137">
        <w:rPr>
          <w:rFonts w:ascii="Times New Roman" w:hAnsi="Times New Roman" w:cs="Times New Roman"/>
          <w:bCs/>
          <w:i/>
          <w:u w:val="single"/>
        </w:rPr>
        <w:t>Théories comptables</w:t>
      </w:r>
      <w:r>
        <w:rPr>
          <w:rFonts w:ascii="Times New Roman" w:hAnsi="Times New Roman" w:cs="Times New Roman"/>
          <w:bCs/>
        </w:rPr>
        <w:t xml:space="preserve"> </w:t>
      </w:r>
      <w:r w:rsidRPr="00487137">
        <w:rPr>
          <w:rFonts w:ascii="Times New Roman" w:hAnsi="Times New Roman" w:cs="Times New Roman"/>
          <w:bCs/>
        </w:rPr>
        <w:t xml:space="preserve">», In Encyclopédie comptabilité, contrôle de gestion et audit,  Ed. </w:t>
      </w:r>
      <w:proofErr w:type="spellStart"/>
      <w:r w:rsidRPr="00487137">
        <w:rPr>
          <w:rFonts w:ascii="Times New Roman" w:hAnsi="Times New Roman" w:cs="Times New Roman"/>
          <w:bCs/>
        </w:rPr>
        <w:t>Economica</w:t>
      </w:r>
      <w:proofErr w:type="spellEnd"/>
      <w:r>
        <w:rPr>
          <w:rFonts w:ascii="Times New Roman" w:hAnsi="Times New Roman" w:cs="Times New Roman"/>
          <w:bCs/>
        </w:rPr>
        <w:t>, 2000</w:t>
      </w:r>
      <w:r w:rsidRPr="00487137">
        <w:rPr>
          <w:rFonts w:ascii="Times New Roman" w:hAnsi="Times New Roman" w:cs="Times New Roman"/>
          <w:bCs/>
        </w:rPr>
        <w:t>, pp.1234-1243</w:t>
      </w:r>
      <w:r>
        <w:rPr>
          <w:rFonts w:ascii="Times New Roman" w:hAnsi="Times New Roman" w:cs="Times New Roman"/>
          <w:bCs/>
        </w:rPr>
        <w:t>,</w:t>
      </w:r>
      <w:r w:rsidRPr="003B19BA">
        <w:rPr>
          <w:rFonts w:ascii="Times New Roman" w:hAnsi="Times New Roman" w:cs="Times New Roman"/>
        </w:rPr>
        <w:t xml:space="preserve"> p.1237</w:t>
      </w:r>
      <w:r>
        <w:rPr>
          <w:rFonts w:ascii="Times New Roman" w:hAnsi="Times New Roman" w:cs="Times New Roman"/>
        </w:rPr>
        <w:t>.</w:t>
      </w:r>
    </w:p>
  </w:footnote>
  <w:footnote w:id="59">
    <w:p w:rsidR="0039067A" w:rsidRPr="00DE0779" w:rsidRDefault="0039067A" w:rsidP="00D41BD8">
      <w:pPr>
        <w:pStyle w:val="Notedebasdepage"/>
        <w:jc w:val="both"/>
        <w:rPr>
          <w:rFonts w:ascii="Times New Roman" w:hAnsi="Times New Roman" w:cs="Times New Roman"/>
        </w:rPr>
      </w:pPr>
      <w:r w:rsidRPr="00DE0779">
        <w:rPr>
          <w:rStyle w:val="Appelnotedebasdep"/>
          <w:rFonts w:ascii="Times New Roman" w:hAnsi="Times New Roman" w:cs="Times New Roman"/>
        </w:rPr>
        <w:footnoteRef/>
      </w:r>
      <w:r w:rsidRPr="00DE0779">
        <w:rPr>
          <w:rFonts w:ascii="Times New Roman" w:hAnsi="Times New Roman" w:cs="Times New Roman"/>
        </w:rPr>
        <w:t>P</w:t>
      </w:r>
      <w:r>
        <w:rPr>
          <w:rFonts w:ascii="Times New Roman" w:hAnsi="Times New Roman" w:cs="Times New Roman"/>
        </w:rPr>
        <w:t>.</w:t>
      </w:r>
      <w:r w:rsidRPr="00DE0779">
        <w:rPr>
          <w:rFonts w:ascii="Times New Roman" w:hAnsi="Times New Roman" w:cs="Times New Roman"/>
        </w:rPr>
        <w:t xml:space="preserve"> DUMONTIER et B</w:t>
      </w:r>
      <w:r>
        <w:rPr>
          <w:rFonts w:ascii="Times New Roman" w:hAnsi="Times New Roman" w:cs="Times New Roman"/>
        </w:rPr>
        <w:t>.</w:t>
      </w:r>
      <w:r w:rsidRPr="00DE0779">
        <w:rPr>
          <w:rFonts w:ascii="Times New Roman" w:hAnsi="Times New Roman" w:cs="Times New Roman"/>
        </w:rPr>
        <w:t xml:space="preserve"> RAFFOURNIER</w:t>
      </w:r>
      <w:r>
        <w:rPr>
          <w:rFonts w:ascii="Times New Roman" w:hAnsi="Times New Roman" w:cs="Times New Roman"/>
        </w:rPr>
        <w:t>, « </w:t>
      </w:r>
      <w:r w:rsidRPr="00DE0779">
        <w:rPr>
          <w:rFonts w:ascii="Times New Roman" w:hAnsi="Times New Roman" w:cs="Times New Roman"/>
          <w:i/>
          <w:u w:val="single"/>
        </w:rPr>
        <w:t>Vingt ans de recherche positive en Comptabilité financière</w:t>
      </w:r>
      <w:r>
        <w:rPr>
          <w:rFonts w:ascii="Times New Roman" w:hAnsi="Times New Roman" w:cs="Times New Roman"/>
        </w:rPr>
        <w:t xml:space="preserve"> », Comptabilité </w:t>
      </w:r>
      <w:r w:rsidRPr="00DE0779">
        <w:rPr>
          <w:rFonts w:ascii="Times New Roman" w:hAnsi="Times New Roman" w:cs="Times New Roman"/>
        </w:rPr>
        <w:t>- Contrôle - Audit / Les vingt ans de l'AFC - mai 1999</w:t>
      </w:r>
      <w:r>
        <w:rPr>
          <w:rFonts w:ascii="Times New Roman" w:hAnsi="Times New Roman" w:cs="Times New Roman"/>
        </w:rPr>
        <w:t>, p</w:t>
      </w:r>
      <w:r w:rsidRPr="00DE0779">
        <w:rPr>
          <w:rFonts w:ascii="Times New Roman" w:hAnsi="Times New Roman" w:cs="Times New Roman"/>
        </w:rPr>
        <w:t xml:space="preserve">p. 179 </w:t>
      </w:r>
      <w:r>
        <w:rPr>
          <w:rFonts w:ascii="Times New Roman" w:hAnsi="Times New Roman" w:cs="Times New Roman"/>
        </w:rPr>
        <w:t>–</w:t>
      </w:r>
      <w:r w:rsidRPr="00DE0779">
        <w:rPr>
          <w:rFonts w:ascii="Times New Roman" w:hAnsi="Times New Roman" w:cs="Times New Roman"/>
        </w:rPr>
        <w:t xml:space="preserve"> 197</w:t>
      </w:r>
      <w:r>
        <w:rPr>
          <w:rFonts w:ascii="Times New Roman" w:hAnsi="Times New Roman" w:cs="Times New Roman"/>
        </w:rPr>
        <w:t>.</w:t>
      </w:r>
    </w:p>
  </w:footnote>
  <w:footnote w:id="60">
    <w:p w:rsidR="0039067A" w:rsidRPr="00D73633" w:rsidRDefault="0039067A" w:rsidP="00D41BD8">
      <w:pPr>
        <w:pStyle w:val="Notedebasdepage"/>
        <w:jc w:val="both"/>
        <w:rPr>
          <w:rFonts w:ascii="Times New Roman" w:hAnsi="Times New Roman" w:cs="Times New Roman"/>
          <w:b/>
          <w:bCs/>
        </w:rPr>
      </w:pPr>
      <w:r w:rsidRPr="00DE0779">
        <w:rPr>
          <w:rStyle w:val="Appelnotedebasdep"/>
          <w:rFonts w:ascii="Times New Roman" w:hAnsi="Times New Roman" w:cs="Times New Roman"/>
        </w:rPr>
        <w:footnoteRef/>
      </w:r>
      <w:proofErr w:type="gramStart"/>
      <w:r w:rsidRPr="00ED6A68">
        <w:rPr>
          <w:rFonts w:ascii="Times New Roman" w:hAnsi="Times New Roman" w:cs="Times New Roman"/>
          <w:bCs/>
          <w:lang w:val="en-US"/>
        </w:rPr>
        <w:t xml:space="preserve">JENSEN, M., </w:t>
      </w:r>
      <w:r w:rsidRPr="001C1785">
        <w:rPr>
          <w:rFonts w:ascii="Times New Roman" w:hAnsi="Times New Roman" w:cs="Times New Roman"/>
          <w:lang w:val="en-US"/>
        </w:rPr>
        <w:t xml:space="preserve">« </w:t>
      </w:r>
      <w:r w:rsidRPr="00ED6A68">
        <w:rPr>
          <w:rFonts w:ascii="Times New Roman" w:hAnsi="Times New Roman" w:cs="Times New Roman"/>
          <w:bCs/>
          <w:lang w:val="en-US"/>
        </w:rPr>
        <w:t>Reflections on the state of accounting research and the regulation of accounting</w:t>
      </w:r>
      <w:r>
        <w:rPr>
          <w:rFonts w:ascii="Times New Roman" w:hAnsi="Times New Roman" w:cs="Times New Roman"/>
          <w:bCs/>
          <w:lang w:val="en-US"/>
        </w:rPr>
        <w:t xml:space="preserve"> </w:t>
      </w:r>
      <w:r w:rsidRPr="001C1785">
        <w:rPr>
          <w:rFonts w:ascii="Times New Roman" w:hAnsi="Times New Roman" w:cs="Times New Roman"/>
          <w:lang w:val="en-US"/>
        </w:rPr>
        <w:t>»</w:t>
      </w:r>
      <w:r>
        <w:rPr>
          <w:rFonts w:ascii="Times New Roman" w:hAnsi="Times New Roman" w:cs="Times New Roman"/>
          <w:bCs/>
          <w:lang w:val="en-US"/>
        </w:rPr>
        <w:t>,</w:t>
      </w:r>
      <w:r w:rsidRPr="00ED6A68">
        <w:rPr>
          <w:rFonts w:ascii="Times New Roman" w:hAnsi="Times New Roman" w:cs="Times New Roman"/>
          <w:bCs/>
          <w:lang w:val="en-US"/>
        </w:rPr>
        <w:t xml:space="preserve"> 1976</w:t>
      </w:r>
      <w:r>
        <w:rPr>
          <w:rFonts w:ascii="Times New Roman" w:hAnsi="Times New Roman" w:cs="Times New Roman"/>
          <w:bCs/>
          <w:lang w:val="en-US"/>
        </w:rPr>
        <w:t>,</w:t>
      </w:r>
      <w:r w:rsidRPr="001C1785">
        <w:rPr>
          <w:rFonts w:ascii="Times New Roman" w:hAnsi="Times New Roman" w:cs="Times New Roman"/>
          <w:lang w:val="en-US"/>
        </w:rPr>
        <w:t xml:space="preserve"> </w:t>
      </w:r>
      <w:r w:rsidRPr="00ED6A68">
        <w:rPr>
          <w:rFonts w:ascii="Times New Roman" w:hAnsi="Times New Roman" w:cs="Times New Roman"/>
          <w:lang w:val="en-US"/>
        </w:rPr>
        <w:t>p.7</w:t>
      </w:r>
      <w:r w:rsidRPr="00ED6A68">
        <w:rPr>
          <w:rFonts w:ascii="Times New Roman" w:hAnsi="Times New Roman" w:cs="Times New Roman"/>
          <w:bCs/>
          <w:lang w:val="en-US"/>
        </w:rPr>
        <w:t>.</w:t>
      </w:r>
      <w:proofErr w:type="gramEnd"/>
      <w:r w:rsidRPr="00ED6A68">
        <w:rPr>
          <w:rFonts w:ascii="Times New Roman" w:hAnsi="Times New Roman" w:cs="Times New Roman"/>
          <w:bCs/>
          <w:lang w:val="en-US"/>
        </w:rPr>
        <w:t xml:space="preserve"> </w:t>
      </w:r>
      <w:r w:rsidRPr="00D73633">
        <w:rPr>
          <w:rFonts w:ascii="Times New Roman" w:hAnsi="Times New Roman" w:cs="Times New Roman"/>
          <w:bCs/>
        </w:rPr>
        <w:t xml:space="preserve">Disponible sur le site : </w:t>
      </w:r>
      <w:r w:rsidRPr="00D73633">
        <w:rPr>
          <w:rFonts w:ascii="Times New Roman" w:hAnsi="Times New Roman" w:cs="Times New Roman"/>
          <w:bCs/>
          <w:u w:val="single"/>
        </w:rPr>
        <w:t>http://papers.ssrn.com/abstract=321522</w:t>
      </w:r>
      <w:r w:rsidRPr="00D73633">
        <w:rPr>
          <w:rFonts w:ascii="Times New Roman" w:hAnsi="Times New Roman" w:cs="Times New Roman"/>
          <w:bCs/>
        </w:rPr>
        <w:t>.</w:t>
      </w:r>
      <w:r w:rsidRPr="00D73633">
        <w:rPr>
          <w:rFonts w:ascii="Times New Roman" w:hAnsi="Times New Roman" w:cs="Times New Roman"/>
        </w:rPr>
        <w:t xml:space="preserve"> </w:t>
      </w:r>
    </w:p>
  </w:footnote>
  <w:footnote w:id="61">
    <w:p w:rsidR="0039067A" w:rsidRPr="00A92C3E" w:rsidRDefault="0039067A" w:rsidP="00D41BD8">
      <w:pPr>
        <w:pStyle w:val="Notedebasdepage"/>
        <w:jc w:val="both"/>
        <w:rPr>
          <w:rFonts w:ascii="Times New Roman" w:hAnsi="Times New Roman" w:cs="Times New Roman"/>
          <w:lang w:val="en-US"/>
        </w:rPr>
      </w:pPr>
      <w:r w:rsidRPr="00E4512E">
        <w:rPr>
          <w:rStyle w:val="Appelnotedebasdep"/>
          <w:rFonts w:ascii="Times New Roman" w:hAnsi="Times New Roman" w:cs="Times New Roman"/>
        </w:rPr>
        <w:footnoteRef/>
      </w:r>
      <w:r w:rsidRPr="00E4512E">
        <w:rPr>
          <w:rFonts w:ascii="Times New Roman" w:hAnsi="Times New Roman" w:cs="Times New Roman"/>
          <w:bCs/>
        </w:rPr>
        <w:t>CORMIER, D.,</w:t>
      </w:r>
      <w:r>
        <w:rPr>
          <w:rFonts w:ascii="Times New Roman" w:hAnsi="Times New Roman" w:cs="Times New Roman"/>
          <w:bCs/>
        </w:rPr>
        <w:t xml:space="preserve"> « </w:t>
      </w:r>
      <w:r w:rsidRPr="00E4512E">
        <w:rPr>
          <w:rFonts w:ascii="Times New Roman" w:hAnsi="Times New Roman" w:cs="Times New Roman"/>
          <w:bCs/>
          <w:i/>
          <w:u w:val="single"/>
        </w:rPr>
        <w:t>Comptabilité anglo-saxonne et internationale</w:t>
      </w:r>
      <w:r>
        <w:rPr>
          <w:rFonts w:ascii="Times New Roman" w:hAnsi="Times New Roman" w:cs="Times New Roman"/>
          <w:bCs/>
        </w:rPr>
        <w:t xml:space="preserve"> », Ed. </w:t>
      </w:r>
      <w:proofErr w:type="spellStart"/>
      <w:r w:rsidRPr="00A92C3E">
        <w:rPr>
          <w:rFonts w:ascii="Times New Roman" w:hAnsi="Times New Roman" w:cs="Times New Roman"/>
          <w:bCs/>
          <w:lang w:val="en-US"/>
        </w:rPr>
        <w:t>Economica</w:t>
      </w:r>
      <w:proofErr w:type="spellEnd"/>
      <w:r w:rsidRPr="00A92C3E">
        <w:rPr>
          <w:rFonts w:ascii="Times New Roman" w:hAnsi="Times New Roman" w:cs="Times New Roman"/>
          <w:bCs/>
          <w:lang w:val="en-US"/>
        </w:rPr>
        <w:t>, 2</w:t>
      </w:r>
      <w:r w:rsidRPr="00A92C3E">
        <w:rPr>
          <w:rFonts w:ascii="Times New Roman" w:hAnsi="Times New Roman" w:cs="Times New Roman"/>
          <w:bCs/>
          <w:vertAlign w:val="superscript"/>
          <w:lang w:val="en-US"/>
        </w:rPr>
        <w:t>ème</w:t>
      </w:r>
      <w:r w:rsidRPr="00A92C3E">
        <w:rPr>
          <w:rFonts w:ascii="Times New Roman" w:hAnsi="Times New Roman" w:cs="Times New Roman"/>
          <w:bCs/>
          <w:lang w:val="en-US"/>
        </w:rPr>
        <w:t xml:space="preserve"> </w:t>
      </w:r>
      <w:proofErr w:type="spellStart"/>
      <w:r w:rsidRPr="00A92C3E">
        <w:rPr>
          <w:rFonts w:ascii="Times New Roman" w:hAnsi="Times New Roman" w:cs="Times New Roman"/>
          <w:bCs/>
          <w:lang w:val="en-US"/>
        </w:rPr>
        <w:t>édition</w:t>
      </w:r>
      <w:proofErr w:type="spellEnd"/>
      <w:proofErr w:type="gramStart"/>
      <w:r w:rsidRPr="00A92C3E">
        <w:rPr>
          <w:rFonts w:ascii="Times New Roman" w:hAnsi="Times New Roman" w:cs="Times New Roman"/>
          <w:bCs/>
          <w:lang w:val="en-US"/>
        </w:rPr>
        <w:t>,</w:t>
      </w:r>
      <w:r w:rsidRPr="00A92C3E">
        <w:rPr>
          <w:rFonts w:ascii="Times New Roman" w:hAnsi="Times New Roman" w:cs="Times New Roman"/>
          <w:lang w:val="en-US"/>
        </w:rPr>
        <w:t xml:space="preserve">  2007</w:t>
      </w:r>
      <w:proofErr w:type="gramEnd"/>
      <w:r w:rsidRPr="00A92C3E">
        <w:rPr>
          <w:rFonts w:ascii="Times New Roman" w:hAnsi="Times New Roman" w:cs="Times New Roman"/>
          <w:lang w:val="en-US"/>
        </w:rPr>
        <w:t>, p.439.</w:t>
      </w:r>
    </w:p>
  </w:footnote>
  <w:footnote w:id="62">
    <w:p w:rsidR="0039067A" w:rsidRPr="00A92C3E" w:rsidRDefault="0039067A" w:rsidP="00D41BD8">
      <w:pPr>
        <w:pStyle w:val="Notedebasdepage"/>
        <w:jc w:val="both"/>
        <w:rPr>
          <w:rFonts w:ascii="Times New Roman" w:hAnsi="Times New Roman" w:cs="Times New Roman"/>
          <w:bCs/>
          <w:lang w:val="en-US"/>
        </w:rPr>
      </w:pPr>
      <w:r w:rsidRPr="00A92C3E">
        <w:rPr>
          <w:rStyle w:val="Appelnotedebasdep"/>
          <w:rFonts w:ascii="Times New Roman" w:hAnsi="Times New Roman" w:cs="Times New Roman"/>
        </w:rPr>
        <w:footnoteRef/>
      </w:r>
      <w:r w:rsidRPr="00A92C3E">
        <w:rPr>
          <w:rFonts w:ascii="Times New Roman" w:hAnsi="Times New Roman" w:cs="Times New Roman"/>
          <w:bCs/>
          <w:lang w:val="en-US"/>
        </w:rPr>
        <w:t xml:space="preserve">WATTS, R., ZIMMERMAN, J., </w:t>
      </w:r>
      <w:r w:rsidRPr="00A92C3E">
        <w:rPr>
          <w:rFonts w:ascii="Times New Roman" w:hAnsi="Times New Roman" w:cs="Times New Roman"/>
          <w:lang w:val="en-US"/>
        </w:rPr>
        <w:t xml:space="preserve">« </w:t>
      </w:r>
      <w:r w:rsidRPr="00A92C3E">
        <w:rPr>
          <w:rFonts w:ascii="Times New Roman" w:hAnsi="Times New Roman" w:cs="Times New Roman"/>
          <w:bCs/>
          <w:i/>
          <w:u w:val="single"/>
          <w:lang w:val="en-US"/>
        </w:rPr>
        <w:t xml:space="preserve">The demand for and supply of accounting </w:t>
      </w:r>
      <w:proofErr w:type="gramStart"/>
      <w:r w:rsidRPr="00A92C3E">
        <w:rPr>
          <w:rFonts w:ascii="Times New Roman" w:hAnsi="Times New Roman" w:cs="Times New Roman"/>
          <w:bCs/>
          <w:i/>
          <w:u w:val="single"/>
          <w:lang w:val="en-US"/>
        </w:rPr>
        <w:t>theories :</w:t>
      </w:r>
      <w:proofErr w:type="gramEnd"/>
      <w:r w:rsidRPr="00A92C3E">
        <w:rPr>
          <w:rFonts w:ascii="Times New Roman" w:hAnsi="Times New Roman" w:cs="Times New Roman"/>
          <w:bCs/>
          <w:i/>
          <w:u w:val="single"/>
          <w:lang w:val="en-US"/>
        </w:rPr>
        <w:t xml:space="preserve"> the market for excuses</w:t>
      </w:r>
      <w:r w:rsidRPr="00A92C3E">
        <w:rPr>
          <w:rFonts w:ascii="Times New Roman" w:hAnsi="Times New Roman" w:cs="Times New Roman"/>
          <w:bCs/>
          <w:i/>
          <w:lang w:val="en-US"/>
        </w:rPr>
        <w:t xml:space="preserve"> </w:t>
      </w:r>
      <w:r w:rsidRPr="00A92C3E">
        <w:rPr>
          <w:rFonts w:ascii="Times New Roman" w:hAnsi="Times New Roman" w:cs="Times New Roman"/>
          <w:lang w:val="en-US"/>
        </w:rPr>
        <w:t>»</w:t>
      </w:r>
      <w:r w:rsidRPr="00A92C3E">
        <w:rPr>
          <w:rFonts w:ascii="Times New Roman" w:hAnsi="Times New Roman" w:cs="Times New Roman"/>
          <w:bCs/>
          <w:lang w:val="en-US"/>
        </w:rPr>
        <w:t xml:space="preserve">, The </w:t>
      </w:r>
      <w:r>
        <w:rPr>
          <w:rFonts w:ascii="Times New Roman" w:hAnsi="Times New Roman" w:cs="Times New Roman"/>
          <w:bCs/>
          <w:lang w:val="en-US"/>
        </w:rPr>
        <w:t>A</w:t>
      </w:r>
      <w:r w:rsidRPr="00A92C3E">
        <w:rPr>
          <w:rFonts w:ascii="Times New Roman" w:hAnsi="Times New Roman" w:cs="Times New Roman"/>
          <w:bCs/>
          <w:lang w:val="en-US"/>
        </w:rPr>
        <w:t xml:space="preserve">ccounting </w:t>
      </w:r>
      <w:r>
        <w:rPr>
          <w:rFonts w:ascii="Times New Roman" w:hAnsi="Times New Roman" w:cs="Times New Roman"/>
          <w:bCs/>
          <w:lang w:val="en-US"/>
        </w:rPr>
        <w:t xml:space="preserve">Review, </w:t>
      </w:r>
      <w:proofErr w:type="spellStart"/>
      <w:r>
        <w:rPr>
          <w:rFonts w:ascii="Times New Roman" w:hAnsi="Times New Roman" w:cs="Times New Roman"/>
          <w:bCs/>
          <w:lang w:val="en-US"/>
        </w:rPr>
        <w:t>Vol.LIV</w:t>
      </w:r>
      <w:proofErr w:type="spellEnd"/>
      <w:r>
        <w:rPr>
          <w:rFonts w:ascii="Times New Roman" w:hAnsi="Times New Roman" w:cs="Times New Roman"/>
          <w:bCs/>
          <w:lang w:val="en-US"/>
        </w:rPr>
        <w:t>, n°2, pp.273-305</w:t>
      </w:r>
      <w:r w:rsidRPr="00A92C3E">
        <w:rPr>
          <w:rFonts w:ascii="Times New Roman" w:hAnsi="Times New Roman" w:cs="Times New Roman"/>
          <w:lang w:val="en-US"/>
        </w:rPr>
        <w:t>, p.274</w:t>
      </w:r>
      <w:r>
        <w:rPr>
          <w:rFonts w:ascii="Times New Roman" w:hAnsi="Times New Roman" w:cs="Times New Roman"/>
          <w:lang w:val="en-US"/>
        </w:rPr>
        <w:t>.</w:t>
      </w:r>
    </w:p>
  </w:footnote>
  <w:footnote w:id="63">
    <w:p w:rsidR="0039067A" w:rsidRPr="00114010" w:rsidRDefault="0039067A" w:rsidP="00D41BD8">
      <w:pPr>
        <w:pStyle w:val="Notedebasdepage"/>
        <w:rPr>
          <w:rFonts w:ascii="Times New Roman" w:hAnsi="Times New Roman" w:cs="Times New Roman"/>
        </w:rPr>
      </w:pPr>
      <w:r w:rsidRPr="00DE0779">
        <w:rPr>
          <w:rStyle w:val="Appelnotedebasdep"/>
          <w:rFonts w:ascii="Times New Roman" w:hAnsi="Times New Roman" w:cs="Times New Roman"/>
        </w:rPr>
        <w:footnoteRef/>
      </w:r>
      <w:r w:rsidRPr="00114010">
        <w:rPr>
          <w:rFonts w:ascii="Times New Roman" w:hAnsi="Times New Roman" w:cs="Times New Roman"/>
        </w:rPr>
        <w:t>Idem, p.274.</w:t>
      </w:r>
    </w:p>
  </w:footnote>
  <w:footnote w:id="64">
    <w:p w:rsidR="0039067A" w:rsidRPr="00114010" w:rsidRDefault="0039067A" w:rsidP="00D41BD8">
      <w:pPr>
        <w:pStyle w:val="Notedebasdepage"/>
        <w:jc w:val="both"/>
        <w:rPr>
          <w:rFonts w:ascii="Times New Roman" w:hAnsi="Times New Roman" w:cs="Times New Roman"/>
          <w:bCs/>
        </w:rPr>
      </w:pPr>
      <w:r w:rsidRPr="00114010">
        <w:rPr>
          <w:rStyle w:val="Appelnotedebasdep"/>
          <w:rFonts w:ascii="Times New Roman" w:hAnsi="Times New Roman" w:cs="Times New Roman"/>
        </w:rPr>
        <w:footnoteRef/>
      </w:r>
      <w:r w:rsidRPr="00114010">
        <w:rPr>
          <w:rFonts w:ascii="Times New Roman" w:hAnsi="Times New Roman" w:cs="Times New Roman"/>
        </w:rPr>
        <w:t>CHABRAK N</w:t>
      </w:r>
      <w:r>
        <w:rPr>
          <w:rFonts w:ascii="Times New Roman" w:hAnsi="Times New Roman" w:cs="Times New Roman"/>
        </w:rPr>
        <w:t>.</w:t>
      </w:r>
      <w:r w:rsidRPr="00114010">
        <w:rPr>
          <w:rFonts w:ascii="Times New Roman" w:hAnsi="Times New Roman" w:cs="Times New Roman"/>
        </w:rPr>
        <w:t>,</w:t>
      </w:r>
      <w:r>
        <w:rPr>
          <w:rFonts w:ascii="Times New Roman" w:hAnsi="Times New Roman" w:cs="Times New Roman"/>
        </w:rPr>
        <w:t xml:space="preserve"> « </w:t>
      </w:r>
      <w:r w:rsidRPr="00114010">
        <w:rPr>
          <w:rFonts w:ascii="Times New Roman" w:hAnsi="Times New Roman" w:cs="Times New Roman"/>
          <w:bCs/>
          <w:i/>
          <w:u w:val="single"/>
        </w:rPr>
        <w:t>Apport de l’approche cognitive à l’étude de la politique</w:t>
      </w:r>
      <w:r>
        <w:rPr>
          <w:rFonts w:ascii="Times New Roman" w:hAnsi="Times New Roman" w:cs="Times New Roman"/>
          <w:bCs/>
          <w:i/>
          <w:u w:val="single"/>
        </w:rPr>
        <w:t xml:space="preserve"> </w:t>
      </w:r>
      <w:r w:rsidRPr="00114010">
        <w:rPr>
          <w:rFonts w:ascii="Times New Roman" w:hAnsi="Times New Roman" w:cs="Times New Roman"/>
          <w:bCs/>
          <w:i/>
          <w:u w:val="single"/>
        </w:rPr>
        <w:t>comptable dans une organisation</w:t>
      </w:r>
      <w:r>
        <w:rPr>
          <w:rFonts w:ascii="Times New Roman" w:hAnsi="Times New Roman" w:cs="Times New Roman"/>
          <w:bCs/>
        </w:rPr>
        <w:t xml:space="preserve"> », </w:t>
      </w:r>
      <w:r>
        <w:rPr>
          <w:rFonts w:ascii="Times New Roman" w:hAnsi="Times New Roman" w:cs="Times New Roman"/>
        </w:rPr>
        <w:t xml:space="preserve"> </w:t>
      </w:r>
      <w:r w:rsidRPr="00114010">
        <w:rPr>
          <w:rFonts w:ascii="Times New Roman" w:hAnsi="Times New Roman" w:cs="Times New Roman"/>
        </w:rPr>
        <w:t>Manuscrit auteur, publié dans "20ÈME CONGRES DE L'AFC, France (1999)"</w:t>
      </w:r>
      <w:r>
        <w:rPr>
          <w:rFonts w:ascii="Times New Roman" w:hAnsi="Times New Roman" w:cs="Times New Roman"/>
        </w:rPr>
        <w:t>.</w:t>
      </w:r>
      <w:r w:rsidRPr="00114010">
        <w:rPr>
          <w:rFonts w:ascii="Times New Roman" w:hAnsi="Times New Roman" w:cs="Times New Roman"/>
        </w:rPr>
        <w:t xml:space="preserve"> </w:t>
      </w:r>
    </w:p>
  </w:footnote>
  <w:footnote w:id="65">
    <w:p w:rsidR="0039067A" w:rsidRPr="007E6778" w:rsidRDefault="0039067A" w:rsidP="00D41BD8">
      <w:pPr>
        <w:pStyle w:val="Notedebasdepage"/>
        <w:jc w:val="both"/>
        <w:rPr>
          <w:rFonts w:ascii="Times New Roman" w:hAnsi="Times New Roman" w:cs="Times New Roman"/>
          <w:bCs/>
        </w:rPr>
      </w:pPr>
      <w:r w:rsidRPr="00114010">
        <w:rPr>
          <w:rStyle w:val="Appelnotedebasdep"/>
          <w:rFonts w:ascii="Times New Roman" w:hAnsi="Times New Roman" w:cs="Times New Roman"/>
        </w:rPr>
        <w:footnoteRef/>
      </w:r>
      <w:r w:rsidRPr="007E6778">
        <w:rPr>
          <w:rFonts w:ascii="Times New Roman" w:hAnsi="Times New Roman" w:cs="Times New Roman"/>
          <w:bCs/>
        </w:rPr>
        <w:t xml:space="preserve">SAADA, T., </w:t>
      </w:r>
      <w:r>
        <w:rPr>
          <w:rFonts w:ascii="Times New Roman" w:hAnsi="Times New Roman" w:cs="Times New Roman"/>
        </w:rPr>
        <w:t xml:space="preserve">« </w:t>
      </w:r>
      <w:r w:rsidRPr="007E6778">
        <w:rPr>
          <w:rFonts w:ascii="Times New Roman" w:hAnsi="Times New Roman" w:cs="Times New Roman"/>
          <w:bCs/>
        </w:rPr>
        <w:t>Les déterminants des choix comptables : ét</w:t>
      </w:r>
      <w:r>
        <w:rPr>
          <w:rFonts w:ascii="Times New Roman" w:hAnsi="Times New Roman" w:cs="Times New Roman"/>
          <w:bCs/>
        </w:rPr>
        <w:t xml:space="preserve">ude des pratiques françaises et </w:t>
      </w:r>
      <w:r w:rsidRPr="007E6778">
        <w:rPr>
          <w:rFonts w:ascii="Times New Roman" w:hAnsi="Times New Roman" w:cs="Times New Roman"/>
          <w:bCs/>
        </w:rPr>
        <w:t>comparaison franco-américaine</w:t>
      </w:r>
      <w:r>
        <w:rPr>
          <w:rFonts w:ascii="Times New Roman" w:hAnsi="Times New Roman" w:cs="Times New Roman"/>
          <w:bCs/>
        </w:rPr>
        <w:t xml:space="preserve"> »,</w:t>
      </w:r>
      <w:r w:rsidRPr="007E6778">
        <w:rPr>
          <w:rFonts w:ascii="Times New Roman" w:hAnsi="Times New Roman" w:cs="Times New Roman"/>
          <w:bCs/>
        </w:rPr>
        <w:t xml:space="preserve"> Comptabilité</w:t>
      </w:r>
      <w:r>
        <w:rPr>
          <w:rFonts w:ascii="Times New Roman" w:hAnsi="Times New Roman" w:cs="Times New Roman"/>
          <w:bCs/>
        </w:rPr>
        <w:t>-</w:t>
      </w:r>
      <w:r w:rsidRPr="007E6778">
        <w:rPr>
          <w:rFonts w:ascii="Times New Roman" w:hAnsi="Times New Roman" w:cs="Times New Roman"/>
          <w:bCs/>
        </w:rPr>
        <w:t xml:space="preserve"> contrôle</w:t>
      </w:r>
      <w:r>
        <w:rPr>
          <w:rFonts w:ascii="Times New Roman" w:hAnsi="Times New Roman" w:cs="Times New Roman"/>
          <w:bCs/>
        </w:rPr>
        <w:t>-</w:t>
      </w:r>
      <w:r w:rsidRPr="007E6778">
        <w:rPr>
          <w:rFonts w:ascii="Times New Roman" w:hAnsi="Times New Roman" w:cs="Times New Roman"/>
          <w:bCs/>
        </w:rPr>
        <w:t xml:space="preserve"> audit, Vol.1, n°2, (1995),</w:t>
      </w:r>
      <w:r>
        <w:rPr>
          <w:rFonts w:ascii="Times New Roman" w:hAnsi="Times New Roman" w:cs="Times New Roman"/>
          <w:bCs/>
        </w:rPr>
        <w:t xml:space="preserve"> </w:t>
      </w:r>
      <w:r w:rsidRPr="007E6778">
        <w:rPr>
          <w:rFonts w:ascii="Times New Roman" w:hAnsi="Times New Roman" w:cs="Times New Roman"/>
          <w:bCs/>
        </w:rPr>
        <w:t>pp.52-74.</w:t>
      </w:r>
    </w:p>
  </w:footnote>
  <w:footnote w:id="66">
    <w:p w:rsidR="0039067A" w:rsidRPr="00114010" w:rsidRDefault="0039067A" w:rsidP="00D41BD8">
      <w:pPr>
        <w:pStyle w:val="Notedebasdepage"/>
        <w:jc w:val="both"/>
        <w:rPr>
          <w:rFonts w:ascii="Times New Roman" w:hAnsi="Times New Roman" w:cs="Times New Roman"/>
        </w:rPr>
      </w:pPr>
      <w:r w:rsidRPr="00114010">
        <w:rPr>
          <w:rStyle w:val="Appelnotedebasdep"/>
          <w:rFonts w:ascii="Times New Roman" w:hAnsi="Times New Roman" w:cs="Times New Roman"/>
        </w:rPr>
        <w:footnoteRef/>
      </w:r>
      <w:r w:rsidRPr="00114010">
        <w:rPr>
          <w:rFonts w:ascii="Times New Roman" w:hAnsi="Times New Roman" w:cs="Times New Roman"/>
        </w:rPr>
        <w:t xml:space="preserve"> MANGENOT M</w:t>
      </w:r>
      <w:r>
        <w:rPr>
          <w:rFonts w:ascii="Times New Roman" w:hAnsi="Times New Roman" w:cs="Times New Roman"/>
        </w:rPr>
        <w:t>.</w:t>
      </w:r>
      <w:r w:rsidRPr="00114010">
        <w:rPr>
          <w:rFonts w:ascii="Times New Roman" w:hAnsi="Times New Roman" w:cs="Times New Roman"/>
        </w:rPr>
        <w:t>, « </w:t>
      </w:r>
      <w:r w:rsidRPr="00114010">
        <w:rPr>
          <w:rFonts w:ascii="Times New Roman" w:hAnsi="Times New Roman" w:cs="Times New Roman"/>
          <w:i/>
          <w:iCs/>
          <w:u w:val="single"/>
        </w:rPr>
        <w:t>La comptabilité au service du capital</w:t>
      </w:r>
      <w:r w:rsidRPr="00114010">
        <w:rPr>
          <w:rFonts w:ascii="Times New Roman" w:hAnsi="Times New Roman" w:cs="Times New Roman"/>
          <w:i/>
          <w:iCs/>
        </w:rPr>
        <w:t> »</w:t>
      </w:r>
      <w:r w:rsidRPr="00114010">
        <w:rPr>
          <w:rFonts w:ascii="Times New Roman" w:hAnsi="Times New Roman" w:cs="Times New Roman"/>
        </w:rPr>
        <w:t>, J.P. Delage, 1976, Paris.</w:t>
      </w:r>
    </w:p>
  </w:footnote>
  <w:footnote w:id="67">
    <w:p w:rsidR="0039067A" w:rsidRPr="001D14E8" w:rsidRDefault="0039067A" w:rsidP="00D41BD8">
      <w:pPr>
        <w:pStyle w:val="Notedebasdepage"/>
        <w:jc w:val="both"/>
        <w:rPr>
          <w:rFonts w:ascii="Times New Roman" w:hAnsi="Times New Roman" w:cs="Times New Roman"/>
          <w:color w:val="FF0000"/>
          <w:lang w:val="en-US"/>
        </w:rPr>
      </w:pPr>
      <w:r w:rsidRPr="001D14E8">
        <w:rPr>
          <w:rStyle w:val="Appelnotedebasdep"/>
          <w:rFonts w:ascii="Times New Roman" w:hAnsi="Times New Roman" w:cs="Times New Roman"/>
        </w:rPr>
        <w:footnoteRef/>
      </w:r>
      <w:r w:rsidRPr="001D14E8">
        <w:rPr>
          <w:rFonts w:ascii="Times New Roman" w:hAnsi="Times New Roman" w:cs="Times New Roman"/>
          <w:sz w:val="18"/>
          <w:szCs w:val="18"/>
          <w:lang w:val="en-US"/>
        </w:rPr>
        <w:t xml:space="preserve">Griffiths I. </w:t>
      </w:r>
      <w:r w:rsidRPr="001D14E8">
        <w:rPr>
          <w:rFonts w:ascii="Times New Roman" w:hAnsi="Times New Roman" w:cs="Times New Roman"/>
          <w:bCs/>
          <w:lang w:val="en-US"/>
        </w:rPr>
        <w:t xml:space="preserve">« </w:t>
      </w:r>
      <w:r w:rsidRPr="001D14E8">
        <w:rPr>
          <w:rFonts w:ascii="Times New Roman" w:hAnsi="Times New Roman" w:cs="Times New Roman"/>
          <w:i/>
          <w:sz w:val="18"/>
          <w:szCs w:val="18"/>
          <w:u w:val="single"/>
          <w:lang w:val="en-US"/>
        </w:rPr>
        <w:t>Creative Accounting</w:t>
      </w:r>
      <w:r>
        <w:rPr>
          <w:rFonts w:ascii="Times New Roman" w:hAnsi="Times New Roman" w:cs="Times New Roman"/>
          <w:sz w:val="18"/>
          <w:szCs w:val="18"/>
          <w:lang w:val="en-US"/>
        </w:rPr>
        <w:t xml:space="preserve"> </w:t>
      </w:r>
      <w:r w:rsidRPr="001D14E8">
        <w:rPr>
          <w:rFonts w:ascii="Times New Roman" w:hAnsi="Times New Roman" w:cs="Times New Roman"/>
          <w:bCs/>
          <w:lang w:val="en-US"/>
        </w:rPr>
        <w:t>»</w:t>
      </w:r>
      <w:r>
        <w:rPr>
          <w:rFonts w:ascii="Times New Roman" w:hAnsi="Times New Roman" w:cs="Times New Roman"/>
          <w:sz w:val="18"/>
          <w:szCs w:val="18"/>
          <w:lang w:val="en-US"/>
        </w:rPr>
        <w:t xml:space="preserve">, </w:t>
      </w:r>
      <w:proofErr w:type="spellStart"/>
      <w:r>
        <w:rPr>
          <w:rFonts w:ascii="Times New Roman" w:hAnsi="Times New Roman" w:cs="Times New Roman"/>
          <w:sz w:val="18"/>
          <w:szCs w:val="18"/>
          <w:lang w:val="en-US"/>
        </w:rPr>
        <w:t>Unwin</w:t>
      </w:r>
      <w:proofErr w:type="spellEnd"/>
      <w:r>
        <w:rPr>
          <w:rFonts w:ascii="Times New Roman" w:hAnsi="Times New Roman" w:cs="Times New Roman"/>
          <w:sz w:val="18"/>
          <w:szCs w:val="18"/>
          <w:lang w:val="en-US"/>
        </w:rPr>
        <w:t xml:space="preserve"> Paperbacks London</w:t>
      </w:r>
      <w:r w:rsidRPr="001D14E8">
        <w:rPr>
          <w:rFonts w:ascii="Times New Roman" w:hAnsi="Times New Roman" w:cs="Times New Roman"/>
          <w:lang w:val="en-US"/>
        </w:rPr>
        <w:t>, 1986.</w:t>
      </w:r>
    </w:p>
  </w:footnote>
  <w:footnote w:id="68">
    <w:p w:rsidR="0039067A" w:rsidRPr="00C6331F" w:rsidRDefault="0039067A" w:rsidP="00D41BD8">
      <w:pPr>
        <w:pStyle w:val="Notedebasdepage"/>
        <w:jc w:val="both"/>
        <w:rPr>
          <w:rFonts w:ascii="Times New Roman" w:hAnsi="Times New Roman" w:cs="Times New Roman"/>
          <w:bCs/>
        </w:rPr>
      </w:pPr>
      <w:r w:rsidRPr="00114010">
        <w:rPr>
          <w:rStyle w:val="Appelnotedebasdep"/>
          <w:rFonts w:ascii="Times New Roman" w:hAnsi="Times New Roman" w:cs="Times New Roman"/>
        </w:rPr>
        <w:footnoteRef/>
      </w:r>
      <w:r w:rsidRPr="00C6331F">
        <w:rPr>
          <w:rFonts w:ascii="Times New Roman" w:hAnsi="Times New Roman" w:cs="Times New Roman"/>
          <w:bCs/>
        </w:rPr>
        <w:t>HOARAU, C., « </w:t>
      </w:r>
      <w:r w:rsidRPr="00C6331F">
        <w:rPr>
          <w:rFonts w:ascii="Times New Roman" w:hAnsi="Times New Roman" w:cs="Times New Roman"/>
          <w:bCs/>
          <w:i/>
          <w:u w:val="single"/>
        </w:rPr>
        <w:t>L'harmonisation comptable : vers la reconnaissance mutuelle normative ?</w:t>
      </w:r>
      <w:r w:rsidRPr="00C6331F">
        <w:rPr>
          <w:rFonts w:ascii="Times New Roman" w:hAnsi="Times New Roman" w:cs="Times New Roman"/>
          <w:bCs/>
        </w:rPr>
        <w:t> » Comptabilité- contrôle- audit, Vol.1, n°2, (1995), pp.75-88.</w:t>
      </w:r>
    </w:p>
  </w:footnote>
  <w:footnote w:id="69">
    <w:p w:rsidR="0039067A" w:rsidRPr="00C6331F" w:rsidRDefault="0039067A" w:rsidP="00D41BD8">
      <w:pPr>
        <w:pStyle w:val="Notedebasdepage"/>
        <w:jc w:val="both"/>
        <w:rPr>
          <w:rFonts w:ascii="Times New Roman" w:hAnsi="Times New Roman" w:cs="Times New Roman"/>
        </w:rPr>
      </w:pPr>
      <w:r w:rsidRPr="00C6331F">
        <w:rPr>
          <w:rStyle w:val="Appelnotedebasdep"/>
          <w:rFonts w:ascii="Times New Roman" w:hAnsi="Times New Roman" w:cs="Times New Roman"/>
        </w:rPr>
        <w:footnoteRef/>
      </w:r>
      <w:r w:rsidRPr="00C6331F">
        <w:rPr>
          <w:rFonts w:ascii="Times New Roman" w:hAnsi="Times New Roman" w:cs="Times New Roman"/>
        </w:rPr>
        <w:t xml:space="preserve">www.trader-finance.fr › </w:t>
      </w:r>
      <w:hyperlink r:id="rId4" w:history="1">
        <w:r w:rsidRPr="00C6331F">
          <w:rPr>
            <w:rStyle w:val="Lienhypertexte"/>
            <w:rFonts w:ascii="Times New Roman" w:hAnsi="Times New Roman" w:cs="Times New Roman"/>
          </w:rPr>
          <w:t>Lexique Finance</w:t>
        </w:r>
      </w:hyperlink>
    </w:p>
  </w:footnote>
  <w:footnote w:id="70">
    <w:p w:rsidR="0039067A" w:rsidRPr="00C6331F" w:rsidRDefault="0039067A" w:rsidP="00D41BD8">
      <w:pPr>
        <w:pStyle w:val="Notedebasdepage"/>
        <w:jc w:val="both"/>
        <w:rPr>
          <w:rFonts w:ascii="Times New Roman" w:hAnsi="Times New Roman" w:cs="Times New Roman"/>
        </w:rPr>
      </w:pPr>
      <w:r w:rsidRPr="00C6331F">
        <w:rPr>
          <w:rStyle w:val="Appelnotedebasdep"/>
          <w:rFonts w:ascii="Times New Roman" w:hAnsi="Times New Roman" w:cs="Times New Roman"/>
        </w:rPr>
        <w:footnoteRef/>
      </w:r>
      <w:r w:rsidRPr="00C6331F">
        <w:rPr>
          <w:rFonts w:ascii="Times New Roman" w:hAnsi="Times New Roman" w:cs="Times New Roman"/>
        </w:rPr>
        <w:t xml:space="preserve"> S</w:t>
      </w:r>
      <w:r>
        <w:rPr>
          <w:rFonts w:ascii="Times New Roman" w:hAnsi="Times New Roman" w:cs="Times New Roman"/>
        </w:rPr>
        <w:t>.</w:t>
      </w:r>
      <w:r w:rsidRPr="00C6331F">
        <w:rPr>
          <w:rFonts w:ascii="Times New Roman" w:hAnsi="Times New Roman" w:cs="Times New Roman"/>
        </w:rPr>
        <w:t xml:space="preserve"> </w:t>
      </w:r>
      <w:proofErr w:type="spellStart"/>
      <w:r w:rsidRPr="00C6331F">
        <w:rPr>
          <w:rFonts w:ascii="Times New Roman" w:hAnsi="Times New Roman" w:cs="Times New Roman"/>
        </w:rPr>
        <w:t>Demaria</w:t>
      </w:r>
      <w:proofErr w:type="spellEnd"/>
      <w:r w:rsidRPr="00C6331F">
        <w:rPr>
          <w:rFonts w:ascii="Times New Roman" w:hAnsi="Times New Roman" w:cs="Times New Roman"/>
        </w:rPr>
        <w:t>,</w:t>
      </w:r>
      <w:r>
        <w:rPr>
          <w:rFonts w:ascii="Times New Roman" w:hAnsi="Times New Roman" w:cs="Times New Roman"/>
        </w:rPr>
        <w:t xml:space="preserve"> « </w:t>
      </w:r>
      <w:r w:rsidRPr="00C6331F">
        <w:rPr>
          <w:rFonts w:ascii="Times New Roman" w:hAnsi="Times New Roman" w:cs="Times New Roman"/>
          <w:i/>
          <w:u w:val="single"/>
        </w:rPr>
        <w:t>Financiarisation, Evaluation et Information Comptable : De la création de valeur aux IFRS</w:t>
      </w:r>
      <w:r w:rsidRPr="00C6331F">
        <w:rPr>
          <w:rFonts w:ascii="Times New Roman" w:hAnsi="Times New Roman" w:cs="Times New Roman"/>
        </w:rPr>
        <w:t> », Manuscrit auteur, publié dans "Journée d’étude sur les Nouvelles Perspectives en Management Stratégique", Nice : France (2007).</w:t>
      </w:r>
    </w:p>
  </w:footnote>
  <w:footnote w:id="71">
    <w:p w:rsidR="0039067A" w:rsidRPr="00C6331F" w:rsidRDefault="0039067A" w:rsidP="00D41BD8">
      <w:pPr>
        <w:pStyle w:val="Notedebasdepage"/>
        <w:jc w:val="both"/>
        <w:rPr>
          <w:rFonts w:ascii="Times New Roman" w:hAnsi="Times New Roman" w:cs="Times New Roman"/>
          <w:b/>
          <w:bCs/>
        </w:rPr>
      </w:pPr>
      <w:r w:rsidRPr="00C6331F">
        <w:rPr>
          <w:rStyle w:val="Appelnotedebasdep"/>
          <w:rFonts w:ascii="Times New Roman" w:hAnsi="Times New Roman" w:cs="Times New Roman"/>
        </w:rPr>
        <w:footnoteRef/>
      </w:r>
      <w:r w:rsidRPr="00C6331F">
        <w:rPr>
          <w:rFonts w:ascii="Times New Roman" w:hAnsi="Times New Roman" w:cs="Times New Roman"/>
        </w:rPr>
        <w:t xml:space="preserve"> Michel CAPRON, « </w:t>
      </w:r>
      <w:r w:rsidRPr="00C6331F">
        <w:rPr>
          <w:rFonts w:ascii="Times New Roman" w:hAnsi="Times New Roman" w:cs="Times New Roman"/>
          <w:bCs/>
          <w:i/>
          <w:u w:val="single"/>
        </w:rPr>
        <w:t>Les normes comptables internationales, instruments du capitalisme financier</w:t>
      </w:r>
      <w:r w:rsidRPr="00C6331F">
        <w:rPr>
          <w:rFonts w:ascii="Times New Roman" w:hAnsi="Times New Roman" w:cs="Times New Roman"/>
          <w:b/>
          <w:bCs/>
        </w:rPr>
        <w:t xml:space="preserve"> », </w:t>
      </w:r>
      <w:r w:rsidRPr="00C6331F">
        <w:rPr>
          <w:rFonts w:ascii="Times New Roman" w:hAnsi="Times New Roman" w:cs="Times New Roman"/>
          <w:bCs/>
        </w:rPr>
        <w:t xml:space="preserve">Revue </w:t>
      </w:r>
      <w:proofErr w:type="spellStart"/>
      <w:r w:rsidRPr="00C6331F">
        <w:rPr>
          <w:rFonts w:ascii="Times New Roman" w:hAnsi="Times New Roman" w:cs="Times New Roman"/>
          <w:bCs/>
        </w:rPr>
        <w:t>quadrimestrielle</w:t>
      </w:r>
      <w:proofErr w:type="spellEnd"/>
      <w:r w:rsidRPr="00C6331F">
        <w:rPr>
          <w:rFonts w:ascii="Times New Roman" w:hAnsi="Times New Roman" w:cs="Times New Roman"/>
          <w:bCs/>
        </w:rPr>
        <w:t xml:space="preserve"> « SCIENCES DE LA SOCIÉTÉ »,  Éditée par les Presses Universitaires du Mirail (Toulouse), N° 68 – mai 2006.</w:t>
      </w:r>
    </w:p>
  </w:footnote>
  <w:footnote w:id="72">
    <w:p w:rsidR="0039067A" w:rsidRPr="00C6331F" w:rsidRDefault="0039067A" w:rsidP="00D41BD8">
      <w:pPr>
        <w:pStyle w:val="Notedebasdepage"/>
        <w:jc w:val="both"/>
        <w:rPr>
          <w:rFonts w:ascii="Times New Roman" w:hAnsi="Times New Roman" w:cs="Times New Roman"/>
          <w:lang w:val="en-US"/>
        </w:rPr>
      </w:pPr>
      <w:r w:rsidRPr="00C6331F">
        <w:rPr>
          <w:rStyle w:val="Appelnotedebasdep"/>
          <w:rFonts w:ascii="Times New Roman" w:hAnsi="Times New Roman" w:cs="Times New Roman"/>
        </w:rPr>
        <w:footnoteRef/>
      </w:r>
      <w:r w:rsidRPr="00C6331F">
        <w:rPr>
          <w:rFonts w:ascii="Times New Roman" w:hAnsi="Times New Roman" w:cs="Times New Roman"/>
          <w:lang w:val="en-US"/>
        </w:rPr>
        <w:t xml:space="preserve"> HOPWOOD Anthony G., Miller Peter, « </w:t>
      </w:r>
      <w:r w:rsidRPr="00C6331F">
        <w:rPr>
          <w:rFonts w:ascii="Times New Roman" w:hAnsi="Times New Roman" w:cs="Times New Roman"/>
          <w:i/>
          <w:iCs/>
          <w:u w:val="single"/>
          <w:lang w:val="en-US"/>
        </w:rPr>
        <w:t>Accounting as social and institutional practice</w:t>
      </w:r>
      <w:r w:rsidRPr="00C6331F">
        <w:rPr>
          <w:rFonts w:ascii="Times New Roman" w:hAnsi="Times New Roman" w:cs="Times New Roman"/>
          <w:bCs/>
          <w:lang w:val="en-US"/>
        </w:rPr>
        <w:t>»</w:t>
      </w:r>
      <w:r w:rsidRPr="00C6331F">
        <w:rPr>
          <w:rFonts w:ascii="Times New Roman" w:hAnsi="Times New Roman" w:cs="Times New Roman"/>
          <w:lang w:val="en-US"/>
        </w:rPr>
        <w:t xml:space="preserve">, Cambridge University Press, ED: 1994. </w:t>
      </w:r>
    </w:p>
  </w:footnote>
  <w:footnote w:id="73">
    <w:p w:rsidR="0039067A" w:rsidRDefault="0039067A" w:rsidP="00D41BD8">
      <w:pPr>
        <w:pStyle w:val="Notedebasdepage"/>
        <w:jc w:val="both"/>
      </w:pPr>
      <w:r w:rsidRPr="00C6331F">
        <w:rPr>
          <w:rStyle w:val="Appelnotedebasdep"/>
          <w:rFonts w:ascii="Times New Roman" w:hAnsi="Times New Roman" w:cs="Times New Roman"/>
        </w:rPr>
        <w:footnoteRef/>
      </w:r>
      <w:r w:rsidRPr="00C6331F">
        <w:rPr>
          <w:rFonts w:ascii="Times New Roman" w:hAnsi="Times New Roman" w:cs="Times New Roman"/>
        </w:rPr>
        <w:t xml:space="preserve">Michel CAPRON, </w:t>
      </w:r>
      <w:proofErr w:type="spellStart"/>
      <w:r>
        <w:rPr>
          <w:rFonts w:ascii="Times New Roman" w:hAnsi="Times New Roman" w:cs="Times New Roman"/>
        </w:rPr>
        <w:t>Op-Cit</w:t>
      </w:r>
      <w:proofErr w:type="spellEnd"/>
      <w:r>
        <w:rPr>
          <w:rFonts w:ascii="Times New Roman" w:hAnsi="Times New Roman" w:cs="Times New Roman"/>
        </w:rPr>
        <w:t>, p. </w:t>
      </w:r>
      <w:proofErr w:type="gramStart"/>
      <w:r w:rsidRPr="00C6331F">
        <w:rPr>
          <w:rFonts w:ascii="Times New Roman" w:hAnsi="Times New Roman" w:cs="Times New Roman"/>
          <w:color w:val="FF0000"/>
        </w:rPr>
        <w:t>??</w:t>
      </w:r>
      <w:r w:rsidRPr="00C6331F">
        <w:rPr>
          <w:rFonts w:ascii="Times New Roman" w:hAnsi="Times New Roman" w:cs="Times New Roman"/>
          <w:bCs/>
        </w:rPr>
        <w:t>.</w:t>
      </w:r>
      <w:proofErr w:type="gramEnd"/>
    </w:p>
  </w:footnote>
  <w:footnote w:id="74">
    <w:p w:rsidR="0039067A" w:rsidRPr="000F65E1" w:rsidRDefault="0039067A" w:rsidP="00D41BD8">
      <w:pPr>
        <w:pStyle w:val="Notedebasdepage"/>
        <w:jc w:val="both"/>
        <w:rPr>
          <w:rFonts w:ascii="Times New Roman" w:hAnsi="Times New Roman" w:cs="Times New Roman"/>
          <w:b/>
          <w:bCs/>
          <w:iCs/>
        </w:rPr>
      </w:pPr>
      <w:r w:rsidRPr="000F4EBA">
        <w:rPr>
          <w:rStyle w:val="Appelnotedebasdep"/>
          <w:rFonts w:ascii="Times New Roman" w:hAnsi="Times New Roman" w:cs="Times New Roman"/>
        </w:rPr>
        <w:footnoteRef/>
      </w:r>
      <w:r w:rsidRPr="000F65E1">
        <w:rPr>
          <w:rFonts w:ascii="Times New Roman" w:hAnsi="Times New Roman" w:cs="Times New Roman"/>
          <w:bCs/>
          <w:iCs/>
        </w:rPr>
        <w:t>Eric TORT,</w:t>
      </w:r>
      <w:r w:rsidRPr="000F65E1">
        <w:rPr>
          <w:rFonts w:ascii="Times New Roman" w:hAnsi="Times New Roman" w:cs="Times New Roman"/>
          <w:sz w:val="24"/>
          <w:szCs w:val="24"/>
        </w:rPr>
        <w:t xml:space="preserve"> </w:t>
      </w:r>
      <w:r w:rsidRPr="000F65E1">
        <w:rPr>
          <w:rFonts w:ascii="Times New Roman" w:hAnsi="Times New Roman" w:cs="Times New Roman"/>
          <w:bCs/>
          <w:iCs/>
        </w:rPr>
        <w:t>«</w:t>
      </w:r>
      <w:r>
        <w:rPr>
          <w:rFonts w:ascii="Times New Roman" w:hAnsi="Times New Roman" w:cs="Times New Roman"/>
          <w:bCs/>
          <w:iCs/>
        </w:rPr>
        <w:t xml:space="preserve"> </w:t>
      </w:r>
      <w:r w:rsidRPr="000F65E1">
        <w:rPr>
          <w:rFonts w:ascii="Times New Roman" w:hAnsi="Times New Roman" w:cs="Times New Roman"/>
          <w:bCs/>
          <w:i/>
          <w:iCs/>
          <w:u w:val="single"/>
        </w:rPr>
        <w:t>LA COMPTABILITÉ CRÉATIVE EN ENVIRONNEMENT IFRS</w:t>
      </w:r>
      <w:r>
        <w:rPr>
          <w:rFonts w:ascii="Times New Roman" w:hAnsi="Times New Roman" w:cs="Times New Roman"/>
          <w:bCs/>
          <w:iCs/>
        </w:rPr>
        <w:t xml:space="preserve"> », </w:t>
      </w:r>
      <w:r w:rsidRPr="00C43CEE">
        <w:rPr>
          <w:rFonts w:ascii="Times New Roman" w:hAnsi="Times New Roman" w:cs="Times New Roman"/>
          <w:bCs/>
          <w:iCs/>
        </w:rPr>
        <w:t>Revue française de comptabilité</w:t>
      </w:r>
      <w:r>
        <w:rPr>
          <w:rFonts w:ascii="Times New Roman" w:hAnsi="Times New Roman" w:cs="Times New Roman"/>
          <w:bCs/>
          <w:iCs/>
        </w:rPr>
        <w:t xml:space="preserve"> : </w:t>
      </w:r>
      <w:r w:rsidRPr="00616B6D">
        <w:rPr>
          <w:rFonts w:ascii="Times New Roman" w:hAnsi="Times New Roman" w:cs="Times New Roman"/>
          <w:bCs/>
          <w:iCs/>
        </w:rPr>
        <w:t>R.F.C. 421</w:t>
      </w:r>
      <w:r>
        <w:rPr>
          <w:rFonts w:ascii="Times New Roman" w:hAnsi="Times New Roman" w:cs="Times New Roman"/>
          <w:bCs/>
          <w:iCs/>
        </w:rPr>
        <w:t>, p. 32-37,</w:t>
      </w:r>
      <w:r w:rsidRPr="00616B6D">
        <w:rPr>
          <w:rFonts w:ascii="Times New Roman" w:hAnsi="Times New Roman" w:cs="Times New Roman"/>
          <w:bCs/>
          <w:iCs/>
        </w:rPr>
        <w:t xml:space="preserve"> Mai 2009</w:t>
      </w:r>
      <w:r>
        <w:rPr>
          <w:rFonts w:ascii="Times New Roman" w:hAnsi="Times New Roman" w:cs="Times New Roman"/>
          <w:bCs/>
          <w:iCs/>
        </w:rPr>
        <w:t>.</w:t>
      </w:r>
    </w:p>
  </w:footnote>
  <w:footnote w:id="75">
    <w:p w:rsidR="0039067A" w:rsidRPr="00693882" w:rsidRDefault="0039067A" w:rsidP="00D41BD8">
      <w:pPr>
        <w:pStyle w:val="Notedebasdepage"/>
        <w:rPr>
          <w:rFonts w:ascii="Times New Roman" w:hAnsi="Times New Roman" w:cs="Times New Roman"/>
        </w:rPr>
      </w:pPr>
      <w:r w:rsidRPr="00693882">
        <w:rPr>
          <w:rStyle w:val="Appelnotedebasdep"/>
          <w:rFonts w:ascii="Times New Roman" w:hAnsi="Times New Roman" w:cs="Times New Roman"/>
        </w:rPr>
        <w:footnoteRef/>
      </w:r>
      <w:r w:rsidRPr="00693882">
        <w:rPr>
          <w:rFonts w:ascii="Times New Roman" w:hAnsi="Times New Roman" w:cs="Times New Roman"/>
        </w:rPr>
        <w:t xml:space="preserve"> Idem.</w:t>
      </w:r>
    </w:p>
  </w:footnote>
  <w:footnote w:id="76">
    <w:p w:rsidR="0039067A" w:rsidRPr="00C43CEE" w:rsidRDefault="0039067A" w:rsidP="00D41BD8">
      <w:pPr>
        <w:pStyle w:val="Notedebasdepage"/>
        <w:jc w:val="both"/>
        <w:rPr>
          <w:rFonts w:ascii="Times New Roman" w:hAnsi="Times New Roman" w:cs="Times New Roman"/>
          <w:bCs/>
          <w:i/>
          <w:iCs/>
          <w:u w:val="single"/>
        </w:rPr>
      </w:pPr>
      <w:r w:rsidRPr="000F4EBA">
        <w:rPr>
          <w:rStyle w:val="Appelnotedebasdep"/>
          <w:rFonts w:ascii="Times New Roman" w:hAnsi="Times New Roman" w:cs="Times New Roman"/>
        </w:rPr>
        <w:footnoteRef/>
      </w:r>
      <w:proofErr w:type="spellStart"/>
      <w:r w:rsidRPr="00C43CEE">
        <w:rPr>
          <w:rFonts w:ascii="Times New Roman" w:hAnsi="Times New Roman" w:cs="Times New Roman"/>
          <w:bCs/>
        </w:rPr>
        <w:t>Gélard</w:t>
      </w:r>
      <w:proofErr w:type="spellEnd"/>
      <w:r w:rsidRPr="00C43CEE">
        <w:rPr>
          <w:rFonts w:ascii="Times New Roman" w:hAnsi="Times New Roman" w:cs="Times New Roman"/>
          <w:bCs/>
        </w:rPr>
        <w:t xml:space="preserve"> G.</w:t>
      </w:r>
      <w:r w:rsidRPr="00C43CEE">
        <w:rPr>
          <w:rFonts w:ascii="Times New Roman" w:hAnsi="Times New Roman" w:cs="Times New Roman"/>
        </w:rPr>
        <w:t xml:space="preserve">, </w:t>
      </w:r>
      <w:r w:rsidRPr="000F65E1">
        <w:rPr>
          <w:rFonts w:ascii="Times New Roman" w:hAnsi="Times New Roman" w:cs="Times New Roman"/>
          <w:bCs/>
          <w:iCs/>
        </w:rPr>
        <w:t>«</w:t>
      </w:r>
      <w:r>
        <w:rPr>
          <w:rFonts w:ascii="Times New Roman" w:hAnsi="Times New Roman" w:cs="Times New Roman"/>
          <w:bCs/>
          <w:iCs/>
        </w:rPr>
        <w:t xml:space="preserve"> </w:t>
      </w:r>
      <w:r w:rsidRPr="00C43CEE">
        <w:rPr>
          <w:rFonts w:ascii="Times New Roman" w:hAnsi="Times New Roman" w:cs="Times New Roman"/>
          <w:bCs/>
          <w:i/>
          <w:iCs/>
          <w:u w:val="single"/>
        </w:rPr>
        <w:t>La neutralité : une qualité</w:t>
      </w:r>
      <w:r>
        <w:rPr>
          <w:rFonts w:ascii="Times New Roman" w:hAnsi="Times New Roman" w:cs="Times New Roman"/>
          <w:bCs/>
          <w:i/>
          <w:iCs/>
          <w:u w:val="single"/>
        </w:rPr>
        <w:t xml:space="preserve"> nécessaire, mais méconnue, des </w:t>
      </w:r>
      <w:r w:rsidRPr="00C43CEE">
        <w:rPr>
          <w:rFonts w:ascii="Times New Roman" w:hAnsi="Times New Roman" w:cs="Times New Roman"/>
          <w:bCs/>
          <w:i/>
          <w:iCs/>
          <w:u w:val="single"/>
        </w:rPr>
        <w:t>normes comptables</w:t>
      </w:r>
      <w:r w:rsidRPr="00C43CEE">
        <w:rPr>
          <w:rFonts w:ascii="Times New Roman" w:hAnsi="Times New Roman" w:cs="Times New Roman"/>
          <w:bCs/>
          <w:i/>
          <w:iCs/>
        </w:rPr>
        <w:t xml:space="preserve"> </w:t>
      </w:r>
      <w:r>
        <w:rPr>
          <w:rFonts w:ascii="Times New Roman" w:hAnsi="Times New Roman" w:cs="Times New Roman"/>
          <w:bCs/>
          <w:iCs/>
        </w:rPr>
        <w:t>»</w:t>
      </w:r>
      <w:r w:rsidRPr="00C43CEE">
        <w:rPr>
          <w:rFonts w:ascii="Times New Roman" w:hAnsi="Times New Roman" w:cs="Times New Roman"/>
        </w:rPr>
        <w:t>, Revue française de comptabilité, n° 409, pp. 25-27,</w:t>
      </w:r>
      <w:r w:rsidRPr="00C43CEE">
        <w:rPr>
          <w:rFonts w:ascii="Times New Roman" w:hAnsi="Times New Roman" w:cs="Times New Roman"/>
          <w:bCs/>
          <w:i/>
          <w:iCs/>
        </w:rPr>
        <w:t xml:space="preserve"> </w:t>
      </w:r>
      <w:r w:rsidRPr="00C43CEE">
        <w:rPr>
          <w:rFonts w:ascii="Times New Roman" w:hAnsi="Times New Roman" w:cs="Times New Roman"/>
        </w:rPr>
        <w:t>avril 2008.</w:t>
      </w:r>
    </w:p>
  </w:footnote>
  <w:footnote w:id="77">
    <w:p w:rsidR="0039067A" w:rsidRPr="00C43CEE" w:rsidRDefault="0039067A" w:rsidP="00D41BD8">
      <w:pPr>
        <w:pStyle w:val="Notedebasdepage"/>
        <w:jc w:val="both"/>
        <w:rPr>
          <w:rFonts w:ascii="Times New Roman" w:hAnsi="Times New Roman" w:cs="Times New Roman"/>
        </w:rPr>
      </w:pPr>
      <w:r w:rsidRPr="000F4EBA">
        <w:rPr>
          <w:rStyle w:val="Appelnotedebasdep"/>
          <w:rFonts w:ascii="Times New Roman" w:hAnsi="Times New Roman" w:cs="Times New Roman"/>
        </w:rPr>
        <w:footnoteRef/>
      </w:r>
      <w:r w:rsidRPr="00812B1B">
        <w:rPr>
          <w:rFonts w:ascii="Times New Roman" w:hAnsi="Times New Roman" w:cs="Times New Roman"/>
          <w:bCs/>
        </w:rPr>
        <w:t>Ernst and Young</w:t>
      </w:r>
      <w:r w:rsidRPr="00812B1B">
        <w:rPr>
          <w:rFonts w:ascii="Times New Roman" w:hAnsi="Times New Roman" w:cs="Times New Roman"/>
        </w:rPr>
        <w:t xml:space="preserve">, </w:t>
      </w:r>
      <w:r>
        <w:rPr>
          <w:rFonts w:ascii="Times New Roman" w:hAnsi="Times New Roman" w:cs="Times New Roman"/>
        </w:rPr>
        <w:t>« </w:t>
      </w:r>
      <w:r w:rsidRPr="00812B1B">
        <w:rPr>
          <w:rFonts w:ascii="Times New Roman" w:hAnsi="Times New Roman" w:cs="Times New Roman"/>
          <w:i/>
          <w:u w:val="single"/>
        </w:rPr>
        <w:t>Première application des IFRS : la pratique des Groupes Européens</w:t>
      </w:r>
      <w:r>
        <w:rPr>
          <w:rFonts w:ascii="Times New Roman" w:hAnsi="Times New Roman" w:cs="Times New Roman"/>
        </w:rPr>
        <w:t> »</w:t>
      </w:r>
      <w:r w:rsidRPr="00812B1B">
        <w:rPr>
          <w:rFonts w:ascii="Times New Roman" w:hAnsi="Times New Roman" w:cs="Times New Roman"/>
        </w:rPr>
        <w:t>, CPC, 2006.</w:t>
      </w:r>
    </w:p>
  </w:footnote>
  <w:footnote w:id="78">
    <w:p w:rsidR="0039067A" w:rsidRPr="00791EA2" w:rsidRDefault="0039067A" w:rsidP="00D41BD8">
      <w:pPr>
        <w:pStyle w:val="Notedebasdepage"/>
        <w:rPr>
          <w:rFonts w:ascii="Times New Roman" w:hAnsi="Times New Roman" w:cs="Times New Roman"/>
          <w:lang w:val="en-US"/>
        </w:rPr>
      </w:pPr>
      <w:r w:rsidRPr="00791EA2">
        <w:rPr>
          <w:rStyle w:val="Appelnotedebasdep"/>
          <w:rFonts w:ascii="Times New Roman" w:hAnsi="Times New Roman" w:cs="Times New Roman"/>
        </w:rPr>
        <w:footnoteRef/>
      </w:r>
      <w:r w:rsidRPr="00791EA2">
        <w:rPr>
          <w:rFonts w:ascii="Times New Roman" w:hAnsi="Times New Roman" w:cs="Times New Roman"/>
          <w:lang w:val="en-US"/>
        </w:rPr>
        <w:t xml:space="preserve"> </w:t>
      </w:r>
      <w:proofErr w:type="gramStart"/>
      <w:r w:rsidRPr="00791EA2">
        <w:rPr>
          <w:rFonts w:ascii="Times New Roman" w:hAnsi="Times New Roman" w:cs="Times New Roman"/>
          <w:lang w:val="en-US"/>
        </w:rPr>
        <w:t>Ernst and Young, Op-</w:t>
      </w:r>
      <w:proofErr w:type="spellStart"/>
      <w:r w:rsidRPr="00791EA2">
        <w:rPr>
          <w:rFonts w:ascii="Times New Roman" w:hAnsi="Times New Roman" w:cs="Times New Roman"/>
          <w:lang w:val="en-US"/>
        </w:rPr>
        <w:t>Cit</w:t>
      </w:r>
      <w:proofErr w:type="spellEnd"/>
      <w:r w:rsidRPr="00791EA2">
        <w:rPr>
          <w:rFonts w:ascii="Times New Roman" w:hAnsi="Times New Roman" w:cs="Times New Roman"/>
          <w:lang w:val="en-US"/>
        </w:rPr>
        <w:t>, 2006.</w:t>
      </w:r>
      <w:proofErr w:type="gramEnd"/>
    </w:p>
  </w:footnote>
  <w:footnote w:id="79">
    <w:p w:rsidR="0039067A" w:rsidRPr="000A547E" w:rsidRDefault="0039067A" w:rsidP="00D41BD8">
      <w:pPr>
        <w:pStyle w:val="Notedebasdepage"/>
        <w:jc w:val="both"/>
        <w:rPr>
          <w:rFonts w:ascii="Times New Roman" w:hAnsi="Times New Roman" w:cs="Times New Roman"/>
        </w:rPr>
      </w:pPr>
      <w:r w:rsidRPr="00D83F61">
        <w:rPr>
          <w:rStyle w:val="Appelnotedebasdep"/>
          <w:rFonts w:ascii="Times New Roman" w:hAnsi="Times New Roman" w:cs="Times New Roman"/>
        </w:rPr>
        <w:footnoteRef/>
      </w:r>
      <w:r w:rsidRPr="00D83F61">
        <w:rPr>
          <w:rFonts w:ascii="Times New Roman" w:hAnsi="Times New Roman" w:cs="Times New Roman"/>
          <w:bCs/>
          <w:lang w:val="en-US"/>
        </w:rPr>
        <w:t>BELKAOUI, A. R.,</w:t>
      </w:r>
      <w:r w:rsidRPr="00D83F61">
        <w:rPr>
          <w:rFonts w:ascii="Times New Roman" w:hAnsi="Times New Roman" w:cs="Times New Roman"/>
          <w:bCs/>
          <w:iCs/>
          <w:lang w:val="en-US"/>
        </w:rPr>
        <w:t xml:space="preserve"> «</w:t>
      </w:r>
      <w:r w:rsidRPr="00D83F61">
        <w:rPr>
          <w:rFonts w:ascii="Times New Roman" w:hAnsi="Times New Roman" w:cs="Times New Roman"/>
          <w:bCs/>
          <w:lang w:val="en-US"/>
        </w:rPr>
        <w:t xml:space="preserve"> </w:t>
      </w:r>
      <w:r w:rsidRPr="007A0D97">
        <w:rPr>
          <w:rFonts w:ascii="Times New Roman" w:hAnsi="Times New Roman" w:cs="Times New Roman"/>
          <w:bCs/>
          <w:i/>
          <w:u w:val="single"/>
          <w:lang w:val="en-US"/>
        </w:rPr>
        <w:t>Accounting theory</w:t>
      </w:r>
      <w:r w:rsidRPr="00D83F61">
        <w:rPr>
          <w:rFonts w:ascii="Times New Roman" w:hAnsi="Times New Roman" w:cs="Times New Roman"/>
          <w:bCs/>
          <w:lang w:val="en-US"/>
        </w:rPr>
        <w:t xml:space="preserve">», Ed. </w:t>
      </w:r>
      <w:proofErr w:type="spellStart"/>
      <w:r w:rsidRPr="000A547E">
        <w:rPr>
          <w:rFonts w:ascii="Times New Roman" w:hAnsi="Times New Roman" w:cs="Times New Roman"/>
          <w:bCs/>
        </w:rPr>
        <w:t>Academic</w:t>
      </w:r>
      <w:proofErr w:type="spellEnd"/>
      <w:r w:rsidRPr="000A547E">
        <w:rPr>
          <w:rFonts w:ascii="Times New Roman" w:hAnsi="Times New Roman" w:cs="Times New Roman"/>
          <w:bCs/>
        </w:rPr>
        <w:t xml:space="preserve"> </w:t>
      </w:r>
      <w:proofErr w:type="spellStart"/>
      <w:r w:rsidRPr="000A547E">
        <w:rPr>
          <w:rFonts w:ascii="Times New Roman" w:hAnsi="Times New Roman" w:cs="Times New Roman"/>
          <w:bCs/>
        </w:rPr>
        <w:t>Press</w:t>
      </w:r>
      <w:proofErr w:type="spellEnd"/>
      <w:r w:rsidRPr="000A547E">
        <w:rPr>
          <w:rFonts w:ascii="Times New Roman" w:hAnsi="Times New Roman" w:cs="Times New Roman"/>
          <w:bCs/>
        </w:rPr>
        <w:t>,</w:t>
      </w:r>
      <w:r w:rsidRPr="000A547E">
        <w:rPr>
          <w:rFonts w:ascii="Times New Roman" w:hAnsi="Times New Roman" w:cs="Times New Roman"/>
        </w:rPr>
        <w:t xml:space="preserve"> 1992, p.156.</w:t>
      </w:r>
    </w:p>
  </w:footnote>
  <w:footnote w:id="80">
    <w:p w:rsidR="0039067A" w:rsidRPr="00C91178" w:rsidRDefault="0039067A" w:rsidP="00D41BD8">
      <w:pPr>
        <w:pStyle w:val="Notedebasdepage"/>
        <w:jc w:val="both"/>
        <w:rPr>
          <w:rFonts w:ascii="Times New Roman" w:hAnsi="Times New Roman" w:cs="Times New Roman"/>
          <w:bCs/>
        </w:rPr>
      </w:pPr>
      <w:r w:rsidRPr="00C91178">
        <w:rPr>
          <w:rStyle w:val="Appelnotedebasdep"/>
          <w:rFonts w:ascii="Times New Roman" w:hAnsi="Times New Roman" w:cs="Times New Roman"/>
        </w:rPr>
        <w:footnoteRef/>
      </w:r>
      <w:r w:rsidRPr="00C91178">
        <w:rPr>
          <w:rFonts w:ascii="Times New Roman" w:hAnsi="Times New Roman" w:cs="Times New Roman"/>
          <w:bCs/>
        </w:rPr>
        <w:t>CHANTIRI, R., « </w:t>
      </w:r>
      <w:r w:rsidRPr="00C91178">
        <w:rPr>
          <w:rFonts w:ascii="Times New Roman" w:hAnsi="Times New Roman" w:cs="Times New Roman"/>
          <w:bCs/>
          <w:i/>
          <w:u w:val="single"/>
        </w:rPr>
        <w:t>Contribution à l'analyse d'es processus d'élaboration des normes comptables : une étude comparée des processus français et britannique</w:t>
      </w:r>
      <w:r w:rsidRPr="00C91178">
        <w:rPr>
          <w:rFonts w:ascii="Times New Roman" w:hAnsi="Times New Roman" w:cs="Times New Roman"/>
          <w:bCs/>
        </w:rPr>
        <w:t> », Thèse en science de gestion, Université Paris Dauphine</w:t>
      </w:r>
      <w:r w:rsidRPr="00C91178">
        <w:rPr>
          <w:rFonts w:ascii="Times New Roman" w:hAnsi="Times New Roman" w:cs="Times New Roman"/>
        </w:rPr>
        <w:t>, 2000, p.32.</w:t>
      </w:r>
    </w:p>
  </w:footnote>
  <w:footnote w:id="81">
    <w:p w:rsidR="0039067A" w:rsidRPr="00C91178" w:rsidRDefault="0039067A" w:rsidP="00D41BD8">
      <w:pPr>
        <w:pStyle w:val="Notedebasdepage"/>
        <w:jc w:val="both"/>
        <w:rPr>
          <w:rFonts w:ascii="Times New Roman" w:hAnsi="Times New Roman" w:cs="Times New Roman"/>
        </w:rPr>
      </w:pPr>
      <w:r w:rsidRPr="00C91178">
        <w:rPr>
          <w:rStyle w:val="Appelnotedebasdep"/>
          <w:rFonts w:ascii="Times New Roman" w:hAnsi="Times New Roman" w:cs="Times New Roman"/>
        </w:rPr>
        <w:footnoteRef/>
      </w:r>
      <w:r w:rsidRPr="00C91178">
        <w:rPr>
          <w:rFonts w:ascii="Times New Roman" w:hAnsi="Times New Roman" w:cs="Times New Roman"/>
        </w:rPr>
        <w:t xml:space="preserve">BELKAOUI, </w:t>
      </w:r>
      <w:proofErr w:type="spellStart"/>
      <w:r w:rsidRPr="00C91178">
        <w:rPr>
          <w:rFonts w:ascii="Times New Roman" w:hAnsi="Times New Roman" w:cs="Times New Roman"/>
        </w:rPr>
        <w:t>Op-Cit</w:t>
      </w:r>
      <w:proofErr w:type="spellEnd"/>
      <w:r w:rsidRPr="00C91178">
        <w:rPr>
          <w:rFonts w:ascii="Times New Roman" w:hAnsi="Times New Roman" w:cs="Times New Roman"/>
        </w:rPr>
        <w:t>, p.156.</w:t>
      </w:r>
    </w:p>
  </w:footnote>
  <w:footnote w:id="82">
    <w:p w:rsidR="0039067A" w:rsidRPr="00C91178" w:rsidRDefault="0039067A" w:rsidP="00D41BD8">
      <w:pPr>
        <w:pStyle w:val="Notedebasdepage"/>
        <w:jc w:val="both"/>
        <w:rPr>
          <w:rFonts w:ascii="Times New Roman" w:hAnsi="Times New Roman" w:cs="Times New Roman"/>
          <w:bCs/>
        </w:rPr>
      </w:pPr>
      <w:r w:rsidRPr="00C91178">
        <w:rPr>
          <w:rStyle w:val="Appelnotedebasdep"/>
          <w:rFonts w:ascii="Times New Roman" w:hAnsi="Times New Roman" w:cs="Times New Roman"/>
        </w:rPr>
        <w:footnoteRef/>
      </w:r>
      <w:r w:rsidRPr="00C91178">
        <w:rPr>
          <w:rFonts w:ascii="Times New Roman" w:hAnsi="Times New Roman" w:cs="Times New Roman"/>
        </w:rPr>
        <w:t xml:space="preserve"> </w:t>
      </w:r>
      <w:r w:rsidRPr="00C91178">
        <w:rPr>
          <w:rFonts w:ascii="Times New Roman" w:hAnsi="Times New Roman" w:cs="Times New Roman"/>
          <w:bCs/>
        </w:rPr>
        <w:t xml:space="preserve">CASTA, J. F., « </w:t>
      </w:r>
      <w:r w:rsidRPr="00C91178">
        <w:rPr>
          <w:rFonts w:ascii="Times New Roman" w:hAnsi="Times New Roman" w:cs="Times New Roman"/>
          <w:bCs/>
          <w:i/>
          <w:u w:val="single"/>
        </w:rPr>
        <w:t>Théorie positive de la comptabilité</w:t>
      </w:r>
      <w:r w:rsidRPr="00C91178">
        <w:rPr>
          <w:rFonts w:ascii="Times New Roman" w:hAnsi="Times New Roman" w:cs="Times New Roman"/>
          <w:bCs/>
        </w:rPr>
        <w:t xml:space="preserve">», In Encyclopédie comptabilité, contrôle de gestion et audit, COLASSE. Ed. </w:t>
      </w:r>
      <w:proofErr w:type="spellStart"/>
      <w:r w:rsidRPr="00C91178">
        <w:rPr>
          <w:rFonts w:ascii="Times New Roman" w:hAnsi="Times New Roman" w:cs="Times New Roman"/>
          <w:bCs/>
        </w:rPr>
        <w:t>Economica</w:t>
      </w:r>
      <w:proofErr w:type="spellEnd"/>
      <w:r w:rsidRPr="00C91178">
        <w:rPr>
          <w:rFonts w:ascii="Times New Roman" w:hAnsi="Times New Roman" w:cs="Times New Roman"/>
          <w:bCs/>
        </w:rPr>
        <w:t xml:space="preserve">, </w:t>
      </w:r>
      <w:r w:rsidRPr="00C91178">
        <w:rPr>
          <w:rFonts w:ascii="Times New Roman" w:hAnsi="Times New Roman" w:cs="Times New Roman"/>
        </w:rPr>
        <w:t>2000, p.1226.</w:t>
      </w:r>
    </w:p>
  </w:footnote>
  <w:footnote w:id="83">
    <w:p w:rsidR="0039067A" w:rsidRPr="00C91178" w:rsidRDefault="0039067A" w:rsidP="00D41BD8">
      <w:pPr>
        <w:pStyle w:val="Notedebasdepage"/>
        <w:jc w:val="both"/>
        <w:rPr>
          <w:rFonts w:ascii="Times New Roman" w:hAnsi="Times New Roman" w:cs="Times New Roman"/>
          <w:b/>
          <w:bCs/>
        </w:rPr>
      </w:pPr>
      <w:r w:rsidRPr="00C91178">
        <w:rPr>
          <w:rStyle w:val="Appelnotedebasdep"/>
          <w:rFonts w:ascii="Times New Roman" w:hAnsi="Times New Roman" w:cs="Times New Roman"/>
        </w:rPr>
        <w:footnoteRef/>
      </w:r>
      <w:r w:rsidRPr="00C91178">
        <w:rPr>
          <w:rFonts w:ascii="Times New Roman" w:hAnsi="Times New Roman" w:cs="Times New Roman"/>
        </w:rPr>
        <w:t xml:space="preserve"> </w:t>
      </w:r>
      <w:proofErr w:type="spellStart"/>
      <w:r w:rsidRPr="00C91178">
        <w:rPr>
          <w:rFonts w:ascii="Times New Roman" w:hAnsi="Times New Roman" w:cs="Times New Roman"/>
        </w:rPr>
        <w:t>Demaria</w:t>
      </w:r>
      <w:proofErr w:type="spellEnd"/>
      <w:r w:rsidRPr="00C91178">
        <w:rPr>
          <w:rFonts w:ascii="Times New Roman" w:hAnsi="Times New Roman" w:cs="Times New Roman"/>
        </w:rPr>
        <w:t> S., « </w:t>
      </w:r>
      <w:r w:rsidRPr="00C91178">
        <w:rPr>
          <w:rFonts w:ascii="Times New Roman" w:hAnsi="Times New Roman" w:cs="Times New Roman"/>
          <w:bCs/>
          <w:i/>
          <w:u w:val="single"/>
        </w:rPr>
        <w:t>Les choix d’options comptables lors de la première application des normes IAS/IFRS : Observation et compréhension des choix effectués par les groupes français</w:t>
      </w:r>
      <w:r w:rsidRPr="00C91178">
        <w:rPr>
          <w:rFonts w:ascii="Times New Roman" w:hAnsi="Times New Roman" w:cs="Times New Roman"/>
          <w:bCs/>
        </w:rPr>
        <w:t xml:space="preserve"> », Thèse en vue de l’obtention du Doctorat </w:t>
      </w:r>
      <w:r w:rsidRPr="00C91178">
        <w:rPr>
          <w:rFonts w:ascii="Times New Roman" w:hAnsi="Times New Roman" w:cs="Times New Roman"/>
          <w:bCs/>
          <w:i/>
          <w:iCs/>
        </w:rPr>
        <w:t xml:space="preserve">ès </w:t>
      </w:r>
      <w:r w:rsidRPr="00C91178">
        <w:rPr>
          <w:rFonts w:ascii="Times New Roman" w:hAnsi="Times New Roman" w:cs="Times New Roman"/>
          <w:bCs/>
        </w:rPr>
        <w:t>Sciences de Gestion, UNIVERSITÉ DE NICE-SOPHIA ANTIPOLIS, 2008, pp : 89-90.</w:t>
      </w:r>
    </w:p>
  </w:footnote>
  <w:footnote w:id="84">
    <w:p w:rsidR="0039067A" w:rsidRPr="002E7E10" w:rsidRDefault="0039067A" w:rsidP="00D41BD8">
      <w:pPr>
        <w:pStyle w:val="Notedebasdepage"/>
        <w:jc w:val="both"/>
        <w:rPr>
          <w:rFonts w:ascii="Times New Roman" w:hAnsi="Times New Roman" w:cs="Times New Roman"/>
          <w:lang w:val="en-US"/>
        </w:rPr>
      </w:pPr>
      <w:r w:rsidRPr="00C91178">
        <w:rPr>
          <w:rStyle w:val="Appelnotedebasdep"/>
          <w:rFonts w:ascii="Times New Roman" w:hAnsi="Times New Roman" w:cs="Times New Roman"/>
        </w:rPr>
        <w:footnoteRef/>
      </w:r>
      <w:r w:rsidRPr="002E7E10">
        <w:rPr>
          <w:rFonts w:ascii="Times New Roman" w:hAnsi="Times New Roman" w:cs="Times New Roman"/>
          <w:lang w:val="en-US"/>
        </w:rPr>
        <w:t xml:space="preserve"> Idem, </w:t>
      </w:r>
      <w:proofErr w:type="spellStart"/>
      <w:proofErr w:type="gramStart"/>
      <w:r w:rsidRPr="002E7E10">
        <w:rPr>
          <w:rFonts w:ascii="Times New Roman" w:hAnsi="Times New Roman" w:cs="Times New Roman"/>
          <w:lang w:val="en-US"/>
        </w:rPr>
        <w:t>pp</w:t>
      </w:r>
      <w:proofErr w:type="spellEnd"/>
      <w:r w:rsidRPr="002E7E10">
        <w:rPr>
          <w:rFonts w:ascii="Times New Roman" w:hAnsi="Times New Roman" w:cs="Times New Roman"/>
          <w:lang w:val="en-US"/>
        </w:rPr>
        <w:t> :</w:t>
      </w:r>
      <w:proofErr w:type="gramEnd"/>
      <w:r w:rsidRPr="002E7E10">
        <w:rPr>
          <w:rFonts w:ascii="Times New Roman" w:hAnsi="Times New Roman" w:cs="Times New Roman"/>
          <w:lang w:val="en-US"/>
        </w:rPr>
        <w:t xml:space="preserve"> 91-93.</w:t>
      </w:r>
    </w:p>
  </w:footnote>
  <w:footnote w:id="85">
    <w:p w:rsidR="0039067A" w:rsidRPr="002E7E10" w:rsidRDefault="0039067A" w:rsidP="00D41BD8">
      <w:pPr>
        <w:pStyle w:val="Notedebasdepage"/>
        <w:rPr>
          <w:rFonts w:ascii="Times New Roman" w:hAnsi="Times New Roman" w:cs="Times New Roman"/>
          <w:lang w:val="en-US"/>
        </w:rPr>
      </w:pPr>
      <w:r w:rsidRPr="002E7E10">
        <w:rPr>
          <w:rStyle w:val="Appelnotedebasdep"/>
          <w:rFonts w:ascii="Times New Roman" w:hAnsi="Times New Roman" w:cs="Times New Roman"/>
        </w:rPr>
        <w:footnoteRef/>
      </w:r>
      <w:proofErr w:type="gramStart"/>
      <w:r w:rsidRPr="002E7E10">
        <w:rPr>
          <w:rFonts w:ascii="Times New Roman" w:hAnsi="Times New Roman" w:cs="Times New Roman"/>
          <w:bCs/>
          <w:lang w:val="en-US"/>
        </w:rPr>
        <w:t xml:space="preserve">WATTS, R., ZIMMERMAN, J., « </w:t>
      </w:r>
      <w:r w:rsidRPr="002E7E10">
        <w:rPr>
          <w:rFonts w:ascii="Times New Roman" w:hAnsi="Times New Roman" w:cs="Times New Roman"/>
          <w:bCs/>
          <w:i/>
          <w:u w:val="single"/>
          <w:lang w:val="en-US"/>
        </w:rPr>
        <w:t>Positive accounting theory</w:t>
      </w:r>
      <w:r w:rsidRPr="002E7E10">
        <w:rPr>
          <w:rFonts w:ascii="Times New Roman" w:hAnsi="Times New Roman" w:cs="Times New Roman"/>
          <w:bCs/>
          <w:lang w:val="en-US"/>
        </w:rPr>
        <w:t xml:space="preserve"> </w:t>
      </w:r>
      <w:r w:rsidRPr="002E7E10">
        <w:rPr>
          <w:rFonts w:ascii="Times New Roman" w:hAnsi="Times New Roman" w:cs="Times New Roman"/>
          <w:lang w:val="en-US"/>
        </w:rPr>
        <w:t>»</w:t>
      </w:r>
      <w:r w:rsidRPr="002E7E10">
        <w:rPr>
          <w:rFonts w:ascii="Times New Roman" w:hAnsi="Times New Roman" w:cs="Times New Roman"/>
          <w:bCs/>
          <w:lang w:val="en-US"/>
        </w:rPr>
        <w:t>, Ed. Prentice-Hall,</w:t>
      </w:r>
      <w:r w:rsidRPr="002E7E10">
        <w:rPr>
          <w:rFonts w:ascii="Times New Roman" w:hAnsi="Times New Roman" w:cs="Times New Roman"/>
          <w:lang w:val="en-US"/>
        </w:rPr>
        <w:t xml:space="preserve"> 1986, p.235.</w:t>
      </w:r>
      <w:proofErr w:type="gramEnd"/>
    </w:p>
  </w:footnote>
  <w:footnote w:id="86">
    <w:p w:rsidR="0039067A" w:rsidRPr="002E7E10" w:rsidRDefault="0039067A" w:rsidP="00D41BD8">
      <w:pPr>
        <w:pStyle w:val="Notedebasdepage"/>
        <w:jc w:val="both"/>
        <w:rPr>
          <w:rFonts w:ascii="Times New Roman" w:hAnsi="Times New Roman" w:cs="Times New Roman"/>
          <w:bCs/>
          <w:lang w:val="en-US"/>
        </w:rPr>
      </w:pPr>
      <w:r w:rsidRPr="002E7E10">
        <w:rPr>
          <w:rStyle w:val="Appelnotedebasdep"/>
          <w:rFonts w:ascii="Times New Roman" w:hAnsi="Times New Roman" w:cs="Times New Roman"/>
        </w:rPr>
        <w:footnoteRef/>
      </w:r>
      <w:r w:rsidRPr="002E7E10">
        <w:rPr>
          <w:rFonts w:ascii="Times New Roman" w:hAnsi="Times New Roman" w:cs="Times New Roman"/>
          <w:lang w:val="en-US"/>
        </w:rPr>
        <w:t xml:space="preserve"> </w:t>
      </w:r>
      <w:r w:rsidRPr="002E7E10">
        <w:rPr>
          <w:rFonts w:ascii="Times New Roman" w:hAnsi="Times New Roman" w:cs="Times New Roman"/>
          <w:bCs/>
          <w:lang w:val="en-US"/>
        </w:rPr>
        <w:t>DECHOW, P., SLOAN, R., SWEENEY, A., «</w:t>
      </w:r>
      <w:r>
        <w:rPr>
          <w:rFonts w:ascii="Times New Roman" w:hAnsi="Times New Roman" w:cs="Times New Roman"/>
          <w:bCs/>
          <w:lang w:val="en-US"/>
        </w:rPr>
        <w:t xml:space="preserve"> </w:t>
      </w:r>
      <w:r w:rsidRPr="002E7E10">
        <w:rPr>
          <w:rFonts w:ascii="Times New Roman" w:hAnsi="Times New Roman" w:cs="Times New Roman"/>
          <w:bCs/>
          <w:i/>
          <w:u w:val="single"/>
          <w:lang w:val="en-US"/>
        </w:rPr>
        <w:t>Causes and consequences of earnings manipulation: an analysis of firms subject to enforcement actions by the SEC</w:t>
      </w:r>
      <w:r>
        <w:rPr>
          <w:rFonts w:ascii="Times New Roman" w:hAnsi="Times New Roman" w:cs="Times New Roman"/>
          <w:bCs/>
          <w:lang w:val="en-US"/>
        </w:rPr>
        <w:t xml:space="preserve"> </w:t>
      </w:r>
      <w:r w:rsidRPr="002E7E10">
        <w:rPr>
          <w:rFonts w:ascii="Times New Roman" w:hAnsi="Times New Roman" w:cs="Times New Roman"/>
          <w:lang w:val="en-US"/>
        </w:rPr>
        <w:t>»</w:t>
      </w:r>
      <w:r>
        <w:rPr>
          <w:rFonts w:ascii="Times New Roman" w:hAnsi="Times New Roman" w:cs="Times New Roman"/>
          <w:lang w:val="en-US"/>
        </w:rPr>
        <w:t>,</w:t>
      </w:r>
      <w:r w:rsidRPr="002E7E10">
        <w:rPr>
          <w:rFonts w:ascii="Times New Roman" w:hAnsi="Times New Roman" w:cs="Times New Roman"/>
          <w:bCs/>
          <w:lang w:val="en-US"/>
        </w:rPr>
        <w:t xml:space="preserve"> Contemporary accounting research, Vol.13, n°1,</w:t>
      </w:r>
      <w:r>
        <w:rPr>
          <w:rFonts w:ascii="Times New Roman" w:hAnsi="Times New Roman" w:cs="Times New Roman"/>
          <w:bCs/>
          <w:lang w:val="en-US"/>
        </w:rPr>
        <w:t xml:space="preserve"> </w:t>
      </w:r>
      <w:r w:rsidRPr="002E7E10">
        <w:rPr>
          <w:rFonts w:ascii="Times New Roman" w:hAnsi="Times New Roman" w:cs="Times New Roman"/>
          <w:lang w:val="en-US"/>
        </w:rPr>
        <w:t>1996, p.14</w:t>
      </w:r>
      <w:r>
        <w:rPr>
          <w:rFonts w:ascii="Times New Roman" w:hAnsi="Times New Roman" w:cs="Times New Roman"/>
          <w:lang w:val="en-US"/>
        </w:rPr>
        <w:t>.</w:t>
      </w:r>
    </w:p>
  </w:footnote>
  <w:footnote w:id="87">
    <w:p w:rsidR="0039067A" w:rsidRPr="00884849" w:rsidRDefault="0039067A" w:rsidP="00D41BD8">
      <w:pPr>
        <w:pStyle w:val="Notedebasdepage"/>
        <w:jc w:val="both"/>
        <w:rPr>
          <w:rFonts w:ascii="Times New Roman" w:hAnsi="Times New Roman" w:cs="Times New Roman"/>
          <w:lang w:val="en-US"/>
        </w:rPr>
      </w:pPr>
      <w:r w:rsidRPr="00CA6DCC">
        <w:rPr>
          <w:rStyle w:val="Appelnotedebasdep"/>
          <w:rFonts w:ascii="Times New Roman" w:hAnsi="Times New Roman" w:cs="Times New Roman"/>
        </w:rPr>
        <w:footnoteRef/>
      </w:r>
      <w:r w:rsidRPr="00CA6DCC">
        <w:rPr>
          <w:rFonts w:ascii="Times New Roman" w:hAnsi="Times New Roman" w:cs="Times New Roman"/>
        </w:rPr>
        <w:t xml:space="preserve"> </w:t>
      </w:r>
      <w:r w:rsidRPr="00CA6DCC">
        <w:rPr>
          <w:rFonts w:ascii="Times New Roman" w:hAnsi="Times New Roman" w:cs="Times New Roman"/>
          <w:bCs/>
        </w:rPr>
        <w:t>GENSSE, P., « </w:t>
      </w:r>
      <w:r w:rsidRPr="00CA6DCC">
        <w:rPr>
          <w:rFonts w:ascii="Times New Roman" w:hAnsi="Times New Roman" w:cs="Times New Roman"/>
          <w:bCs/>
          <w:i/>
          <w:u w:val="single"/>
        </w:rPr>
        <w:t>Introduction". In Conventions et management</w:t>
      </w:r>
      <w:r w:rsidRPr="00CA6DCC">
        <w:rPr>
          <w:rFonts w:ascii="Times New Roman" w:hAnsi="Times New Roman" w:cs="Times New Roman"/>
          <w:bCs/>
        </w:rPr>
        <w:t xml:space="preserve"> », AMBLARD. </w:t>
      </w:r>
      <w:r w:rsidRPr="00884849">
        <w:rPr>
          <w:rFonts w:ascii="Times New Roman" w:hAnsi="Times New Roman" w:cs="Times New Roman"/>
          <w:bCs/>
          <w:lang w:val="en-US"/>
        </w:rPr>
        <w:t xml:space="preserve">De </w:t>
      </w:r>
      <w:proofErr w:type="spellStart"/>
      <w:r w:rsidRPr="00884849">
        <w:rPr>
          <w:rFonts w:ascii="Times New Roman" w:hAnsi="Times New Roman" w:cs="Times New Roman"/>
          <w:bCs/>
          <w:lang w:val="en-US"/>
        </w:rPr>
        <w:t>Boeck</w:t>
      </w:r>
      <w:proofErr w:type="spellEnd"/>
      <w:r w:rsidRPr="00884849">
        <w:rPr>
          <w:rFonts w:ascii="Times New Roman" w:hAnsi="Times New Roman" w:cs="Times New Roman"/>
          <w:bCs/>
          <w:lang w:val="en-US"/>
        </w:rPr>
        <w:t xml:space="preserve">, </w:t>
      </w:r>
      <w:r w:rsidRPr="00884849">
        <w:rPr>
          <w:rFonts w:ascii="Times New Roman" w:hAnsi="Times New Roman" w:cs="Times New Roman"/>
          <w:lang w:val="en-US"/>
        </w:rPr>
        <w:t>2003, p.13.</w:t>
      </w:r>
    </w:p>
  </w:footnote>
  <w:footnote w:id="88">
    <w:p w:rsidR="0039067A" w:rsidRPr="00884849" w:rsidRDefault="0039067A" w:rsidP="00D41BD8">
      <w:pPr>
        <w:pStyle w:val="Notedebasdepage"/>
        <w:jc w:val="both"/>
        <w:rPr>
          <w:rFonts w:ascii="Times New Roman" w:hAnsi="Times New Roman" w:cs="Times New Roman"/>
          <w:lang w:val="en-US"/>
        </w:rPr>
      </w:pPr>
      <w:r w:rsidRPr="00CA6DCC">
        <w:rPr>
          <w:rStyle w:val="Appelnotedebasdep"/>
          <w:rFonts w:ascii="Times New Roman" w:hAnsi="Times New Roman" w:cs="Times New Roman"/>
        </w:rPr>
        <w:footnoteRef/>
      </w:r>
      <w:r w:rsidRPr="00884849">
        <w:rPr>
          <w:rFonts w:ascii="Times New Roman" w:hAnsi="Times New Roman" w:cs="Times New Roman"/>
          <w:lang w:val="en-US"/>
        </w:rPr>
        <w:t xml:space="preserve"> </w:t>
      </w:r>
      <w:proofErr w:type="spellStart"/>
      <w:r w:rsidRPr="00884849">
        <w:rPr>
          <w:rFonts w:ascii="Times New Roman" w:hAnsi="Times New Roman" w:cs="Times New Roman"/>
          <w:lang w:val="en-US"/>
        </w:rPr>
        <w:t>Demaria</w:t>
      </w:r>
      <w:proofErr w:type="spellEnd"/>
      <w:r w:rsidRPr="00884849">
        <w:rPr>
          <w:rFonts w:ascii="Times New Roman" w:hAnsi="Times New Roman" w:cs="Times New Roman"/>
          <w:lang w:val="en-US"/>
        </w:rPr>
        <w:t xml:space="preserve"> S., Op-</w:t>
      </w:r>
      <w:proofErr w:type="spellStart"/>
      <w:r w:rsidRPr="00884849">
        <w:rPr>
          <w:rFonts w:ascii="Times New Roman" w:hAnsi="Times New Roman" w:cs="Times New Roman"/>
          <w:lang w:val="en-US"/>
        </w:rPr>
        <w:t>Cit</w:t>
      </w:r>
      <w:proofErr w:type="spellEnd"/>
      <w:r w:rsidRPr="00884849">
        <w:rPr>
          <w:rFonts w:ascii="Times New Roman" w:hAnsi="Times New Roman" w:cs="Times New Roman"/>
          <w:lang w:val="en-US"/>
        </w:rPr>
        <w:t xml:space="preserve">, </w:t>
      </w:r>
      <w:proofErr w:type="gramStart"/>
      <w:r w:rsidRPr="00884849">
        <w:rPr>
          <w:rFonts w:ascii="Times New Roman" w:hAnsi="Times New Roman" w:cs="Times New Roman"/>
          <w:lang w:val="en-US"/>
        </w:rPr>
        <w:t>p :</w:t>
      </w:r>
      <w:proofErr w:type="gramEnd"/>
      <w:r w:rsidRPr="00884849">
        <w:rPr>
          <w:rFonts w:ascii="Times New Roman" w:hAnsi="Times New Roman" w:cs="Times New Roman"/>
          <w:lang w:val="en-US"/>
        </w:rPr>
        <w:t xml:space="preserve"> 105.</w:t>
      </w:r>
    </w:p>
  </w:footnote>
  <w:footnote w:id="89">
    <w:p w:rsidR="0039067A" w:rsidRPr="00884849" w:rsidRDefault="0039067A" w:rsidP="00D41BD8">
      <w:pPr>
        <w:pStyle w:val="Notedebasdepage"/>
        <w:jc w:val="both"/>
        <w:rPr>
          <w:rFonts w:ascii="Times New Roman" w:hAnsi="Times New Roman" w:cs="Times New Roman"/>
          <w:lang w:val="en-US"/>
        </w:rPr>
      </w:pPr>
      <w:r w:rsidRPr="00CA6DCC">
        <w:rPr>
          <w:rStyle w:val="Appelnotedebasdep"/>
          <w:rFonts w:ascii="Times New Roman" w:hAnsi="Times New Roman" w:cs="Times New Roman"/>
        </w:rPr>
        <w:footnoteRef/>
      </w:r>
      <w:r w:rsidRPr="00884849">
        <w:rPr>
          <w:rFonts w:ascii="Times New Roman" w:hAnsi="Times New Roman" w:cs="Times New Roman"/>
          <w:lang w:val="en-US"/>
        </w:rPr>
        <w:t xml:space="preserve"> Idem, </w:t>
      </w:r>
      <w:proofErr w:type="gramStart"/>
      <w:r w:rsidRPr="00884849">
        <w:rPr>
          <w:rFonts w:ascii="Times New Roman" w:hAnsi="Times New Roman" w:cs="Times New Roman"/>
          <w:lang w:val="en-US"/>
        </w:rPr>
        <w:t>p :</w:t>
      </w:r>
      <w:proofErr w:type="gramEnd"/>
      <w:r w:rsidRPr="00884849">
        <w:rPr>
          <w:rFonts w:ascii="Times New Roman" w:hAnsi="Times New Roman" w:cs="Times New Roman"/>
          <w:lang w:val="en-US"/>
        </w:rPr>
        <w:t xml:space="preserve"> 127.</w:t>
      </w:r>
    </w:p>
  </w:footnote>
  <w:footnote w:id="90">
    <w:p w:rsidR="0039067A" w:rsidRPr="00884849" w:rsidRDefault="0039067A" w:rsidP="00D41BD8">
      <w:pPr>
        <w:pStyle w:val="Notedebasdepage"/>
        <w:jc w:val="both"/>
        <w:rPr>
          <w:rFonts w:ascii="Times New Roman" w:hAnsi="Times New Roman" w:cs="Times New Roman"/>
          <w:bCs/>
          <w:i/>
          <w:u w:val="single"/>
          <w:lang w:val="en-US"/>
        </w:rPr>
      </w:pPr>
      <w:r w:rsidRPr="00884849">
        <w:rPr>
          <w:rStyle w:val="Appelnotedebasdep"/>
          <w:rFonts w:ascii="Times New Roman" w:hAnsi="Times New Roman" w:cs="Times New Roman"/>
        </w:rPr>
        <w:footnoteRef/>
      </w:r>
      <w:r w:rsidRPr="00884849">
        <w:rPr>
          <w:rFonts w:ascii="Times New Roman" w:hAnsi="Times New Roman" w:cs="Times New Roman"/>
          <w:lang w:val="en-US"/>
        </w:rPr>
        <w:t xml:space="preserve"> </w:t>
      </w:r>
      <w:r w:rsidRPr="00884849">
        <w:rPr>
          <w:rFonts w:ascii="Times New Roman" w:hAnsi="Times New Roman" w:cs="Times New Roman"/>
          <w:bCs/>
          <w:lang w:val="en-US"/>
        </w:rPr>
        <w:t xml:space="preserve">CARPENTER, V., FEROZ, E., </w:t>
      </w:r>
      <w:r>
        <w:rPr>
          <w:rFonts w:ascii="Times New Roman" w:hAnsi="Times New Roman" w:cs="Times New Roman"/>
          <w:bCs/>
          <w:lang w:val="en-US"/>
        </w:rPr>
        <w:t>"</w:t>
      </w:r>
      <w:r w:rsidRPr="00884849">
        <w:rPr>
          <w:rFonts w:ascii="Times New Roman" w:hAnsi="Times New Roman" w:cs="Times New Roman"/>
          <w:bCs/>
          <w:i/>
          <w:u w:val="single"/>
          <w:lang w:val="en-US"/>
        </w:rPr>
        <w:t xml:space="preserve">Institutional theory and accounting rule </w:t>
      </w:r>
      <w:proofErr w:type="gramStart"/>
      <w:r w:rsidRPr="00884849">
        <w:rPr>
          <w:rFonts w:ascii="Times New Roman" w:hAnsi="Times New Roman" w:cs="Times New Roman"/>
          <w:bCs/>
          <w:i/>
          <w:u w:val="single"/>
          <w:lang w:val="en-US"/>
        </w:rPr>
        <w:t>choice :</w:t>
      </w:r>
      <w:proofErr w:type="gramEnd"/>
      <w:r w:rsidRPr="00884849">
        <w:rPr>
          <w:rFonts w:ascii="Times New Roman" w:hAnsi="Times New Roman" w:cs="Times New Roman"/>
          <w:bCs/>
          <w:i/>
          <w:u w:val="single"/>
          <w:lang w:val="en-US"/>
        </w:rPr>
        <w:t xml:space="preserve"> an analysis of</w:t>
      </w:r>
      <w:r>
        <w:rPr>
          <w:rFonts w:ascii="Times New Roman" w:hAnsi="Times New Roman" w:cs="Times New Roman"/>
          <w:bCs/>
          <w:i/>
          <w:u w:val="single"/>
          <w:lang w:val="en-US"/>
        </w:rPr>
        <w:t xml:space="preserve"> </w:t>
      </w:r>
      <w:r w:rsidRPr="00884849">
        <w:rPr>
          <w:rFonts w:ascii="Times New Roman" w:hAnsi="Times New Roman" w:cs="Times New Roman"/>
          <w:bCs/>
          <w:i/>
          <w:u w:val="single"/>
          <w:lang w:val="en-US"/>
        </w:rPr>
        <w:t>four US state governments' decisions to adopt generally accepted accounting principles</w:t>
      </w:r>
      <w:r w:rsidRPr="00884849">
        <w:rPr>
          <w:rFonts w:ascii="Times New Roman" w:hAnsi="Times New Roman" w:cs="Times New Roman"/>
          <w:bCs/>
          <w:lang w:val="en-US"/>
        </w:rPr>
        <w:t xml:space="preserve"> ", Accounting,</w:t>
      </w:r>
      <w:r>
        <w:rPr>
          <w:rFonts w:ascii="Times New Roman" w:hAnsi="Times New Roman" w:cs="Times New Roman"/>
          <w:bCs/>
          <w:i/>
          <w:u w:val="single"/>
          <w:lang w:val="en-US"/>
        </w:rPr>
        <w:t xml:space="preserve"> </w:t>
      </w:r>
      <w:r w:rsidRPr="00884849">
        <w:rPr>
          <w:rFonts w:ascii="Times New Roman" w:hAnsi="Times New Roman" w:cs="Times New Roman"/>
          <w:bCs/>
          <w:lang w:val="en-US"/>
        </w:rPr>
        <w:t xml:space="preserve">Organizations, and Society, Vol.26, n°7-8, </w:t>
      </w:r>
      <w:r w:rsidRPr="00884849">
        <w:rPr>
          <w:rFonts w:ascii="Times New Roman" w:hAnsi="Times New Roman" w:cs="Times New Roman"/>
          <w:lang w:val="en-US"/>
        </w:rPr>
        <w:t>2001, p.566</w:t>
      </w:r>
      <w:r>
        <w:rPr>
          <w:rFonts w:ascii="Times New Roman" w:hAnsi="Times New Roman" w:cs="Times New Roman"/>
          <w:lang w:val="en-US"/>
        </w:rPr>
        <w:t>.</w:t>
      </w:r>
    </w:p>
  </w:footnote>
  <w:footnote w:id="91">
    <w:p w:rsidR="0039067A" w:rsidRPr="000920DC" w:rsidRDefault="0039067A" w:rsidP="00D41BD8">
      <w:pPr>
        <w:pStyle w:val="Notedebasdepage"/>
        <w:jc w:val="both"/>
        <w:rPr>
          <w:rFonts w:ascii="Times New Roman" w:hAnsi="Times New Roman" w:cs="Times New Roman"/>
        </w:rPr>
      </w:pPr>
      <w:r w:rsidRPr="000920DC">
        <w:rPr>
          <w:rStyle w:val="Appelnotedebasdep"/>
          <w:rFonts w:ascii="Times New Roman" w:hAnsi="Times New Roman" w:cs="Times New Roman"/>
        </w:rPr>
        <w:footnoteRef/>
      </w:r>
      <w:r w:rsidRPr="000920DC">
        <w:rPr>
          <w:rFonts w:ascii="Times New Roman" w:hAnsi="Times New Roman" w:cs="Times New Roman"/>
        </w:rPr>
        <w:t xml:space="preserve"> A. SCHATT et E. GROSS, « </w:t>
      </w:r>
      <w:r w:rsidRPr="000920DC">
        <w:rPr>
          <w:rFonts w:ascii="Times New Roman" w:hAnsi="Times New Roman" w:cs="Times New Roman"/>
          <w:i/>
          <w:u w:val="single"/>
        </w:rPr>
        <w:t>Quelle est l’incidence des normes IAS/IFRS sur les capitaux propres des entreprises françaises ?</w:t>
      </w:r>
      <w:r w:rsidRPr="000920DC">
        <w:rPr>
          <w:rFonts w:ascii="Times New Roman" w:hAnsi="Times New Roman" w:cs="Times New Roman"/>
        </w:rPr>
        <w:t> »</w:t>
      </w:r>
      <w:r>
        <w:rPr>
          <w:rFonts w:ascii="Times New Roman" w:hAnsi="Times New Roman" w:cs="Times New Roman"/>
        </w:rPr>
        <w:t xml:space="preserve">, </w:t>
      </w:r>
      <w:r w:rsidRPr="000920DC">
        <w:rPr>
          <w:rFonts w:ascii="Times New Roman" w:hAnsi="Times New Roman" w:cs="Times New Roman"/>
        </w:rPr>
        <w:t>R</w:t>
      </w:r>
      <w:r>
        <w:rPr>
          <w:rFonts w:ascii="Times New Roman" w:hAnsi="Times New Roman" w:cs="Times New Roman"/>
        </w:rPr>
        <w:t xml:space="preserve">evue </w:t>
      </w:r>
      <w:r w:rsidRPr="000920DC">
        <w:rPr>
          <w:rFonts w:ascii="Times New Roman" w:hAnsi="Times New Roman" w:cs="Times New Roman"/>
        </w:rPr>
        <w:t>F</w:t>
      </w:r>
      <w:r>
        <w:rPr>
          <w:rFonts w:ascii="Times New Roman" w:hAnsi="Times New Roman" w:cs="Times New Roman"/>
        </w:rPr>
        <w:t xml:space="preserve">rançaise de </w:t>
      </w:r>
      <w:r w:rsidRPr="000920DC">
        <w:rPr>
          <w:rFonts w:ascii="Times New Roman" w:hAnsi="Times New Roman" w:cs="Times New Roman"/>
        </w:rPr>
        <w:t>C</w:t>
      </w:r>
      <w:r>
        <w:rPr>
          <w:rFonts w:ascii="Times New Roman" w:hAnsi="Times New Roman" w:cs="Times New Roman"/>
        </w:rPr>
        <w:t>omptabilité (R.F.C n°</w:t>
      </w:r>
      <w:r w:rsidRPr="000920DC">
        <w:rPr>
          <w:rFonts w:ascii="Times New Roman" w:hAnsi="Times New Roman" w:cs="Times New Roman"/>
        </w:rPr>
        <w:t xml:space="preserve"> 396</w:t>
      </w:r>
      <w:r>
        <w:rPr>
          <w:rFonts w:ascii="Times New Roman" w:hAnsi="Times New Roman" w:cs="Times New Roman"/>
        </w:rPr>
        <w:t>),</w:t>
      </w:r>
      <w:r w:rsidRPr="000920DC">
        <w:rPr>
          <w:rFonts w:ascii="Times New Roman" w:hAnsi="Times New Roman" w:cs="Times New Roman"/>
        </w:rPr>
        <w:t xml:space="preserve"> Février 2007</w:t>
      </w:r>
      <w:r>
        <w:rPr>
          <w:rFonts w:ascii="Times New Roman" w:hAnsi="Times New Roman" w:cs="Times New Roman"/>
        </w:rPr>
        <w:t>, pp : 35-39.</w:t>
      </w:r>
    </w:p>
  </w:footnote>
  <w:footnote w:id="92">
    <w:p w:rsidR="0039067A" w:rsidRPr="0099487B" w:rsidRDefault="0039067A" w:rsidP="00D41BD8">
      <w:pPr>
        <w:pStyle w:val="Notedebasdepage"/>
        <w:rPr>
          <w:rFonts w:ascii="Times New Roman" w:hAnsi="Times New Roman" w:cs="Times New Roman"/>
          <w:lang w:val="en-US"/>
        </w:rPr>
      </w:pPr>
      <w:r w:rsidRPr="0099487B">
        <w:rPr>
          <w:rStyle w:val="Appelnotedebasdep"/>
          <w:rFonts w:ascii="Times New Roman" w:hAnsi="Times New Roman" w:cs="Times New Roman"/>
        </w:rPr>
        <w:footnoteRef/>
      </w:r>
      <w:r w:rsidRPr="0099487B">
        <w:rPr>
          <w:rFonts w:ascii="Times New Roman" w:hAnsi="Times New Roman" w:cs="Times New Roman"/>
          <w:lang w:val="en-US"/>
        </w:rPr>
        <w:t xml:space="preserve"> Yuan </w:t>
      </w:r>
      <w:proofErr w:type="spellStart"/>
      <w:r w:rsidRPr="0099487B">
        <w:rPr>
          <w:rFonts w:ascii="Times New Roman" w:hAnsi="Times New Roman" w:cs="Times New Roman"/>
          <w:lang w:val="en-US"/>
        </w:rPr>
        <w:t>Dinga</w:t>
      </w:r>
      <w:proofErr w:type="spellEnd"/>
      <w:r w:rsidRPr="0099487B">
        <w:rPr>
          <w:rFonts w:ascii="Times New Roman" w:hAnsi="Times New Roman" w:cs="Times New Roman"/>
          <w:lang w:val="en-US"/>
        </w:rPr>
        <w:t xml:space="preserve"> et </w:t>
      </w:r>
      <w:proofErr w:type="spellStart"/>
      <w:r w:rsidRPr="0099487B">
        <w:rPr>
          <w:rFonts w:ascii="Times New Roman" w:hAnsi="Times New Roman" w:cs="Times New Roman"/>
          <w:lang w:val="en-US"/>
        </w:rPr>
        <w:t>Xijia</w:t>
      </w:r>
      <w:proofErr w:type="spellEnd"/>
      <w:r w:rsidRPr="0099487B">
        <w:rPr>
          <w:rFonts w:ascii="Times New Roman" w:hAnsi="Times New Roman" w:cs="Times New Roman"/>
          <w:lang w:val="en-US"/>
        </w:rPr>
        <w:t xml:space="preserve"> Su, « </w:t>
      </w:r>
      <w:r w:rsidRPr="0099487B">
        <w:rPr>
          <w:rFonts w:ascii="Times New Roman" w:hAnsi="Times New Roman" w:cs="Times New Roman"/>
          <w:i/>
          <w:u w:val="single"/>
          <w:lang w:val="en-US"/>
        </w:rPr>
        <w:t>Implementation of IFRS in a regulated market</w:t>
      </w:r>
      <w:r w:rsidRPr="0099487B">
        <w:rPr>
          <w:rFonts w:ascii="Times New Roman" w:hAnsi="Times New Roman" w:cs="Times New Roman"/>
          <w:lang w:val="en-US"/>
        </w:rPr>
        <w:t xml:space="preserve"> </w:t>
      </w:r>
      <w:proofErr w:type="gramStart"/>
      <w:r w:rsidRPr="0099487B">
        <w:rPr>
          <w:rFonts w:ascii="Times New Roman" w:hAnsi="Times New Roman" w:cs="Times New Roman"/>
          <w:lang w:val="en-US"/>
        </w:rPr>
        <w:t>»,</w:t>
      </w:r>
      <w:r>
        <w:rPr>
          <w:rFonts w:ascii="Times New Roman" w:hAnsi="Times New Roman" w:cs="Times New Roman"/>
          <w:lang w:val="en-US"/>
        </w:rPr>
        <w:t>?????</w:t>
      </w:r>
      <w:proofErr w:type="gramEnd"/>
    </w:p>
  </w:footnote>
  <w:footnote w:id="93">
    <w:p w:rsidR="0039067A" w:rsidRPr="007D5051" w:rsidRDefault="0039067A" w:rsidP="00D41BD8">
      <w:pPr>
        <w:pStyle w:val="Notedebasdepage"/>
        <w:jc w:val="both"/>
        <w:rPr>
          <w:rFonts w:ascii="Times New Roman" w:hAnsi="Times New Roman" w:cs="Times New Roman"/>
        </w:rPr>
      </w:pPr>
      <w:r w:rsidRPr="007D5051">
        <w:rPr>
          <w:rStyle w:val="Appelnotedebasdep"/>
          <w:rFonts w:ascii="Times New Roman" w:hAnsi="Times New Roman" w:cs="Times New Roman"/>
        </w:rPr>
        <w:footnoteRef/>
      </w:r>
      <w:r w:rsidRPr="007D5051">
        <w:rPr>
          <w:rFonts w:ascii="Times New Roman" w:hAnsi="Times New Roman" w:cs="Times New Roman"/>
        </w:rPr>
        <w:t xml:space="preserve"> Le SBF 120 : indice boursier sur la place de Paris (pour Société des Bourses Françaises).</w:t>
      </w:r>
    </w:p>
  </w:footnote>
  <w:footnote w:id="94">
    <w:p w:rsidR="0039067A" w:rsidRPr="003B20B8" w:rsidRDefault="0039067A" w:rsidP="00D41BD8">
      <w:pPr>
        <w:pStyle w:val="Notedebasdepage"/>
        <w:jc w:val="both"/>
        <w:rPr>
          <w:rFonts w:ascii="Times New Roman" w:hAnsi="Times New Roman" w:cs="Times New Roman"/>
        </w:rPr>
      </w:pPr>
      <w:r w:rsidRPr="003B20B8">
        <w:rPr>
          <w:rStyle w:val="Appelnotedebasdep"/>
          <w:rFonts w:ascii="Times New Roman" w:hAnsi="Times New Roman" w:cs="Times New Roman"/>
        </w:rPr>
        <w:footnoteRef/>
      </w:r>
      <w:r w:rsidRPr="003B20B8">
        <w:rPr>
          <w:rFonts w:ascii="Times New Roman" w:hAnsi="Times New Roman" w:cs="Times New Roman"/>
        </w:rPr>
        <w:t xml:space="preserve"> S. DEMARIA et D. DUFOUR, « Les choix d'options comptables lors de la transition aux normes IAS/IFRS : quel rôle pour la prudence ? », Manuscrit auteur, publié dans "Comptabilité Contrôle Audit, Numéro spécial, 2007, pp : 195-218.</w:t>
      </w:r>
    </w:p>
  </w:footnote>
  <w:footnote w:id="95">
    <w:p w:rsidR="0039067A" w:rsidRPr="003C682A" w:rsidRDefault="0039067A" w:rsidP="00D41BD8">
      <w:pPr>
        <w:pStyle w:val="Notedebasdepage"/>
        <w:jc w:val="both"/>
        <w:rPr>
          <w:rFonts w:ascii="Times New Roman" w:hAnsi="Times New Roman" w:cs="Times New Roman"/>
        </w:rPr>
      </w:pPr>
      <w:r w:rsidRPr="007B4DAF">
        <w:rPr>
          <w:rStyle w:val="Appelnotedebasdep"/>
          <w:rFonts w:ascii="Times New Roman" w:hAnsi="Times New Roman" w:cs="Times New Roman"/>
        </w:rPr>
        <w:footnoteRef/>
      </w:r>
      <w:r w:rsidRPr="007B4DAF">
        <w:rPr>
          <w:rFonts w:ascii="Times New Roman" w:hAnsi="Times New Roman" w:cs="Times New Roman"/>
        </w:rPr>
        <w:t xml:space="preserve"> </w:t>
      </w:r>
      <w:r w:rsidRPr="00931821">
        <w:rPr>
          <w:rFonts w:ascii="Times New Roman" w:hAnsi="Times New Roman" w:cs="Times New Roman"/>
        </w:rPr>
        <w:t xml:space="preserve">A. </w:t>
      </w:r>
      <w:proofErr w:type="spellStart"/>
      <w:r w:rsidRPr="00931821">
        <w:rPr>
          <w:rFonts w:ascii="Times New Roman" w:hAnsi="Times New Roman" w:cs="Times New Roman"/>
        </w:rPr>
        <w:t>Cazavan-Jeny</w:t>
      </w:r>
      <w:proofErr w:type="spellEnd"/>
      <w:r w:rsidRPr="00931821">
        <w:rPr>
          <w:rFonts w:ascii="Times New Roman" w:hAnsi="Times New Roman" w:cs="Times New Roman"/>
        </w:rPr>
        <w:t xml:space="preserve"> et T. </w:t>
      </w:r>
      <w:proofErr w:type="spellStart"/>
      <w:r w:rsidRPr="00931821">
        <w:rPr>
          <w:rFonts w:ascii="Times New Roman" w:hAnsi="Times New Roman" w:cs="Times New Roman"/>
        </w:rPr>
        <w:t>Jeanjean</w:t>
      </w:r>
      <w:proofErr w:type="spellEnd"/>
      <w:r w:rsidRPr="00931821">
        <w:rPr>
          <w:rFonts w:ascii="Times New Roman" w:hAnsi="Times New Roman" w:cs="Times New Roman"/>
        </w:rPr>
        <w:t>,</w:t>
      </w:r>
      <w:r w:rsidRPr="007B4DAF">
        <w:rPr>
          <w:rFonts w:ascii="Times New Roman" w:hAnsi="Times New Roman" w:cs="Times New Roman"/>
          <w:i/>
        </w:rPr>
        <w:t xml:space="preserve"> « </w:t>
      </w:r>
      <w:r w:rsidRPr="00530979">
        <w:rPr>
          <w:rFonts w:ascii="Times New Roman" w:hAnsi="Times New Roman" w:cs="Times New Roman"/>
          <w:i/>
          <w:u w:val="single"/>
        </w:rPr>
        <w:t>IFRS1 : "Il faut tout changer pour que rien ne change"</w:t>
      </w:r>
      <w:r w:rsidRPr="007B4DAF">
        <w:rPr>
          <w:rFonts w:ascii="Times New Roman" w:hAnsi="Times New Roman" w:cs="Times New Roman"/>
          <w:i/>
        </w:rPr>
        <w:t> »,</w:t>
      </w:r>
      <w:r w:rsidRPr="007B4DAF">
        <w:rPr>
          <w:rFonts w:ascii="Times New Roman" w:hAnsi="Times New Roman" w:cs="Times New Roman"/>
          <w:b/>
          <w:bCs/>
          <w:sz w:val="16"/>
          <w:szCs w:val="16"/>
        </w:rPr>
        <w:t xml:space="preserve"> </w:t>
      </w:r>
      <w:r w:rsidRPr="003C682A">
        <w:rPr>
          <w:rFonts w:ascii="Times New Roman" w:hAnsi="Times New Roman" w:cs="Times New Roman"/>
          <w:bCs/>
        </w:rPr>
        <w:t>Comptabilité – Contrôle – Audit</w:t>
      </w:r>
      <w:r w:rsidRPr="003C682A">
        <w:rPr>
          <w:rFonts w:ascii="Times New Roman" w:hAnsi="Times New Roman" w:cs="Times New Roman"/>
          <w:b/>
          <w:bCs/>
        </w:rPr>
        <w:t xml:space="preserve"> </w:t>
      </w:r>
      <w:r w:rsidRPr="003C682A">
        <w:rPr>
          <w:rFonts w:ascii="Times New Roman" w:hAnsi="Times New Roman" w:cs="Times New Roman"/>
        </w:rPr>
        <w:t>/ Tome 15 – Volume 1 – Juin 2009 (p. 105 à 132,) mai 2008.</w:t>
      </w:r>
    </w:p>
  </w:footnote>
  <w:footnote w:id="96">
    <w:p w:rsidR="0039067A" w:rsidRPr="008E3AD9" w:rsidRDefault="0039067A" w:rsidP="00D41BD8">
      <w:pPr>
        <w:pStyle w:val="Notedebasdepage"/>
        <w:jc w:val="both"/>
        <w:rPr>
          <w:rFonts w:ascii="Times New Roman" w:hAnsi="Times New Roman" w:cs="Times New Roman"/>
          <w:lang w:val="en-US"/>
        </w:rPr>
      </w:pPr>
      <w:r w:rsidRPr="008E3AD9">
        <w:rPr>
          <w:rStyle w:val="Appelnotedebasdep"/>
          <w:rFonts w:ascii="Times New Roman" w:hAnsi="Times New Roman" w:cs="Times New Roman"/>
        </w:rPr>
        <w:footnoteRef/>
      </w:r>
      <w:r w:rsidRPr="008E3AD9">
        <w:rPr>
          <w:rFonts w:ascii="Times New Roman" w:hAnsi="Times New Roman" w:cs="Times New Roman"/>
          <w:lang w:val="en-US"/>
        </w:rPr>
        <w:t xml:space="preserve"> </w:t>
      </w:r>
      <w:proofErr w:type="spellStart"/>
      <w:r w:rsidRPr="008E3AD9">
        <w:rPr>
          <w:rFonts w:ascii="Times New Roman" w:hAnsi="Times New Roman" w:cs="Times New Roman"/>
          <w:lang w:val="en-US"/>
        </w:rPr>
        <w:t>Michela</w:t>
      </w:r>
      <w:proofErr w:type="spellEnd"/>
      <w:r w:rsidRPr="008E3AD9">
        <w:rPr>
          <w:rFonts w:ascii="Times New Roman" w:hAnsi="Times New Roman" w:cs="Times New Roman"/>
          <w:lang w:val="en-US"/>
        </w:rPr>
        <w:t xml:space="preserve"> </w:t>
      </w:r>
      <w:proofErr w:type="spellStart"/>
      <w:r w:rsidRPr="008E3AD9">
        <w:rPr>
          <w:rFonts w:ascii="Times New Roman" w:hAnsi="Times New Roman" w:cs="Times New Roman"/>
          <w:lang w:val="en-US"/>
        </w:rPr>
        <w:t>Cordazzo</w:t>
      </w:r>
      <w:proofErr w:type="spellEnd"/>
      <w:r w:rsidRPr="008E3AD9">
        <w:rPr>
          <w:rFonts w:ascii="Times New Roman" w:hAnsi="Times New Roman" w:cs="Times New Roman"/>
          <w:lang w:val="en-US"/>
        </w:rPr>
        <w:t xml:space="preserve">, </w:t>
      </w:r>
      <w:r w:rsidRPr="008E3AD9">
        <w:rPr>
          <w:rFonts w:ascii="Times New Roman" w:hAnsi="Times New Roman" w:cs="Times New Roman"/>
          <w:i/>
          <w:lang w:val="en-US"/>
        </w:rPr>
        <w:t>« </w:t>
      </w:r>
      <w:r w:rsidRPr="008E3AD9">
        <w:rPr>
          <w:rFonts w:ascii="Times New Roman" w:hAnsi="Times New Roman" w:cs="Times New Roman"/>
          <w:lang w:val="en-US"/>
        </w:rPr>
        <w:t xml:space="preserve"> </w:t>
      </w:r>
      <w:r w:rsidRPr="008E3AD9">
        <w:rPr>
          <w:rFonts w:ascii="Times New Roman" w:hAnsi="Times New Roman" w:cs="Times New Roman"/>
          <w:i/>
          <w:u w:val="single"/>
          <w:lang w:val="en-US"/>
        </w:rPr>
        <w:t>The impact of IAS/IFRS on accounting practices: evidences from Italian listed companies</w:t>
      </w:r>
      <w:r w:rsidRPr="008E3AD9">
        <w:rPr>
          <w:rFonts w:ascii="Times New Roman" w:hAnsi="Times New Roman" w:cs="Times New Roman"/>
          <w:i/>
          <w:lang w:val="en-US"/>
        </w:rPr>
        <w:t>»,</w:t>
      </w:r>
    </w:p>
  </w:footnote>
  <w:footnote w:id="97">
    <w:p w:rsidR="0039067A" w:rsidRPr="001E4B68" w:rsidRDefault="0039067A" w:rsidP="00D41BD8">
      <w:pPr>
        <w:pStyle w:val="Notedebasdepage"/>
        <w:jc w:val="both"/>
        <w:rPr>
          <w:rFonts w:ascii="Times New Roman" w:hAnsi="Times New Roman" w:cs="Times New Roman"/>
          <w:bCs/>
          <w:iCs/>
          <w:u w:val="single"/>
        </w:rPr>
      </w:pPr>
      <w:r w:rsidRPr="001E4B68">
        <w:rPr>
          <w:rStyle w:val="Appelnotedebasdep"/>
          <w:rFonts w:ascii="Times New Roman" w:hAnsi="Times New Roman" w:cs="Times New Roman"/>
        </w:rPr>
        <w:footnoteRef/>
      </w:r>
      <w:r w:rsidRPr="001E4B68">
        <w:rPr>
          <w:rFonts w:ascii="Times New Roman" w:hAnsi="Times New Roman" w:cs="Times New Roman"/>
        </w:rPr>
        <w:t xml:space="preserve"> T. SAADI,</w:t>
      </w:r>
      <w:r w:rsidRPr="001E4B68">
        <w:rPr>
          <w:rFonts w:ascii="Times New Roman" w:hAnsi="Times New Roman" w:cs="Times New Roman"/>
          <w:b/>
          <w:bCs/>
        </w:rPr>
        <w:t xml:space="preserve"> </w:t>
      </w:r>
      <w:r w:rsidRPr="001E4B68">
        <w:rPr>
          <w:rFonts w:ascii="Times New Roman" w:hAnsi="Times New Roman" w:cs="Times New Roman"/>
          <w:bCs/>
        </w:rPr>
        <w:t>« </w:t>
      </w:r>
      <w:r w:rsidRPr="001E4B68">
        <w:rPr>
          <w:rFonts w:ascii="Times New Roman" w:hAnsi="Times New Roman" w:cs="Times New Roman"/>
          <w:bCs/>
          <w:i/>
          <w:iCs/>
          <w:u w:val="single"/>
        </w:rPr>
        <w:t>CONTENUS INFORMATIONNELS DU RESULTAT NET ET DES CAPITAUX PROPRES : QUELLE PERTINENCE APRES L’INTRODUCTION DES NORMES IFRS : LE CAS DE LA France </w:t>
      </w:r>
      <w:r w:rsidRPr="001E4B68">
        <w:rPr>
          <w:rFonts w:ascii="Times New Roman" w:hAnsi="Times New Roman" w:cs="Times New Roman"/>
          <w:bCs/>
          <w:iCs/>
        </w:rPr>
        <w:t xml:space="preserve">», </w:t>
      </w:r>
    </w:p>
  </w:footnote>
  <w:footnote w:id="98">
    <w:p w:rsidR="0039067A" w:rsidRPr="001E4B68" w:rsidRDefault="0039067A" w:rsidP="00D41BD8">
      <w:pPr>
        <w:jc w:val="both"/>
        <w:rPr>
          <w:rFonts w:ascii="Times New Roman" w:hAnsi="Times New Roman" w:cs="Times New Roman"/>
          <w:bCs/>
          <w:iCs/>
          <w:sz w:val="24"/>
          <w:szCs w:val="24"/>
        </w:rPr>
      </w:pPr>
      <w:r w:rsidRPr="001E4B68">
        <w:rPr>
          <w:rStyle w:val="Appelnotedebasdep"/>
          <w:rFonts w:ascii="Times New Roman" w:hAnsi="Times New Roman" w:cs="Times New Roman"/>
          <w:sz w:val="20"/>
          <w:szCs w:val="20"/>
        </w:rPr>
        <w:footnoteRef/>
      </w:r>
      <w:r w:rsidRPr="001E4B68">
        <w:rPr>
          <w:rFonts w:ascii="Times New Roman" w:hAnsi="Times New Roman" w:cs="Times New Roman"/>
          <w:sz w:val="20"/>
          <w:szCs w:val="20"/>
        </w:rPr>
        <w:t xml:space="preserve"> E. </w:t>
      </w:r>
      <w:r w:rsidRPr="001E4B68">
        <w:rPr>
          <w:rFonts w:ascii="Times New Roman" w:hAnsi="Times New Roman" w:cs="Times New Roman"/>
          <w:i/>
          <w:sz w:val="20"/>
          <w:szCs w:val="20"/>
        </w:rPr>
        <w:t>DEMOLLI, D.DUFOUR</w:t>
      </w:r>
      <w:r>
        <w:rPr>
          <w:rFonts w:ascii="Times New Roman" w:hAnsi="Times New Roman" w:cs="Times New Roman"/>
          <w:i/>
          <w:sz w:val="20"/>
          <w:szCs w:val="20"/>
        </w:rPr>
        <w:t xml:space="preserve">, </w:t>
      </w:r>
      <w:r w:rsidRPr="001E4B68">
        <w:rPr>
          <w:rFonts w:ascii="Times New Roman" w:hAnsi="Times New Roman" w:cs="Times New Roman"/>
          <w:i/>
          <w:sz w:val="20"/>
        </w:rPr>
        <w:t>«</w:t>
      </w:r>
      <w:r>
        <w:rPr>
          <w:rFonts w:ascii="Times New Roman" w:hAnsi="Times New Roman" w:cs="Times New Roman"/>
          <w:i/>
        </w:rPr>
        <w:t xml:space="preserve"> </w:t>
      </w:r>
      <w:r w:rsidRPr="001E4B68">
        <w:rPr>
          <w:rFonts w:ascii="Times New Roman" w:hAnsi="Times New Roman" w:cs="Times New Roman"/>
          <w:bCs/>
          <w:i/>
          <w:iCs/>
          <w:sz w:val="20"/>
          <w:szCs w:val="24"/>
          <w:u w:val="single"/>
        </w:rPr>
        <w:t>DIVULGATION FINANCIERE ET TRANSITION AUX IAS-IFRS CONTENU ET DETERMINANTS</w:t>
      </w:r>
      <w:r w:rsidRPr="001E4B68">
        <w:rPr>
          <w:rFonts w:ascii="Times New Roman" w:hAnsi="Times New Roman" w:cs="Times New Roman"/>
          <w:bCs/>
          <w:i/>
          <w:iCs/>
          <w:sz w:val="20"/>
          <w:szCs w:val="24"/>
        </w:rPr>
        <w:t> </w:t>
      </w:r>
      <w:r w:rsidRPr="001E4B68">
        <w:rPr>
          <w:rFonts w:ascii="Times New Roman" w:hAnsi="Times New Roman" w:cs="Times New Roman"/>
          <w:bCs/>
          <w:iCs/>
          <w:sz w:val="20"/>
          <w:szCs w:val="24"/>
        </w:rPr>
        <w:t>»</w:t>
      </w:r>
      <w:r>
        <w:rPr>
          <w:rFonts w:ascii="Times New Roman" w:hAnsi="Times New Roman" w:cs="Times New Roman"/>
          <w:bCs/>
          <w:iCs/>
          <w:sz w:val="20"/>
          <w:szCs w:val="24"/>
        </w:rPr>
        <w:t xml:space="preserve">, </w:t>
      </w:r>
    </w:p>
  </w:footnote>
  <w:footnote w:id="99">
    <w:p w:rsidR="0039067A" w:rsidRPr="008C4396" w:rsidRDefault="0039067A" w:rsidP="002A3F16">
      <w:pPr>
        <w:pStyle w:val="Notedebasdepage"/>
        <w:rPr>
          <w:rFonts w:ascii="Times New Roman" w:hAnsi="Times New Roman" w:cs="Times New Roman"/>
          <w:b/>
          <w:bCs/>
          <w:i/>
          <w:iCs/>
          <w:u w:val="single"/>
        </w:rPr>
      </w:pPr>
      <w:r w:rsidRPr="008C4396">
        <w:rPr>
          <w:rStyle w:val="Appelnotedebasdep"/>
          <w:rFonts w:ascii="Times New Roman" w:hAnsi="Times New Roman" w:cs="Times New Roman"/>
        </w:rPr>
        <w:footnoteRef/>
      </w:r>
      <w:r w:rsidRPr="008C4396">
        <w:rPr>
          <w:rFonts w:ascii="Times New Roman" w:hAnsi="Times New Roman" w:cs="Times New Roman"/>
          <w:i/>
          <w:iCs/>
        </w:rPr>
        <w:t xml:space="preserve">Amel BENYEKHLEF, " </w:t>
      </w:r>
      <w:r w:rsidRPr="008C4396">
        <w:rPr>
          <w:rFonts w:ascii="Times New Roman" w:hAnsi="Times New Roman" w:cs="Times New Roman"/>
          <w:b/>
          <w:bCs/>
          <w:i/>
          <w:iCs/>
          <w:u w:val="single"/>
        </w:rPr>
        <w:t>Le système comptable algérien étude comparative avec les pays de l’Europe de l’Est et les organismes de normalisation comptable internationale</w:t>
      </w:r>
      <w:r w:rsidRPr="008C4396">
        <w:rPr>
          <w:rFonts w:ascii="Times New Roman" w:hAnsi="Times New Roman" w:cs="Times New Roman"/>
          <w:b/>
          <w:bCs/>
          <w:i/>
          <w:iCs/>
        </w:rPr>
        <w:t xml:space="preserve">", </w:t>
      </w:r>
      <w:r w:rsidRPr="008C4396">
        <w:rPr>
          <w:rFonts w:ascii="Times New Roman" w:hAnsi="Times New Roman" w:cs="Times New Roman"/>
        </w:rPr>
        <w:t>Revue du chercheur N° _ 08/2010, P : 25-38.</w:t>
      </w:r>
    </w:p>
  </w:footnote>
  <w:footnote w:id="100">
    <w:p w:rsidR="0039067A" w:rsidRPr="00B4033D" w:rsidRDefault="0039067A" w:rsidP="002A3F16">
      <w:pPr>
        <w:pStyle w:val="Notedebasdepage"/>
        <w:jc w:val="both"/>
        <w:rPr>
          <w:rFonts w:ascii="Times New Roman" w:hAnsi="Times New Roman" w:cs="Times New Roman"/>
          <w:bCs/>
          <w:i/>
          <w:iCs/>
          <w:u w:val="single"/>
          <w:lang w:val="en-US"/>
        </w:rPr>
      </w:pPr>
      <w:r w:rsidRPr="00B4033D">
        <w:rPr>
          <w:rStyle w:val="Appelnotedebasdep"/>
          <w:rFonts w:ascii="Times New Roman" w:hAnsi="Times New Roman" w:cs="Times New Roman"/>
        </w:rPr>
        <w:footnoteRef/>
      </w:r>
      <w:proofErr w:type="spellStart"/>
      <w:r w:rsidRPr="00B4033D">
        <w:rPr>
          <w:rFonts w:ascii="Times New Roman" w:hAnsi="Times New Roman" w:cs="Times New Roman"/>
          <w:iCs/>
          <w:lang w:val="en-US"/>
        </w:rPr>
        <w:t>Amel</w:t>
      </w:r>
      <w:proofErr w:type="spellEnd"/>
      <w:r w:rsidRPr="00B4033D">
        <w:rPr>
          <w:rFonts w:ascii="Times New Roman" w:hAnsi="Times New Roman" w:cs="Times New Roman"/>
          <w:iCs/>
          <w:lang w:val="en-US"/>
        </w:rPr>
        <w:t xml:space="preserve"> BENYEKHLEF</w:t>
      </w:r>
      <w:r w:rsidRPr="00B4033D">
        <w:rPr>
          <w:rFonts w:ascii="Times New Roman" w:hAnsi="Times New Roman" w:cs="Times New Roman"/>
          <w:i/>
          <w:iCs/>
          <w:lang w:val="en-US"/>
        </w:rPr>
        <w:t xml:space="preserve">, </w:t>
      </w:r>
      <w:r w:rsidRPr="00B4033D">
        <w:rPr>
          <w:rFonts w:ascii="Times New Roman" w:hAnsi="Times New Roman" w:cs="Times New Roman"/>
          <w:iCs/>
          <w:lang w:val="en-US"/>
        </w:rPr>
        <w:t>Op-</w:t>
      </w:r>
      <w:proofErr w:type="spellStart"/>
      <w:r w:rsidRPr="00B4033D">
        <w:rPr>
          <w:rFonts w:ascii="Times New Roman" w:hAnsi="Times New Roman" w:cs="Times New Roman"/>
          <w:iCs/>
          <w:lang w:val="en-US"/>
        </w:rPr>
        <w:t>Cit</w:t>
      </w:r>
      <w:proofErr w:type="spellEnd"/>
      <w:r w:rsidRPr="00B4033D">
        <w:rPr>
          <w:rFonts w:ascii="Times New Roman" w:hAnsi="Times New Roman" w:cs="Times New Roman"/>
          <w:bCs/>
          <w:iCs/>
          <w:lang w:val="en-US"/>
        </w:rPr>
        <w:t xml:space="preserve">, </w:t>
      </w:r>
      <w:proofErr w:type="gramStart"/>
      <w:r w:rsidRPr="00B4033D">
        <w:rPr>
          <w:rFonts w:ascii="Times New Roman" w:hAnsi="Times New Roman" w:cs="Times New Roman"/>
          <w:bCs/>
          <w:iCs/>
          <w:lang w:val="en-US"/>
        </w:rPr>
        <w:t>p :</w:t>
      </w:r>
      <w:proofErr w:type="gramEnd"/>
      <w:r w:rsidRPr="00B4033D">
        <w:rPr>
          <w:rFonts w:ascii="Times New Roman" w:hAnsi="Times New Roman" w:cs="Times New Roman"/>
          <w:bCs/>
          <w:iCs/>
          <w:lang w:val="en-US"/>
        </w:rPr>
        <w:t xml:space="preserve"> 25-38.</w:t>
      </w:r>
    </w:p>
  </w:footnote>
  <w:footnote w:id="101">
    <w:p w:rsidR="0039067A" w:rsidRPr="001016A5" w:rsidRDefault="0039067A" w:rsidP="002A3F16">
      <w:pPr>
        <w:pStyle w:val="Notedebasdepage"/>
        <w:rPr>
          <w:rFonts w:ascii="Times New Roman" w:hAnsi="Times New Roman" w:cs="Times New Roman"/>
        </w:rPr>
      </w:pPr>
      <w:r w:rsidRPr="001016A5">
        <w:rPr>
          <w:rStyle w:val="Appelnotedebasdep"/>
          <w:rFonts w:ascii="Times New Roman" w:hAnsi="Times New Roman" w:cs="Times New Roman"/>
        </w:rPr>
        <w:footnoteRef/>
      </w:r>
      <w:r w:rsidRPr="001016A5">
        <w:rPr>
          <w:rFonts w:ascii="Times New Roman" w:eastAsia="Calibri" w:hAnsi="Times New Roman" w:cs="Times New Roman"/>
          <w:bCs/>
        </w:rPr>
        <w:t xml:space="preserve">Article 121-5 de l’arrêté d’application du 26 juillet 2008 </w:t>
      </w:r>
    </w:p>
  </w:footnote>
  <w:footnote w:id="102">
    <w:p w:rsidR="0039067A" w:rsidRPr="001016A5" w:rsidRDefault="0039067A" w:rsidP="002A3F16">
      <w:pPr>
        <w:pStyle w:val="Notedebasdepage"/>
        <w:rPr>
          <w:rFonts w:ascii="Times New Roman" w:hAnsi="Times New Roman" w:cs="Times New Roman"/>
        </w:rPr>
      </w:pPr>
      <w:r w:rsidRPr="001016A5">
        <w:rPr>
          <w:rStyle w:val="Appelnotedebasdep"/>
          <w:rFonts w:ascii="Times New Roman" w:hAnsi="Times New Roman" w:cs="Times New Roman"/>
        </w:rPr>
        <w:footnoteRef/>
      </w:r>
      <w:r w:rsidRPr="001016A5">
        <w:rPr>
          <w:rFonts w:ascii="Times New Roman" w:eastAsia="Calibri" w:hAnsi="Times New Roman" w:cs="Times New Roman"/>
          <w:bCs/>
        </w:rPr>
        <w:t xml:space="preserve">Article 126 – 3 de l’arrêté d’application du 26 juillet 2008 </w:t>
      </w:r>
    </w:p>
    <w:p w:rsidR="0039067A" w:rsidRDefault="0039067A" w:rsidP="002A3F16">
      <w:pPr>
        <w:pStyle w:val="Notedebasdepage"/>
      </w:pPr>
    </w:p>
  </w:footnote>
  <w:footnote w:id="103">
    <w:p w:rsidR="0039067A" w:rsidRPr="001016A5" w:rsidRDefault="0039067A" w:rsidP="002A3F16">
      <w:pPr>
        <w:pStyle w:val="Notedebasdepage"/>
        <w:jc w:val="both"/>
        <w:rPr>
          <w:rFonts w:ascii="Times New Roman" w:hAnsi="Times New Roman" w:cs="Times New Roman"/>
          <w:bCs/>
        </w:rPr>
      </w:pPr>
      <w:r w:rsidRPr="001016A5">
        <w:rPr>
          <w:rStyle w:val="Appelnotedebasdep"/>
          <w:rFonts w:ascii="Times New Roman" w:hAnsi="Times New Roman" w:cs="Times New Roman"/>
        </w:rPr>
        <w:footnoteRef/>
      </w:r>
      <w:r w:rsidRPr="001016A5">
        <w:rPr>
          <w:rFonts w:ascii="Times New Roman" w:hAnsi="Times New Roman" w:cs="Times New Roman"/>
          <w:bCs/>
        </w:rPr>
        <w:t>Arrêté du 26 juillet 2008 fixant les règles d’évaluation et de comptabilisation, le contenu et la présentation des états financiers ainsi que la nomenclature et les règles de fonctionnement des comptes.</w:t>
      </w:r>
    </w:p>
  </w:footnote>
  <w:footnote w:id="104">
    <w:p w:rsidR="0039067A" w:rsidRPr="001016A5" w:rsidRDefault="0039067A" w:rsidP="002A3F16">
      <w:pPr>
        <w:pStyle w:val="Notedebasdepage"/>
        <w:rPr>
          <w:rFonts w:ascii="Times New Roman" w:hAnsi="Times New Roman" w:cs="Times New Roman"/>
        </w:rPr>
      </w:pPr>
      <w:r w:rsidRPr="001016A5">
        <w:rPr>
          <w:rStyle w:val="Appelnotedebasdep"/>
          <w:rFonts w:ascii="Times New Roman" w:hAnsi="Times New Roman" w:cs="Times New Roman"/>
        </w:rPr>
        <w:footnoteRef/>
      </w:r>
      <w:r w:rsidRPr="001016A5">
        <w:rPr>
          <w:rFonts w:ascii="Times New Roman" w:hAnsi="Times New Roman" w:cs="Times New Roman"/>
        </w:rPr>
        <w:t xml:space="preserve"> Idem</w:t>
      </w:r>
    </w:p>
  </w:footnote>
  <w:footnote w:id="105">
    <w:p w:rsidR="0039067A" w:rsidRPr="007940C1" w:rsidRDefault="0039067A" w:rsidP="002A3F16">
      <w:pPr>
        <w:pStyle w:val="Notedebasdepage"/>
        <w:rPr>
          <w:rFonts w:ascii="Times New Roman" w:hAnsi="Times New Roman" w:cs="Times New Roman"/>
        </w:rPr>
      </w:pPr>
      <w:r w:rsidRPr="007940C1">
        <w:rPr>
          <w:rStyle w:val="Appelnotedebasdep"/>
        </w:rPr>
        <w:sym w:font="Symbol" w:char="F02A"/>
      </w:r>
      <w:r>
        <w:t xml:space="preserve"> </w:t>
      </w:r>
      <w:r w:rsidRPr="007940C1">
        <w:rPr>
          <w:rFonts w:ascii="Times New Roman" w:hAnsi="Times New Roman" w:cs="Times New Roman"/>
        </w:rPr>
        <w:t>Pour le traitement relatif à la première application</w:t>
      </w:r>
      <w:r>
        <w:rPr>
          <w:rFonts w:ascii="Times New Roman" w:hAnsi="Times New Roman" w:cs="Times New Roman"/>
        </w:rPr>
        <w:t>, qui concerne les exercices antérieurs à l’exercice de transition</w:t>
      </w:r>
      <w:r w:rsidRPr="007940C1">
        <w:rPr>
          <w:rFonts w:ascii="Times New Roman" w:hAnsi="Times New Roman" w:cs="Times New Roman"/>
        </w:rPr>
        <w:t>.</w:t>
      </w:r>
    </w:p>
  </w:footnote>
  <w:footnote w:id="106">
    <w:p w:rsidR="0039067A" w:rsidRPr="0090549E" w:rsidRDefault="0039067A" w:rsidP="002A3F16">
      <w:pPr>
        <w:pStyle w:val="Notedebasdepage"/>
        <w:jc w:val="both"/>
        <w:rPr>
          <w:rFonts w:ascii="Times New Roman" w:hAnsi="Times New Roman" w:cs="Times New Roman"/>
        </w:rPr>
      </w:pPr>
      <w:r w:rsidRPr="0090549E">
        <w:rPr>
          <w:rStyle w:val="Appelnotedebasdep"/>
          <w:rFonts w:ascii="Times New Roman" w:hAnsi="Times New Roman" w:cs="Times New Roman"/>
        </w:rPr>
        <w:footnoteRef/>
      </w:r>
      <w:r w:rsidRPr="0090549E">
        <w:rPr>
          <w:rFonts w:ascii="Times New Roman" w:hAnsi="Times New Roman" w:cs="Times New Roman"/>
        </w:rPr>
        <w:t xml:space="preserve"> "Dont la possession durable est estimée utile à l’activité de l’entité, notamment parce qu’elle permet d’exercer une influence sur la société émettrice des titres ou d’en avoir le contrôle" ;</w:t>
      </w:r>
    </w:p>
  </w:footnote>
  <w:footnote w:id="107">
    <w:p w:rsidR="0039067A" w:rsidRPr="0090549E" w:rsidRDefault="0039067A" w:rsidP="002A3F16">
      <w:pPr>
        <w:pStyle w:val="Notedebasdepage"/>
        <w:jc w:val="both"/>
        <w:rPr>
          <w:rFonts w:ascii="Times New Roman" w:hAnsi="Times New Roman" w:cs="Times New Roman"/>
        </w:rPr>
      </w:pPr>
      <w:r w:rsidRPr="0090549E">
        <w:rPr>
          <w:rStyle w:val="Appelnotedebasdep"/>
          <w:rFonts w:ascii="Times New Roman" w:hAnsi="Times New Roman" w:cs="Times New Roman"/>
        </w:rPr>
        <w:footnoteRef/>
      </w:r>
      <w:r w:rsidRPr="0090549E">
        <w:rPr>
          <w:rFonts w:ascii="Times New Roman" w:hAnsi="Times New Roman" w:cs="Times New Roman"/>
        </w:rPr>
        <w:t xml:space="preserve"> "Destinés à procurer à l’entité à plus ou moins longue échéance une rentabilité satisfaisante, mais sans intervention dans la gestion des entités dont les titres sont détenus" ;</w:t>
      </w:r>
    </w:p>
  </w:footnote>
  <w:footnote w:id="108">
    <w:p w:rsidR="0039067A" w:rsidRPr="0090549E" w:rsidRDefault="0039067A" w:rsidP="002A3F16">
      <w:pPr>
        <w:pStyle w:val="Notedebasdepage"/>
        <w:jc w:val="both"/>
        <w:rPr>
          <w:rFonts w:ascii="Times New Roman" w:hAnsi="Times New Roman" w:cs="Times New Roman"/>
        </w:rPr>
      </w:pPr>
      <w:r w:rsidRPr="0090549E">
        <w:rPr>
          <w:rStyle w:val="Appelnotedebasdep"/>
          <w:rFonts w:ascii="Times New Roman" w:hAnsi="Times New Roman" w:cs="Times New Roman"/>
        </w:rPr>
        <w:footnoteRef/>
      </w:r>
      <w:r w:rsidRPr="0090549E">
        <w:rPr>
          <w:rFonts w:ascii="Times New Roman" w:hAnsi="Times New Roman" w:cs="Times New Roman"/>
        </w:rPr>
        <w:t xml:space="preserve"> "Représentatifs de parts de capital ou de placements à long terme, que l’entité a la possibilité, ainsi que l’intention ou l’obligation de conserver jusqu’à leur échéance" ;</w:t>
      </w:r>
    </w:p>
  </w:footnote>
  <w:footnote w:id="109">
    <w:p w:rsidR="0039067A" w:rsidRPr="0090549E" w:rsidRDefault="0039067A" w:rsidP="002A3F16">
      <w:pPr>
        <w:pStyle w:val="Notedebasdepage"/>
        <w:jc w:val="both"/>
        <w:rPr>
          <w:rFonts w:ascii="Times New Roman" w:hAnsi="Times New Roman" w:cs="Times New Roman"/>
        </w:rPr>
      </w:pPr>
      <w:r w:rsidRPr="0090549E">
        <w:rPr>
          <w:rStyle w:val="Appelnotedebasdep"/>
          <w:rFonts w:ascii="Times New Roman" w:hAnsi="Times New Roman" w:cs="Times New Roman"/>
        </w:rPr>
        <w:sym w:font="Symbol" w:char="F02A"/>
      </w:r>
      <w:r w:rsidRPr="0090549E">
        <w:rPr>
          <w:rFonts w:ascii="Times New Roman" w:hAnsi="Times New Roman" w:cs="Times New Roman"/>
        </w:rPr>
        <w:t xml:space="preserve"> Pour les entreprises qui constataient déjà ces charges.</w:t>
      </w:r>
    </w:p>
  </w:footnote>
  <w:footnote w:id="110">
    <w:p w:rsidR="0039067A" w:rsidRDefault="0039067A" w:rsidP="002A3F16">
      <w:pPr>
        <w:pStyle w:val="Notedebasdepage"/>
        <w:jc w:val="both"/>
      </w:pPr>
      <w:r w:rsidRPr="0090549E">
        <w:rPr>
          <w:rStyle w:val="Appelnotedebasdep"/>
          <w:rFonts w:ascii="Times New Roman" w:hAnsi="Times New Roman" w:cs="Times New Roman"/>
        </w:rPr>
        <w:footnoteRef/>
      </w:r>
      <w:r w:rsidRPr="0090549E">
        <w:rPr>
          <w:rFonts w:ascii="Times New Roman" w:hAnsi="Times New Roman" w:cs="Times New Roman"/>
          <w:bCs/>
        </w:rPr>
        <w:t>Article 125-3, de l’Arrêté du26 juillet 2008 fixant les règles d’évaluation et de comptabilisation, le contenu et la présentation des états financiers ainsi que la nomenclature et les règles de fonctionnement des comptes.</w:t>
      </w:r>
    </w:p>
  </w:footnote>
  <w:footnote w:id="111">
    <w:p w:rsidR="0039067A" w:rsidRPr="001016A5" w:rsidRDefault="0039067A" w:rsidP="002A3F16">
      <w:pPr>
        <w:pStyle w:val="Notedebasdepage"/>
        <w:rPr>
          <w:rFonts w:ascii="Times New Roman" w:hAnsi="Times New Roman" w:cs="Times New Roman"/>
        </w:rPr>
      </w:pPr>
      <w:r w:rsidRPr="001016A5">
        <w:rPr>
          <w:rStyle w:val="Appelnotedebasdep"/>
          <w:rFonts w:ascii="Times New Roman" w:hAnsi="Times New Roman" w:cs="Times New Roman"/>
        </w:rPr>
        <w:footnoteRef/>
      </w:r>
      <w:r w:rsidRPr="001016A5">
        <w:rPr>
          <w:rFonts w:ascii="Times New Roman" w:hAnsi="Times New Roman" w:cs="Times New Roman"/>
          <w:bCs/>
        </w:rPr>
        <w:t>Articles 134-1 et 134-2, Idem.</w:t>
      </w:r>
    </w:p>
  </w:footnote>
  <w:footnote w:id="112">
    <w:p w:rsidR="0039067A" w:rsidRPr="00AF371D" w:rsidRDefault="0039067A" w:rsidP="0039067A">
      <w:pPr>
        <w:pStyle w:val="Notedebasdepage"/>
        <w:jc w:val="both"/>
        <w:rPr>
          <w:rFonts w:ascii="Times New Roman" w:hAnsi="Times New Roman" w:cs="Times New Roman"/>
        </w:rPr>
      </w:pPr>
      <w:r w:rsidRPr="00AF371D">
        <w:rPr>
          <w:rStyle w:val="Appelnotedebasdep"/>
          <w:rFonts w:ascii="Times New Roman" w:hAnsi="Times New Roman" w:cs="Times New Roman"/>
        </w:rPr>
        <w:footnoteRef/>
      </w:r>
      <w:r w:rsidRPr="00AF371D">
        <w:rPr>
          <w:rFonts w:ascii="Times New Roman" w:hAnsi="Times New Roman" w:cs="Times New Roman"/>
        </w:rPr>
        <w:t xml:space="preserve"> Disponible sur le site : </w:t>
      </w:r>
      <w:r w:rsidRPr="00AF371D">
        <w:rPr>
          <w:rFonts w:ascii="Times New Roman" w:hAnsi="Times New Roman" w:cs="Times New Roman"/>
          <w:color w:val="0C74E6"/>
          <w:u w:val="single"/>
        </w:rPr>
        <w:t>http://www.mathinfolmd.univ-tlse2.fr</w:t>
      </w:r>
      <w:r w:rsidRPr="00AF371D">
        <w:rPr>
          <w:rFonts w:ascii="Times New Roman" w:hAnsi="Times New Roman" w:cs="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67A" w:rsidRDefault="0039067A" w:rsidP="0018245E">
    <w:pPr>
      <w:pStyle w:val="En-tte"/>
      <w:spacing w:before="100" w:after="10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67A" w:rsidRDefault="0039067A">
    <w:pPr>
      <w:pStyle w:val="En-tte"/>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insideV w:val="single" w:sz="4" w:space="0" w:color="auto"/>
      </w:tblBorders>
      <w:tblLook w:val="04A0" w:firstRow="1" w:lastRow="0" w:firstColumn="1" w:lastColumn="0" w:noHBand="0" w:noVBand="1"/>
    </w:tblPr>
    <w:tblGrid>
      <w:gridCol w:w="1260"/>
      <w:gridCol w:w="7459"/>
    </w:tblGrid>
    <w:tr w:rsidR="0039067A" w:rsidTr="00DA0A69">
      <w:tc>
        <w:tcPr>
          <w:tcW w:w="1260" w:type="dxa"/>
        </w:tcPr>
        <w:p w:rsidR="0039067A" w:rsidRPr="00DA0A69" w:rsidRDefault="0039067A" w:rsidP="00550D4B">
          <w:pPr>
            <w:pStyle w:val="En-tte"/>
            <w:spacing w:before="100" w:after="100"/>
            <w:jc w:val="right"/>
            <w:rPr>
              <w:rFonts w:asciiTheme="majorBidi" w:hAnsiTheme="majorBidi" w:cstheme="majorBidi"/>
              <w:b/>
              <w:bCs/>
              <w:i/>
              <w:iCs/>
            </w:rPr>
          </w:pPr>
          <w:r w:rsidRPr="00DA0A69">
            <w:rPr>
              <w:rFonts w:asciiTheme="majorBidi" w:hAnsiTheme="majorBidi" w:cstheme="majorBidi"/>
              <w:i/>
              <w:iCs/>
              <w:sz w:val="24"/>
              <w:szCs w:val="24"/>
            </w:rPr>
            <w:t>Ch</w:t>
          </w:r>
          <w:r>
            <w:rPr>
              <w:rFonts w:asciiTheme="majorBidi" w:hAnsiTheme="majorBidi" w:cstheme="majorBidi"/>
              <w:i/>
              <w:iCs/>
              <w:sz w:val="24"/>
              <w:szCs w:val="24"/>
            </w:rPr>
            <w:t>apitre 3</w:t>
          </w:r>
        </w:p>
      </w:tc>
      <w:tc>
        <w:tcPr>
          <w:tcW w:w="7459" w:type="dxa"/>
          <w:noWrap/>
        </w:tcPr>
        <w:p w:rsidR="0039067A" w:rsidRPr="00DA0A69" w:rsidRDefault="0039067A" w:rsidP="002A3F16">
          <w:pPr>
            <w:pStyle w:val="En-tte"/>
            <w:rPr>
              <w:rFonts w:asciiTheme="majorBidi" w:hAnsiTheme="majorBidi" w:cstheme="majorBidi"/>
              <w:b/>
              <w:bCs/>
            </w:rPr>
          </w:pPr>
          <w:r w:rsidRPr="00553F02">
            <w:rPr>
              <w:rFonts w:ascii="Times New Roman" w:hAnsi="Times New Roman" w:cs="Times New Roman"/>
              <w:b/>
              <w:sz w:val="24"/>
            </w:rPr>
            <w:t>Le Système Comptable et Financier: Principaux changements et leurs impacts sur les Capitaux Propres et Résultats</w:t>
          </w:r>
          <w:r w:rsidRPr="002A3F16">
            <w:rPr>
              <w:rFonts w:ascii="Times New Roman" w:hAnsi="Times New Roman" w:cs="Times New Roman"/>
              <w:b/>
              <w:sz w:val="24"/>
            </w:rPr>
            <w:t xml:space="preserve"> </w:t>
          </w:r>
        </w:p>
      </w:tc>
    </w:tr>
  </w:tbl>
  <w:p w:rsidR="0039067A" w:rsidRDefault="0039067A" w:rsidP="0018245E">
    <w:pPr>
      <w:pStyle w:val="En-tte"/>
      <w:spacing w:before="100" w:after="100"/>
      <w:jc w:val="both"/>
    </w:pPr>
    <w:r>
      <w:rPr>
        <w:noProof/>
        <w:lang w:eastAsia="fr-FR"/>
      </w:rPr>
      <w:pict>
        <v:shapetype id="_x0000_t32" coordsize="21600,21600" o:spt="32" o:oned="t" path="m,l21600,21600e" filled="f">
          <v:path arrowok="t" fillok="f" o:connecttype="none"/>
          <o:lock v:ext="edit" shapetype="t"/>
        </v:shapetype>
        <v:shape id="_x0000_s3087" type="#_x0000_t32" style="position:absolute;left:0;text-align:left;margin-left:-20.75pt;margin-top:15.25pt;width:430.7pt;height:0;z-index:251672576;mso-position-horizontal-relative:text;mso-position-vertical-relative:text" o:connectortype="straight" strokecolor="#272727 [2749]" strokeweight="2.5pt"/>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67A" w:rsidRDefault="0039067A">
    <w:pPr>
      <w:pStyle w:val="En-tte"/>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insideV w:val="single" w:sz="4" w:space="0" w:color="auto"/>
      </w:tblBorders>
      <w:tblLook w:val="04A0" w:firstRow="1" w:lastRow="0" w:firstColumn="1" w:lastColumn="0" w:noHBand="0" w:noVBand="1"/>
    </w:tblPr>
    <w:tblGrid>
      <w:gridCol w:w="1260"/>
      <w:gridCol w:w="7459"/>
    </w:tblGrid>
    <w:tr w:rsidR="0039067A" w:rsidTr="0039067A">
      <w:tc>
        <w:tcPr>
          <w:tcW w:w="1260" w:type="dxa"/>
        </w:tcPr>
        <w:p w:rsidR="0039067A" w:rsidRPr="0039067A" w:rsidRDefault="0039067A">
          <w:pPr>
            <w:pStyle w:val="En-tte"/>
            <w:jc w:val="right"/>
            <w:rPr>
              <w:rFonts w:asciiTheme="majorBidi" w:hAnsiTheme="majorBidi" w:cstheme="majorBidi"/>
              <w:b/>
              <w:bCs/>
              <w:i/>
              <w:iCs/>
            </w:rPr>
          </w:pPr>
          <w:r w:rsidRPr="0039067A">
            <w:rPr>
              <w:rFonts w:asciiTheme="majorBidi" w:hAnsiTheme="majorBidi" w:cstheme="majorBidi"/>
              <w:i/>
              <w:iCs/>
              <w:sz w:val="24"/>
              <w:szCs w:val="24"/>
            </w:rPr>
            <w:t>Chapitre 4</w:t>
          </w:r>
        </w:p>
      </w:tc>
      <w:tc>
        <w:tcPr>
          <w:tcW w:w="7459" w:type="dxa"/>
          <w:noWrap/>
        </w:tcPr>
        <w:p w:rsidR="0039067A" w:rsidRPr="0039067A" w:rsidRDefault="0039067A">
          <w:pPr>
            <w:pStyle w:val="En-tte"/>
            <w:rPr>
              <w:rFonts w:asciiTheme="majorBidi" w:hAnsiTheme="majorBidi" w:cstheme="majorBidi"/>
              <w:b/>
              <w:bCs/>
            </w:rPr>
          </w:pPr>
          <w:r w:rsidRPr="0039067A">
            <w:rPr>
              <w:rFonts w:asciiTheme="majorBidi" w:hAnsiTheme="majorBidi" w:cstheme="majorBidi"/>
              <w:b/>
              <w:bCs/>
              <w:sz w:val="24"/>
              <w:szCs w:val="24"/>
            </w:rPr>
            <w:t xml:space="preserve">La transition au nouveau Système Comptable Financier et son Impact sur les comptes des sociétés du Groupe </w:t>
          </w:r>
          <w:proofErr w:type="spellStart"/>
          <w:r w:rsidRPr="0039067A">
            <w:rPr>
              <w:rFonts w:asciiTheme="majorBidi" w:hAnsiTheme="majorBidi" w:cstheme="majorBidi"/>
              <w:b/>
              <w:bCs/>
              <w:sz w:val="24"/>
              <w:szCs w:val="24"/>
            </w:rPr>
            <w:t>Sonelgaz</w:t>
          </w:r>
          <w:proofErr w:type="spellEnd"/>
        </w:p>
      </w:tc>
    </w:tr>
  </w:tbl>
  <w:p w:rsidR="0039067A" w:rsidRDefault="0039067A" w:rsidP="0039067A">
    <w:pPr>
      <w:pStyle w:val="En-tte"/>
      <w:jc w:val="both"/>
    </w:pPr>
    <w:r>
      <w:rPr>
        <w:noProof/>
        <w:lang w:eastAsia="fr-FR"/>
      </w:rPr>
      <w:pict>
        <v:shapetype id="_x0000_t32" coordsize="21600,21600" o:spt="32" o:oned="t" path="m,l21600,21600e" filled="f">
          <v:path arrowok="t" fillok="f" o:connecttype="none"/>
          <o:lock v:ext="edit" shapetype="t"/>
        </v:shapetype>
        <v:shape id="_x0000_s3088" type="#_x0000_t32" style="position:absolute;left:0;text-align:left;margin-left:-8.75pt;margin-top:5.95pt;width:430.7pt;height:0;z-index:251673600;mso-position-horizontal-relative:text;mso-position-vertical-relative:text" o:connectortype="straight" strokecolor="#272727 [2749]" strokeweight="2.5pt"/>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insideV w:val="single" w:sz="4" w:space="0" w:color="auto"/>
      </w:tblBorders>
      <w:tblLook w:val="04A0" w:firstRow="1" w:lastRow="0" w:firstColumn="1" w:lastColumn="0" w:noHBand="0" w:noVBand="1"/>
    </w:tblPr>
    <w:tblGrid>
      <w:gridCol w:w="1260"/>
      <w:gridCol w:w="7459"/>
    </w:tblGrid>
    <w:tr w:rsidR="00550D4B" w:rsidTr="00DA0A69">
      <w:tc>
        <w:tcPr>
          <w:tcW w:w="1260" w:type="dxa"/>
        </w:tcPr>
        <w:p w:rsidR="00550D4B" w:rsidRPr="00DA0A69" w:rsidRDefault="00550D4B" w:rsidP="00550D4B">
          <w:pPr>
            <w:pStyle w:val="En-tte"/>
            <w:spacing w:before="100" w:after="100"/>
            <w:jc w:val="right"/>
            <w:rPr>
              <w:rFonts w:asciiTheme="majorBidi" w:hAnsiTheme="majorBidi" w:cstheme="majorBidi"/>
              <w:b/>
              <w:bCs/>
              <w:i/>
              <w:iCs/>
            </w:rPr>
          </w:pPr>
          <w:r w:rsidRPr="00DA0A69">
            <w:rPr>
              <w:rFonts w:asciiTheme="majorBidi" w:hAnsiTheme="majorBidi" w:cstheme="majorBidi"/>
              <w:i/>
              <w:iCs/>
              <w:sz w:val="24"/>
              <w:szCs w:val="24"/>
            </w:rPr>
            <w:t>Ch</w:t>
          </w:r>
          <w:r>
            <w:rPr>
              <w:rFonts w:asciiTheme="majorBidi" w:hAnsiTheme="majorBidi" w:cstheme="majorBidi"/>
              <w:i/>
              <w:iCs/>
              <w:sz w:val="24"/>
              <w:szCs w:val="24"/>
            </w:rPr>
            <w:t>apitre 4</w:t>
          </w:r>
        </w:p>
      </w:tc>
      <w:tc>
        <w:tcPr>
          <w:tcW w:w="7459" w:type="dxa"/>
          <w:noWrap/>
        </w:tcPr>
        <w:p w:rsidR="00550D4B" w:rsidRPr="00DA0A69" w:rsidRDefault="00550D4B" w:rsidP="00550D4B">
          <w:pPr>
            <w:pStyle w:val="En-tte"/>
            <w:rPr>
              <w:rFonts w:asciiTheme="majorBidi" w:hAnsiTheme="majorBidi" w:cstheme="majorBidi"/>
              <w:b/>
              <w:bCs/>
            </w:rPr>
          </w:pPr>
          <w:r w:rsidRPr="0039067A">
            <w:rPr>
              <w:rFonts w:asciiTheme="majorBidi" w:hAnsiTheme="majorBidi" w:cstheme="majorBidi"/>
              <w:b/>
              <w:bCs/>
              <w:sz w:val="24"/>
              <w:szCs w:val="24"/>
            </w:rPr>
            <w:t xml:space="preserve">La transition au nouveau Système Comptable Financier et son Impact sur les comptes des sociétés du Groupe </w:t>
          </w:r>
          <w:proofErr w:type="spellStart"/>
          <w:r w:rsidRPr="0039067A">
            <w:rPr>
              <w:rFonts w:asciiTheme="majorBidi" w:hAnsiTheme="majorBidi" w:cstheme="majorBidi"/>
              <w:b/>
              <w:bCs/>
              <w:sz w:val="24"/>
              <w:szCs w:val="24"/>
            </w:rPr>
            <w:t>Sonelgaz</w:t>
          </w:r>
          <w:proofErr w:type="spellEnd"/>
          <w:r w:rsidRPr="00553F02">
            <w:rPr>
              <w:rFonts w:ascii="Times New Roman" w:hAnsi="Times New Roman" w:cs="Times New Roman"/>
              <w:b/>
              <w:sz w:val="24"/>
            </w:rPr>
            <w:t xml:space="preserve"> </w:t>
          </w:r>
          <w:r w:rsidRPr="002A3F16">
            <w:rPr>
              <w:rFonts w:ascii="Times New Roman" w:hAnsi="Times New Roman" w:cs="Times New Roman"/>
              <w:b/>
              <w:sz w:val="24"/>
            </w:rPr>
            <w:t xml:space="preserve"> </w:t>
          </w:r>
        </w:p>
      </w:tc>
    </w:tr>
  </w:tbl>
  <w:p w:rsidR="00550D4B" w:rsidRDefault="00550D4B" w:rsidP="0018245E">
    <w:pPr>
      <w:pStyle w:val="En-tte"/>
      <w:spacing w:before="100" w:after="100"/>
      <w:jc w:val="both"/>
    </w:pPr>
    <w:r>
      <w:rPr>
        <w:noProof/>
        <w:lang w:eastAsia="fr-FR"/>
      </w:rPr>
      <w:pict>
        <v:shapetype id="_x0000_t32" coordsize="21600,21600" o:spt="32" o:oned="t" path="m,l21600,21600e" filled="f">
          <v:path arrowok="t" fillok="f" o:connecttype="none"/>
          <o:lock v:ext="edit" shapetype="t"/>
        </v:shapetype>
        <v:shape id="_x0000_s3089" type="#_x0000_t32" style="position:absolute;left:0;text-align:left;margin-left:-20.75pt;margin-top:15.25pt;width:430.7pt;height:0;z-index:251675648;mso-position-horizontal-relative:text;mso-position-vertical-relative:text" o:connectortype="straight" strokecolor="#272727 [2749]" strokeweight="2.5pt"/>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insideV w:val="single" w:sz="4" w:space="0" w:color="auto"/>
      </w:tblBorders>
      <w:tblLook w:val="04A0" w:firstRow="1" w:lastRow="0" w:firstColumn="1" w:lastColumn="0" w:noHBand="0" w:noVBand="1"/>
    </w:tblPr>
    <w:tblGrid>
      <w:gridCol w:w="250"/>
      <w:gridCol w:w="8469"/>
    </w:tblGrid>
    <w:tr w:rsidR="00550D4B" w:rsidTr="00550D4B">
      <w:tc>
        <w:tcPr>
          <w:tcW w:w="250" w:type="dxa"/>
        </w:tcPr>
        <w:p w:rsidR="00550D4B" w:rsidRPr="00DA0A69" w:rsidRDefault="00550D4B" w:rsidP="00550D4B">
          <w:pPr>
            <w:pStyle w:val="En-tte"/>
            <w:spacing w:before="100" w:after="100"/>
            <w:jc w:val="right"/>
            <w:rPr>
              <w:rFonts w:asciiTheme="majorBidi" w:hAnsiTheme="majorBidi" w:cstheme="majorBidi"/>
              <w:b/>
              <w:bCs/>
              <w:i/>
              <w:iCs/>
            </w:rPr>
          </w:pPr>
        </w:p>
      </w:tc>
      <w:tc>
        <w:tcPr>
          <w:tcW w:w="8469" w:type="dxa"/>
          <w:noWrap/>
        </w:tcPr>
        <w:p w:rsidR="00550D4B" w:rsidRPr="00DA0A69" w:rsidRDefault="00550D4B" w:rsidP="00550D4B">
          <w:pPr>
            <w:pStyle w:val="En-tte"/>
            <w:jc w:val="left"/>
            <w:rPr>
              <w:rFonts w:asciiTheme="majorBidi" w:hAnsiTheme="majorBidi" w:cstheme="majorBidi"/>
              <w:b/>
              <w:bCs/>
            </w:rPr>
          </w:pPr>
          <w:r>
            <w:rPr>
              <w:rFonts w:ascii="Times New Roman" w:hAnsi="Times New Roman" w:cs="Times New Roman"/>
              <w:b/>
              <w:sz w:val="24"/>
            </w:rPr>
            <w:t>Conclusion générale</w:t>
          </w:r>
          <w:r w:rsidRPr="00553F02">
            <w:rPr>
              <w:rFonts w:ascii="Times New Roman" w:hAnsi="Times New Roman" w:cs="Times New Roman"/>
              <w:b/>
              <w:sz w:val="24"/>
            </w:rPr>
            <w:t xml:space="preserve"> </w:t>
          </w:r>
          <w:r w:rsidRPr="002A3F16">
            <w:rPr>
              <w:rFonts w:ascii="Times New Roman" w:hAnsi="Times New Roman" w:cs="Times New Roman"/>
              <w:b/>
              <w:sz w:val="24"/>
            </w:rPr>
            <w:t xml:space="preserve"> </w:t>
          </w:r>
        </w:p>
      </w:tc>
    </w:tr>
  </w:tbl>
  <w:p w:rsidR="00550D4B" w:rsidRDefault="00550D4B" w:rsidP="0018245E">
    <w:pPr>
      <w:pStyle w:val="En-tte"/>
      <w:spacing w:before="100" w:after="100"/>
      <w:jc w:val="both"/>
    </w:pPr>
    <w:r>
      <w:rPr>
        <w:noProof/>
        <w:lang w:eastAsia="fr-FR"/>
      </w:rPr>
      <w:pict>
        <v:shapetype id="_x0000_t32" coordsize="21600,21600" o:spt="32" o:oned="t" path="m,l21600,21600e" filled="f">
          <v:path arrowok="t" fillok="f" o:connecttype="none"/>
          <o:lock v:ext="edit" shapetype="t"/>
        </v:shapetype>
        <v:shape id="_x0000_s3090" type="#_x0000_t32" style="position:absolute;left:0;text-align:left;margin-left:-20.75pt;margin-top:15.25pt;width:430.7pt;height:0;z-index:251677696;mso-position-horizontal-relative:text;mso-position-vertical-relative:text" o:connectortype="straight" strokecolor="#272727 [2749]" strokeweight="2.5pt"/>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67A" w:rsidRDefault="0039067A" w:rsidP="0018245E">
    <w:pPr>
      <w:pStyle w:val="En-tte"/>
      <w:spacing w:before="100" w:after="10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26" w:type="pct"/>
      <w:tblInd w:w="-1152" w:type="dxa"/>
      <w:tblBorders>
        <w:insideV w:val="single" w:sz="4" w:space="0" w:color="auto"/>
      </w:tblBorders>
      <w:tblLook w:val="04A0" w:firstRow="1" w:lastRow="0" w:firstColumn="1" w:lastColumn="0" w:noHBand="0" w:noVBand="1"/>
    </w:tblPr>
    <w:tblGrid>
      <w:gridCol w:w="1158"/>
      <w:gridCol w:w="7606"/>
    </w:tblGrid>
    <w:tr w:rsidR="0039067A" w:rsidTr="0018245E">
      <w:trPr>
        <w:trHeight w:val="377"/>
      </w:trPr>
      <w:tc>
        <w:tcPr>
          <w:tcW w:w="1158" w:type="dxa"/>
        </w:tcPr>
        <w:p w:rsidR="0039067A" w:rsidRDefault="0039067A" w:rsidP="0018245E">
          <w:pPr>
            <w:pStyle w:val="En-tte"/>
            <w:spacing w:before="100" w:after="100"/>
            <w:jc w:val="right"/>
            <w:rPr>
              <w:b/>
              <w:bCs/>
            </w:rPr>
          </w:pPr>
        </w:p>
      </w:tc>
      <w:tc>
        <w:tcPr>
          <w:tcW w:w="0" w:type="auto"/>
          <w:noWrap/>
        </w:tcPr>
        <w:p w:rsidR="0039067A" w:rsidRPr="0018245E" w:rsidRDefault="0039067A" w:rsidP="0018245E">
          <w:pPr>
            <w:pStyle w:val="En-tte"/>
            <w:jc w:val="left"/>
            <w:rPr>
              <w:rFonts w:asciiTheme="majorBidi" w:hAnsiTheme="majorBidi" w:cstheme="majorBidi"/>
              <w:b/>
              <w:bCs/>
            </w:rPr>
          </w:pPr>
          <w:r w:rsidRPr="0018245E">
            <w:rPr>
              <w:rFonts w:asciiTheme="majorBidi" w:hAnsiTheme="majorBidi" w:cstheme="majorBidi"/>
              <w:sz w:val="28"/>
              <w:szCs w:val="28"/>
            </w:rPr>
            <w:t>SOMMAIRE</w:t>
          </w:r>
        </w:p>
      </w:tc>
    </w:tr>
  </w:tbl>
  <w:p w:rsidR="0039067A" w:rsidRDefault="0039067A" w:rsidP="0018245E">
    <w:pPr>
      <w:pStyle w:val="En-tte"/>
      <w:spacing w:before="100" w:after="100"/>
      <w:jc w:val="both"/>
    </w:pPr>
    <w:r>
      <w:rPr>
        <w:noProof/>
        <w:lang w:eastAsia="fr-FR"/>
      </w:rPr>
      <w:pict>
        <v:shapetype id="_x0000_t32" coordsize="21600,21600" o:spt="32" o:oned="t" path="m,l21600,21600e" filled="f">
          <v:path arrowok="t" fillok="f" o:connecttype="none"/>
          <o:lock v:ext="edit" shapetype="t"/>
        </v:shapetype>
        <v:shape id="_x0000_s3073" type="#_x0000_t32" style="position:absolute;left:0;text-align:left;margin-left:-43.3pt;margin-top:7.95pt;width:483.5pt;height:0;z-index:251658240;mso-position-horizontal-relative:text;mso-position-vertical-relative:text" o:connectortype="straight" strokeweight="2p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26" w:type="pct"/>
      <w:tblInd w:w="-1152" w:type="dxa"/>
      <w:tblBorders>
        <w:insideV w:val="single" w:sz="4" w:space="0" w:color="auto"/>
      </w:tblBorders>
      <w:tblLook w:val="04A0" w:firstRow="1" w:lastRow="0" w:firstColumn="1" w:lastColumn="0" w:noHBand="0" w:noVBand="1"/>
    </w:tblPr>
    <w:tblGrid>
      <w:gridCol w:w="1158"/>
      <w:gridCol w:w="7606"/>
    </w:tblGrid>
    <w:tr w:rsidR="0039067A" w:rsidTr="0018245E">
      <w:trPr>
        <w:trHeight w:val="377"/>
      </w:trPr>
      <w:tc>
        <w:tcPr>
          <w:tcW w:w="1158" w:type="dxa"/>
        </w:tcPr>
        <w:p w:rsidR="0039067A" w:rsidRDefault="0039067A" w:rsidP="0018245E">
          <w:pPr>
            <w:pStyle w:val="En-tte"/>
            <w:spacing w:before="100" w:after="100"/>
            <w:jc w:val="right"/>
            <w:rPr>
              <w:b/>
              <w:bCs/>
            </w:rPr>
          </w:pPr>
        </w:p>
      </w:tc>
      <w:tc>
        <w:tcPr>
          <w:tcW w:w="0" w:type="auto"/>
          <w:noWrap/>
        </w:tcPr>
        <w:p w:rsidR="0039067A" w:rsidRPr="0018245E" w:rsidRDefault="0039067A" w:rsidP="0018245E">
          <w:pPr>
            <w:pStyle w:val="En-tte"/>
            <w:jc w:val="left"/>
            <w:rPr>
              <w:rFonts w:asciiTheme="majorBidi" w:hAnsiTheme="majorBidi" w:cstheme="majorBidi"/>
              <w:b/>
              <w:bCs/>
            </w:rPr>
          </w:pPr>
          <w:r>
            <w:rPr>
              <w:rFonts w:asciiTheme="majorBidi" w:hAnsiTheme="majorBidi" w:cstheme="majorBidi"/>
              <w:sz w:val="28"/>
              <w:szCs w:val="28"/>
            </w:rPr>
            <w:t xml:space="preserve">Liste des Tableaux </w:t>
          </w:r>
        </w:p>
      </w:tc>
    </w:tr>
  </w:tbl>
  <w:p w:rsidR="0039067A" w:rsidRDefault="0039067A" w:rsidP="0018245E">
    <w:pPr>
      <w:pStyle w:val="En-tte"/>
      <w:spacing w:before="100" w:after="100"/>
      <w:jc w:val="both"/>
    </w:pPr>
    <w:r>
      <w:rPr>
        <w:noProof/>
        <w:lang w:eastAsia="fr-FR"/>
      </w:rPr>
      <w:pict>
        <v:shapetype id="_x0000_t32" coordsize="21600,21600" o:spt="32" o:oned="t" path="m,l21600,21600e" filled="f">
          <v:path arrowok="t" fillok="f" o:connecttype="none"/>
          <o:lock v:ext="edit" shapetype="t"/>
        </v:shapetype>
        <v:shape id="_x0000_s3074" type="#_x0000_t32" style="position:absolute;left:0;text-align:left;margin-left:-43.3pt;margin-top:7.95pt;width:483.5pt;height:0;z-index:251660288;mso-position-horizontal-relative:text;mso-position-vertical-relative:text" o:connectortype="straight" strokeweight="2pt"/>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26" w:type="pct"/>
      <w:tblInd w:w="-1152" w:type="dxa"/>
      <w:tblBorders>
        <w:insideV w:val="single" w:sz="4" w:space="0" w:color="auto"/>
      </w:tblBorders>
      <w:tblLook w:val="04A0" w:firstRow="1" w:lastRow="0" w:firstColumn="1" w:lastColumn="0" w:noHBand="0" w:noVBand="1"/>
    </w:tblPr>
    <w:tblGrid>
      <w:gridCol w:w="1158"/>
      <w:gridCol w:w="7606"/>
    </w:tblGrid>
    <w:tr w:rsidR="0039067A" w:rsidTr="0018245E">
      <w:trPr>
        <w:trHeight w:val="377"/>
      </w:trPr>
      <w:tc>
        <w:tcPr>
          <w:tcW w:w="1158" w:type="dxa"/>
        </w:tcPr>
        <w:p w:rsidR="0039067A" w:rsidRDefault="0039067A" w:rsidP="0018245E">
          <w:pPr>
            <w:pStyle w:val="En-tte"/>
            <w:spacing w:before="100" w:after="100"/>
            <w:jc w:val="right"/>
            <w:rPr>
              <w:b/>
              <w:bCs/>
            </w:rPr>
          </w:pPr>
        </w:p>
      </w:tc>
      <w:tc>
        <w:tcPr>
          <w:tcW w:w="0" w:type="auto"/>
          <w:noWrap/>
        </w:tcPr>
        <w:p w:rsidR="0039067A" w:rsidRPr="0018245E" w:rsidRDefault="0039067A" w:rsidP="0018245E">
          <w:pPr>
            <w:pStyle w:val="En-tte"/>
            <w:jc w:val="left"/>
            <w:rPr>
              <w:rFonts w:asciiTheme="majorBidi" w:hAnsiTheme="majorBidi" w:cstheme="majorBidi"/>
              <w:b/>
              <w:bCs/>
            </w:rPr>
          </w:pPr>
          <w:r w:rsidRPr="00CA06EA">
            <w:rPr>
              <w:rFonts w:ascii="Times New Roman" w:hAnsi="Times New Roman" w:cs="Times New Roman"/>
              <w:b/>
              <w:sz w:val="24"/>
            </w:rPr>
            <w:t xml:space="preserve">Liste des </w:t>
          </w:r>
          <w:r>
            <w:rPr>
              <w:rFonts w:ascii="Times New Roman" w:hAnsi="Times New Roman" w:cs="Times New Roman"/>
              <w:b/>
              <w:sz w:val="24"/>
            </w:rPr>
            <w:t xml:space="preserve">Schémas, Figures et Diagramme                                                                                </w:t>
          </w:r>
        </w:p>
      </w:tc>
    </w:tr>
  </w:tbl>
  <w:p w:rsidR="0039067A" w:rsidRDefault="0039067A" w:rsidP="0018245E">
    <w:pPr>
      <w:pStyle w:val="En-tte"/>
      <w:spacing w:before="100" w:after="100"/>
      <w:jc w:val="both"/>
    </w:pPr>
    <w:r>
      <w:rPr>
        <w:noProof/>
        <w:lang w:eastAsia="fr-FR"/>
      </w:rPr>
      <w:pict>
        <v:shapetype id="_x0000_t32" coordsize="21600,21600" o:spt="32" o:oned="t" path="m,l21600,21600e" filled="f">
          <v:path arrowok="t" fillok="f" o:connecttype="none"/>
          <o:lock v:ext="edit" shapetype="t"/>
        </v:shapetype>
        <v:shape id="_x0000_s3075" type="#_x0000_t32" style="position:absolute;left:0;text-align:left;margin-left:-43.3pt;margin-top:7.95pt;width:483.5pt;height:0;z-index:251662336;mso-position-horizontal-relative:text;mso-position-vertical-relative:text" o:connectortype="straight" strokeweight="2pt"/>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67A" w:rsidRDefault="0039067A" w:rsidP="0018245E">
    <w:pPr>
      <w:pStyle w:val="En-tte"/>
      <w:spacing w:before="100" w:after="100"/>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Borders>
        <w:insideV w:val="single" w:sz="4" w:space="0" w:color="auto"/>
      </w:tblBorders>
      <w:tblLook w:val="04A0" w:firstRow="1" w:lastRow="0" w:firstColumn="1" w:lastColumn="0" w:noHBand="0" w:noVBand="1"/>
    </w:tblPr>
    <w:tblGrid>
      <w:gridCol w:w="1152"/>
      <w:gridCol w:w="7567"/>
    </w:tblGrid>
    <w:tr w:rsidR="0039067A">
      <w:tc>
        <w:tcPr>
          <w:tcW w:w="1152" w:type="dxa"/>
        </w:tcPr>
        <w:p w:rsidR="0039067A" w:rsidRDefault="0039067A" w:rsidP="00DA0A69">
          <w:pPr>
            <w:pStyle w:val="En-tte"/>
            <w:spacing w:before="100" w:after="100"/>
            <w:jc w:val="right"/>
            <w:rPr>
              <w:b/>
              <w:bCs/>
            </w:rPr>
          </w:pPr>
        </w:p>
      </w:tc>
      <w:tc>
        <w:tcPr>
          <w:tcW w:w="0" w:type="auto"/>
          <w:noWrap/>
        </w:tcPr>
        <w:p w:rsidR="0039067A" w:rsidRDefault="0039067A" w:rsidP="006542EC">
          <w:pPr>
            <w:pStyle w:val="En-tte"/>
            <w:jc w:val="left"/>
            <w:rPr>
              <w:b/>
              <w:bCs/>
            </w:rPr>
          </w:pPr>
          <w:sdt>
            <w:sdtPr>
              <w:rPr>
                <w:rFonts w:asciiTheme="majorHAnsi" w:eastAsiaTheme="majorEastAsia" w:hAnsiTheme="majorHAnsi" w:cstheme="majorBidi"/>
                <w:b/>
                <w:sz w:val="26"/>
                <w:szCs w:val="26"/>
              </w:rPr>
              <w:alias w:val="Titre"/>
              <w:id w:val="812127"/>
              <w:placeholder>
                <w:docPart w:val="8FC9E8BEFF21471997A298FA4592CEBF"/>
              </w:placeholder>
              <w:dataBinding w:prefixMappings="xmlns:ns0='http://schemas.openxmlformats.org/package/2006/metadata/core-properties' xmlns:ns1='http://purl.org/dc/elements/1.1/'" w:xpath="/ns0:coreProperties[1]/ns1:title[1]" w:storeItemID="{6C3C8BC8-F283-45AE-878A-BAB7291924A1}"/>
              <w:text/>
            </w:sdtPr>
            <w:sdtContent>
              <w:r w:rsidR="006542EC">
                <w:rPr>
                  <w:rFonts w:asciiTheme="majorHAnsi" w:eastAsiaTheme="majorEastAsia" w:hAnsiTheme="majorHAnsi" w:cstheme="majorBidi"/>
                  <w:b/>
                  <w:sz w:val="26"/>
                  <w:szCs w:val="26"/>
                </w:rPr>
                <w:t>Introduction Générale</w:t>
              </w:r>
            </w:sdtContent>
          </w:sdt>
        </w:p>
      </w:tc>
    </w:tr>
  </w:tbl>
  <w:p w:rsidR="0039067A" w:rsidRDefault="0039067A" w:rsidP="0018245E">
    <w:pPr>
      <w:pStyle w:val="En-tte"/>
      <w:spacing w:before="100" w:after="100"/>
      <w:jc w:val="both"/>
    </w:pPr>
    <w:r>
      <w:rPr>
        <w:noProof/>
        <w:lang w:eastAsia="fr-FR"/>
      </w:rPr>
      <w:pict>
        <v:shapetype id="_x0000_t32" coordsize="21600,21600" o:spt="32" o:oned="t" path="m,l21600,21600e" filled="f">
          <v:path arrowok="t" fillok="f" o:connecttype="none"/>
          <o:lock v:ext="edit" shapetype="t"/>
        </v:shapetype>
        <v:shape id="_x0000_s3077" type="#_x0000_t32" style="position:absolute;left:0;text-align:left;margin-left:-32.75pt;margin-top:10.05pt;width:430.7pt;height:0;z-index:251663360;mso-position-horizontal-relative:text;mso-position-vertical-relative:text" o:connectortype="straight" strokecolor="#272727 [2749]" strokeweight="2.5pt"/>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124" w:type="pct"/>
      <w:tblInd w:w="1085" w:type="dxa"/>
      <w:tblBorders>
        <w:insideV w:val="single" w:sz="4" w:space="0" w:color="auto"/>
      </w:tblBorders>
      <w:tblLook w:val="04A0" w:firstRow="1" w:lastRow="0" w:firstColumn="1" w:lastColumn="0" w:noHBand="0" w:noVBand="1"/>
    </w:tblPr>
    <w:tblGrid>
      <w:gridCol w:w="1290"/>
      <w:gridCol w:w="5901"/>
    </w:tblGrid>
    <w:tr w:rsidR="0039067A" w:rsidTr="00F61BE2">
      <w:trPr>
        <w:trHeight w:val="458"/>
      </w:trPr>
      <w:tc>
        <w:tcPr>
          <w:tcW w:w="1291" w:type="dxa"/>
        </w:tcPr>
        <w:p w:rsidR="0039067A" w:rsidRPr="006B4BE3" w:rsidRDefault="0039067A" w:rsidP="00F61BE2">
          <w:pPr>
            <w:pStyle w:val="En-tte"/>
            <w:jc w:val="right"/>
            <w:rPr>
              <w:rFonts w:ascii="Times New Roman" w:hAnsi="Times New Roman" w:cs="Times New Roman"/>
              <w:b/>
              <w:i/>
              <w:sz w:val="24"/>
            </w:rPr>
          </w:pPr>
          <w:r w:rsidRPr="006B4BE3">
            <w:rPr>
              <w:rFonts w:ascii="Times New Roman" w:hAnsi="Times New Roman" w:cs="Times New Roman"/>
              <w:b/>
              <w:i/>
              <w:sz w:val="24"/>
            </w:rPr>
            <w:t>Chapitre 1</w:t>
          </w:r>
        </w:p>
      </w:tc>
      <w:tc>
        <w:tcPr>
          <w:tcW w:w="5901" w:type="dxa"/>
          <w:noWrap/>
        </w:tcPr>
        <w:p w:rsidR="0039067A" w:rsidRPr="006B4BE3" w:rsidRDefault="0039067A" w:rsidP="00F61BE2">
          <w:pPr>
            <w:pStyle w:val="En-tte"/>
            <w:rPr>
              <w:rFonts w:ascii="Times New Roman" w:hAnsi="Times New Roman" w:cs="Times New Roman"/>
              <w:b/>
              <w:sz w:val="24"/>
            </w:rPr>
          </w:pPr>
          <w:r w:rsidRPr="006B4BE3">
            <w:rPr>
              <w:rFonts w:ascii="Times New Roman" w:hAnsi="Times New Roman" w:cs="Times New Roman"/>
              <w:b/>
              <w:sz w:val="24"/>
            </w:rPr>
            <w:t>Régulation et Harmonisation comptable internationale</w:t>
          </w:r>
        </w:p>
      </w:tc>
    </w:tr>
  </w:tbl>
  <w:p w:rsidR="0039067A" w:rsidRDefault="0039067A" w:rsidP="00D41BD8">
    <w:pPr>
      <w:pStyle w:val="En-tte"/>
      <w:spacing w:beforeAutospacing="0" w:afterAutospacing="0"/>
      <w:jc w:val="both"/>
    </w:pPr>
    <w:r>
      <w:rPr>
        <w:noProof/>
        <w:lang w:eastAsia="fr-FR"/>
      </w:rPr>
      <w:pict>
        <v:shapetype id="_x0000_t32" coordsize="21600,21600" o:spt="32" o:oned="t" path="m,l21600,21600e" filled="f">
          <v:path arrowok="t" fillok="f" o:connecttype="none"/>
          <o:lock v:ext="edit" shapetype="t"/>
        </v:shapetype>
        <v:shape id="_x0000_s3084" type="#_x0000_t32" style="position:absolute;left:0;text-align:left;margin-left:-8.3pt;margin-top:1.5pt;width:483.5pt;height:0;z-index:251668480;mso-position-horizontal-relative:text;mso-position-vertical-relative:text" o:connectortype="straight" strokeweight="2pt"/>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insideV w:val="single" w:sz="4" w:space="0" w:color="auto"/>
      </w:tblBorders>
      <w:tblLook w:val="04A0" w:firstRow="1" w:lastRow="0" w:firstColumn="1" w:lastColumn="0" w:noHBand="0" w:noVBand="1"/>
    </w:tblPr>
    <w:tblGrid>
      <w:gridCol w:w="1260"/>
      <w:gridCol w:w="7459"/>
    </w:tblGrid>
    <w:tr w:rsidR="0039067A" w:rsidTr="00DA0A69">
      <w:tc>
        <w:tcPr>
          <w:tcW w:w="1260" w:type="dxa"/>
        </w:tcPr>
        <w:p w:rsidR="0039067A" w:rsidRPr="00DA0A69" w:rsidRDefault="0039067A" w:rsidP="00D41BD8">
          <w:pPr>
            <w:pStyle w:val="En-tte"/>
            <w:spacing w:before="100" w:after="100"/>
            <w:jc w:val="right"/>
            <w:rPr>
              <w:rFonts w:asciiTheme="majorBidi" w:hAnsiTheme="majorBidi" w:cstheme="majorBidi"/>
              <w:b/>
              <w:bCs/>
              <w:i/>
              <w:iCs/>
            </w:rPr>
          </w:pPr>
          <w:r w:rsidRPr="00DA0A69">
            <w:rPr>
              <w:rFonts w:asciiTheme="majorBidi" w:hAnsiTheme="majorBidi" w:cstheme="majorBidi"/>
              <w:i/>
              <w:iCs/>
              <w:sz w:val="24"/>
              <w:szCs w:val="24"/>
            </w:rPr>
            <w:t>Chapitre 1</w:t>
          </w:r>
        </w:p>
      </w:tc>
      <w:tc>
        <w:tcPr>
          <w:tcW w:w="7459" w:type="dxa"/>
          <w:noWrap/>
        </w:tcPr>
        <w:p w:rsidR="0039067A" w:rsidRPr="00DA0A69" w:rsidRDefault="0039067A" w:rsidP="00DA0A69">
          <w:pPr>
            <w:pStyle w:val="En-tte"/>
            <w:jc w:val="left"/>
            <w:rPr>
              <w:rFonts w:asciiTheme="majorBidi" w:hAnsiTheme="majorBidi" w:cstheme="majorBidi"/>
              <w:b/>
              <w:bCs/>
            </w:rPr>
          </w:pPr>
          <w:r w:rsidRPr="00DA0A69">
            <w:rPr>
              <w:rFonts w:asciiTheme="majorBidi" w:hAnsiTheme="majorBidi" w:cstheme="majorBidi"/>
              <w:b/>
              <w:bCs/>
              <w:sz w:val="24"/>
              <w:szCs w:val="24"/>
            </w:rPr>
            <w:t>Régulation et Harmonisation Comptable Internationale</w:t>
          </w:r>
        </w:p>
      </w:tc>
    </w:tr>
  </w:tbl>
  <w:p w:rsidR="0039067A" w:rsidRDefault="0039067A" w:rsidP="0018245E">
    <w:pPr>
      <w:pStyle w:val="En-tte"/>
      <w:spacing w:before="100" w:after="100"/>
      <w:jc w:val="both"/>
    </w:pPr>
    <w:r>
      <w:rPr>
        <w:noProof/>
        <w:lang w:eastAsia="fr-FR"/>
      </w:rPr>
      <w:pict>
        <v:shapetype id="_x0000_t32" coordsize="21600,21600" o:spt="32" o:oned="t" path="m,l21600,21600e" filled="f">
          <v:path arrowok="t" fillok="f" o:connecttype="none"/>
          <o:lock v:ext="edit" shapetype="t"/>
        </v:shapetype>
        <v:shape id="_x0000_s3080" type="#_x0000_t32" style="position:absolute;left:0;text-align:left;margin-left:-20.75pt;margin-top:15.25pt;width:430.7pt;height:0;z-index:251666432;mso-position-horizontal-relative:text;mso-position-vertical-relative:text" o:connectortype="straight" strokecolor="#272727 [2749]" strokeweight="2.5pt"/>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insideV w:val="single" w:sz="4" w:space="0" w:color="auto"/>
      </w:tblBorders>
      <w:tblLook w:val="04A0" w:firstRow="1" w:lastRow="0" w:firstColumn="1" w:lastColumn="0" w:noHBand="0" w:noVBand="1"/>
    </w:tblPr>
    <w:tblGrid>
      <w:gridCol w:w="1260"/>
      <w:gridCol w:w="7459"/>
    </w:tblGrid>
    <w:tr w:rsidR="0039067A" w:rsidTr="00DA0A69">
      <w:tc>
        <w:tcPr>
          <w:tcW w:w="1260" w:type="dxa"/>
        </w:tcPr>
        <w:p w:rsidR="0039067A" w:rsidRPr="00DA0A69" w:rsidRDefault="0039067A" w:rsidP="00D41BD8">
          <w:pPr>
            <w:pStyle w:val="En-tte"/>
            <w:spacing w:before="100" w:after="100"/>
            <w:jc w:val="right"/>
            <w:rPr>
              <w:rFonts w:asciiTheme="majorBidi" w:hAnsiTheme="majorBidi" w:cstheme="majorBidi"/>
              <w:b/>
              <w:bCs/>
              <w:i/>
              <w:iCs/>
            </w:rPr>
          </w:pPr>
          <w:r w:rsidRPr="00DA0A69">
            <w:rPr>
              <w:rFonts w:asciiTheme="majorBidi" w:hAnsiTheme="majorBidi" w:cstheme="majorBidi"/>
              <w:i/>
              <w:iCs/>
              <w:sz w:val="24"/>
              <w:szCs w:val="24"/>
            </w:rPr>
            <w:t>Ch</w:t>
          </w:r>
          <w:r>
            <w:rPr>
              <w:rFonts w:asciiTheme="majorBidi" w:hAnsiTheme="majorBidi" w:cstheme="majorBidi"/>
              <w:i/>
              <w:iCs/>
              <w:sz w:val="24"/>
              <w:szCs w:val="24"/>
            </w:rPr>
            <w:t>apitre 2</w:t>
          </w:r>
        </w:p>
      </w:tc>
      <w:tc>
        <w:tcPr>
          <w:tcW w:w="7459" w:type="dxa"/>
          <w:noWrap/>
        </w:tcPr>
        <w:p w:rsidR="0039067A" w:rsidRPr="00DA0A69" w:rsidRDefault="0039067A" w:rsidP="002A3F16">
          <w:pPr>
            <w:pStyle w:val="En-tte"/>
            <w:rPr>
              <w:rFonts w:asciiTheme="majorBidi" w:hAnsiTheme="majorBidi" w:cstheme="majorBidi"/>
              <w:b/>
              <w:bCs/>
            </w:rPr>
          </w:pPr>
          <w:r w:rsidRPr="002A3F16">
            <w:rPr>
              <w:rFonts w:ascii="Times New Roman" w:hAnsi="Times New Roman" w:cs="Times New Roman"/>
              <w:b/>
              <w:sz w:val="24"/>
            </w:rPr>
            <w:t>La recherche scientifique en comptabilité et l’impact de la transition aux normes internationales</w:t>
          </w:r>
        </w:p>
      </w:tc>
    </w:tr>
  </w:tbl>
  <w:p w:rsidR="0039067A" w:rsidRDefault="0039067A" w:rsidP="0018245E">
    <w:pPr>
      <w:pStyle w:val="En-tte"/>
      <w:spacing w:before="100" w:after="100"/>
      <w:jc w:val="both"/>
    </w:pPr>
    <w:r>
      <w:rPr>
        <w:noProof/>
        <w:lang w:eastAsia="fr-FR"/>
      </w:rPr>
      <w:pict>
        <v:shapetype id="_x0000_t32" coordsize="21600,21600" o:spt="32" o:oned="t" path="m,l21600,21600e" filled="f">
          <v:path arrowok="t" fillok="f" o:connecttype="none"/>
          <o:lock v:ext="edit" shapetype="t"/>
        </v:shapetype>
        <v:shape id="_x0000_s3085" type="#_x0000_t32" style="position:absolute;left:0;text-align:left;margin-left:-20.75pt;margin-top:15.25pt;width:430.7pt;height:0;z-index:251670528;mso-position-horizontal-relative:text;mso-position-vertical-relative:text" o:connectortype="straight" strokecolor="#272727 [2749]" strokeweight="2.5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B03B9"/>
    <w:multiLevelType w:val="hybridMultilevel"/>
    <w:tmpl w:val="8F7C20E0"/>
    <w:lvl w:ilvl="0" w:tplc="8C366D82">
      <w:start w:val="1"/>
      <w:numFmt w:val="decimal"/>
      <w:lvlText w:val="%1."/>
      <w:lvlJc w:val="left"/>
      <w:pPr>
        <w:ind w:left="717" w:hanging="360"/>
      </w:pPr>
      <w:rPr>
        <w:rFonts w:hint="default"/>
        <w:b/>
      </w:rPr>
    </w:lvl>
    <w:lvl w:ilvl="1" w:tplc="040C0019" w:tentative="1">
      <w:start w:val="1"/>
      <w:numFmt w:val="lowerLetter"/>
      <w:lvlText w:val="%2."/>
      <w:lvlJc w:val="left"/>
      <w:pPr>
        <w:ind w:left="1437" w:hanging="360"/>
      </w:pPr>
    </w:lvl>
    <w:lvl w:ilvl="2" w:tplc="040C001B" w:tentative="1">
      <w:start w:val="1"/>
      <w:numFmt w:val="lowerRoman"/>
      <w:lvlText w:val="%3."/>
      <w:lvlJc w:val="right"/>
      <w:pPr>
        <w:ind w:left="2157" w:hanging="180"/>
      </w:pPr>
    </w:lvl>
    <w:lvl w:ilvl="3" w:tplc="040C000F" w:tentative="1">
      <w:start w:val="1"/>
      <w:numFmt w:val="decimal"/>
      <w:lvlText w:val="%4."/>
      <w:lvlJc w:val="left"/>
      <w:pPr>
        <w:ind w:left="2877" w:hanging="360"/>
      </w:pPr>
    </w:lvl>
    <w:lvl w:ilvl="4" w:tplc="040C0019" w:tentative="1">
      <w:start w:val="1"/>
      <w:numFmt w:val="lowerLetter"/>
      <w:lvlText w:val="%5."/>
      <w:lvlJc w:val="left"/>
      <w:pPr>
        <w:ind w:left="3597" w:hanging="360"/>
      </w:pPr>
    </w:lvl>
    <w:lvl w:ilvl="5" w:tplc="040C001B" w:tentative="1">
      <w:start w:val="1"/>
      <w:numFmt w:val="lowerRoman"/>
      <w:lvlText w:val="%6."/>
      <w:lvlJc w:val="right"/>
      <w:pPr>
        <w:ind w:left="4317" w:hanging="180"/>
      </w:pPr>
    </w:lvl>
    <w:lvl w:ilvl="6" w:tplc="040C000F" w:tentative="1">
      <w:start w:val="1"/>
      <w:numFmt w:val="decimal"/>
      <w:lvlText w:val="%7."/>
      <w:lvlJc w:val="left"/>
      <w:pPr>
        <w:ind w:left="5037" w:hanging="360"/>
      </w:pPr>
    </w:lvl>
    <w:lvl w:ilvl="7" w:tplc="040C0019" w:tentative="1">
      <w:start w:val="1"/>
      <w:numFmt w:val="lowerLetter"/>
      <w:lvlText w:val="%8."/>
      <w:lvlJc w:val="left"/>
      <w:pPr>
        <w:ind w:left="5757" w:hanging="360"/>
      </w:pPr>
    </w:lvl>
    <w:lvl w:ilvl="8" w:tplc="040C001B" w:tentative="1">
      <w:start w:val="1"/>
      <w:numFmt w:val="lowerRoman"/>
      <w:lvlText w:val="%9."/>
      <w:lvlJc w:val="right"/>
      <w:pPr>
        <w:ind w:left="6477" w:hanging="180"/>
      </w:pPr>
    </w:lvl>
  </w:abstractNum>
  <w:abstractNum w:abstractNumId="1">
    <w:nsid w:val="0469670B"/>
    <w:multiLevelType w:val="hybridMultilevel"/>
    <w:tmpl w:val="E2205FC8"/>
    <w:lvl w:ilvl="0" w:tplc="4A3A0A98">
      <w:start w:val="2"/>
      <w:numFmt w:val="bullet"/>
      <w:lvlText w:val="-"/>
      <w:lvlJc w:val="left"/>
      <w:pPr>
        <w:ind w:left="360" w:hanging="360"/>
      </w:pPr>
      <w:rPr>
        <w:rFonts w:ascii="Times New Roman" w:eastAsia="Times New Roman" w:hAnsi="Times New Roman"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4A3A0A98">
      <w:start w:val="2"/>
      <w:numFmt w:val="bullet"/>
      <w:lvlText w:val="-"/>
      <w:lvlJc w:val="left"/>
      <w:pPr>
        <w:ind w:left="2520" w:hanging="360"/>
      </w:pPr>
      <w:rPr>
        <w:rFonts w:ascii="Times New Roman" w:eastAsia="Times New Roman" w:hAnsi="Times New Roman" w:cs="Times New Roman"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Calibri" w:eastAsia="Times New Roman" w:hAnsi="Calibri" w:cs="Aria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nsid w:val="05774A78"/>
    <w:multiLevelType w:val="hybridMultilevel"/>
    <w:tmpl w:val="AE348E9E"/>
    <w:lvl w:ilvl="0" w:tplc="B64E8478">
      <w:start w:val="3"/>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087648E2"/>
    <w:multiLevelType w:val="hybridMultilevel"/>
    <w:tmpl w:val="865AA3A8"/>
    <w:lvl w:ilvl="0" w:tplc="5B3ED120">
      <w:start w:val="2"/>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087A71D8"/>
    <w:multiLevelType w:val="hybridMultilevel"/>
    <w:tmpl w:val="7D4A0D0C"/>
    <w:lvl w:ilvl="0" w:tplc="1E585ABC">
      <w:start w:val="1"/>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094C65EC"/>
    <w:multiLevelType w:val="hybridMultilevel"/>
    <w:tmpl w:val="4E78D4E0"/>
    <w:lvl w:ilvl="0" w:tplc="3C144DFC">
      <w:start w:val="1"/>
      <w:numFmt w:val="decimal"/>
      <w:lvlText w:val="%1-"/>
      <w:lvlJc w:val="left"/>
      <w:pPr>
        <w:ind w:left="465" w:hanging="360"/>
      </w:pPr>
      <w:rPr>
        <w:rFonts w:hint="default"/>
      </w:rPr>
    </w:lvl>
    <w:lvl w:ilvl="1" w:tplc="040C0019" w:tentative="1">
      <w:start w:val="1"/>
      <w:numFmt w:val="lowerLetter"/>
      <w:lvlText w:val="%2."/>
      <w:lvlJc w:val="left"/>
      <w:pPr>
        <w:ind w:left="1185" w:hanging="360"/>
      </w:pPr>
    </w:lvl>
    <w:lvl w:ilvl="2" w:tplc="040C001B" w:tentative="1">
      <w:start w:val="1"/>
      <w:numFmt w:val="lowerRoman"/>
      <w:lvlText w:val="%3."/>
      <w:lvlJc w:val="right"/>
      <w:pPr>
        <w:ind w:left="1905" w:hanging="180"/>
      </w:pPr>
    </w:lvl>
    <w:lvl w:ilvl="3" w:tplc="040C000F" w:tentative="1">
      <w:start w:val="1"/>
      <w:numFmt w:val="decimal"/>
      <w:lvlText w:val="%4."/>
      <w:lvlJc w:val="left"/>
      <w:pPr>
        <w:ind w:left="2625" w:hanging="360"/>
      </w:pPr>
    </w:lvl>
    <w:lvl w:ilvl="4" w:tplc="040C0019" w:tentative="1">
      <w:start w:val="1"/>
      <w:numFmt w:val="lowerLetter"/>
      <w:lvlText w:val="%5."/>
      <w:lvlJc w:val="left"/>
      <w:pPr>
        <w:ind w:left="3345" w:hanging="360"/>
      </w:pPr>
    </w:lvl>
    <w:lvl w:ilvl="5" w:tplc="040C001B" w:tentative="1">
      <w:start w:val="1"/>
      <w:numFmt w:val="lowerRoman"/>
      <w:lvlText w:val="%6."/>
      <w:lvlJc w:val="right"/>
      <w:pPr>
        <w:ind w:left="4065" w:hanging="180"/>
      </w:pPr>
    </w:lvl>
    <w:lvl w:ilvl="6" w:tplc="040C000F" w:tentative="1">
      <w:start w:val="1"/>
      <w:numFmt w:val="decimal"/>
      <w:lvlText w:val="%7."/>
      <w:lvlJc w:val="left"/>
      <w:pPr>
        <w:ind w:left="4785" w:hanging="360"/>
      </w:pPr>
    </w:lvl>
    <w:lvl w:ilvl="7" w:tplc="040C0019" w:tentative="1">
      <w:start w:val="1"/>
      <w:numFmt w:val="lowerLetter"/>
      <w:lvlText w:val="%8."/>
      <w:lvlJc w:val="left"/>
      <w:pPr>
        <w:ind w:left="5505" w:hanging="360"/>
      </w:pPr>
    </w:lvl>
    <w:lvl w:ilvl="8" w:tplc="040C001B" w:tentative="1">
      <w:start w:val="1"/>
      <w:numFmt w:val="lowerRoman"/>
      <w:lvlText w:val="%9."/>
      <w:lvlJc w:val="right"/>
      <w:pPr>
        <w:ind w:left="6225" w:hanging="180"/>
      </w:pPr>
    </w:lvl>
  </w:abstractNum>
  <w:abstractNum w:abstractNumId="6">
    <w:nsid w:val="11B57A7D"/>
    <w:multiLevelType w:val="hybridMultilevel"/>
    <w:tmpl w:val="F920E93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4A812F8"/>
    <w:multiLevelType w:val="hybridMultilevel"/>
    <w:tmpl w:val="C7B86A54"/>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15FE76B8"/>
    <w:multiLevelType w:val="hybridMultilevel"/>
    <w:tmpl w:val="6840C18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6A27622"/>
    <w:multiLevelType w:val="hybridMultilevel"/>
    <w:tmpl w:val="A58EB7E8"/>
    <w:lvl w:ilvl="0" w:tplc="C1D23026">
      <w:start w:val="2"/>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17043430"/>
    <w:multiLevelType w:val="hybridMultilevel"/>
    <w:tmpl w:val="B93E09A8"/>
    <w:lvl w:ilvl="0" w:tplc="FBDEFE06">
      <w:numFmt w:val="bullet"/>
      <w:lvlText w:val="-"/>
      <w:lvlJc w:val="left"/>
      <w:pPr>
        <w:ind w:left="340" w:hanging="34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82D209F"/>
    <w:multiLevelType w:val="hybridMultilevel"/>
    <w:tmpl w:val="9EAEE8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89D03BA"/>
    <w:multiLevelType w:val="hybridMultilevel"/>
    <w:tmpl w:val="5FA4AE08"/>
    <w:lvl w:ilvl="0" w:tplc="0E38F598">
      <w:start w:val="5"/>
      <w:numFmt w:val="bullet"/>
      <w:lvlText w:val="-"/>
      <w:lvlJc w:val="left"/>
      <w:pPr>
        <w:ind w:left="360" w:hanging="360"/>
      </w:pPr>
      <w:rPr>
        <w:rFonts w:ascii="Times New Roman" w:eastAsia="Times New Roman" w:hAnsi="Times New Roman" w:cs="Times New Roman" w:hint="default"/>
        <w:lang w:val="en-US"/>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18AC395E"/>
    <w:multiLevelType w:val="hybridMultilevel"/>
    <w:tmpl w:val="8D800A96"/>
    <w:lvl w:ilvl="0" w:tplc="5B3ED120">
      <w:start w:val="2"/>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19DF3DF2"/>
    <w:multiLevelType w:val="hybridMultilevel"/>
    <w:tmpl w:val="55089D04"/>
    <w:lvl w:ilvl="0" w:tplc="7CCC443E">
      <w:start w:val="1"/>
      <w:numFmt w:val="bullet"/>
      <w:lvlText w:val=""/>
      <w:lvlJc w:val="left"/>
      <w:pPr>
        <w:tabs>
          <w:tab w:val="num" w:pos="4437"/>
        </w:tabs>
        <w:ind w:left="4437" w:hanging="360"/>
      </w:pPr>
      <w:rPr>
        <w:rFonts w:ascii="Wingdings" w:hAnsi="Wingdings" w:hint="default"/>
      </w:rPr>
    </w:lvl>
    <w:lvl w:ilvl="1" w:tplc="4A3A0A98">
      <w:start w:val="2"/>
      <w:numFmt w:val="bullet"/>
      <w:lvlText w:val="-"/>
      <w:lvlJc w:val="left"/>
      <w:pPr>
        <w:tabs>
          <w:tab w:val="num" w:pos="3723"/>
        </w:tabs>
        <w:ind w:left="3723" w:hanging="363"/>
      </w:pPr>
      <w:rPr>
        <w:rFonts w:ascii="Times New Roman" w:eastAsia="Times New Roman" w:hAnsi="Times New Roman" w:cs="Times New Roman" w:hint="default"/>
        <w:color w:val="auto"/>
      </w:rPr>
    </w:lvl>
    <w:lvl w:ilvl="2" w:tplc="040C001B">
      <w:start w:val="1"/>
      <w:numFmt w:val="bullet"/>
      <w:lvlText w:val=""/>
      <w:lvlJc w:val="left"/>
      <w:pPr>
        <w:tabs>
          <w:tab w:val="num" w:pos="4440"/>
        </w:tabs>
        <w:ind w:left="4440" w:hanging="360"/>
      </w:pPr>
      <w:rPr>
        <w:rFonts w:ascii="Wingdings" w:hAnsi="Wingdings" w:hint="default"/>
      </w:rPr>
    </w:lvl>
    <w:lvl w:ilvl="3" w:tplc="040C000F" w:tentative="1">
      <w:start w:val="1"/>
      <w:numFmt w:val="bullet"/>
      <w:lvlText w:val=""/>
      <w:lvlJc w:val="left"/>
      <w:pPr>
        <w:tabs>
          <w:tab w:val="num" w:pos="5160"/>
        </w:tabs>
        <w:ind w:left="5160" w:hanging="360"/>
      </w:pPr>
      <w:rPr>
        <w:rFonts w:ascii="Symbol" w:hAnsi="Symbol" w:hint="default"/>
      </w:rPr>
    </w:lvl>
    <w:lvl w:ilvl="4" w:tplc="040C0019" w:tentative="1">
      <w:start w:val="1"/>
      <w:numFmt w:val="bullet"/>
      <w:lvlText w:val="o"/>
      <w:lvlJc w:val="left"/>
      <w:pPr>
        <w:tabs>
          <w:tab w:val="num" w:pos="5880"/>
        </w:tabs>
        <w:ind w:left="5880" w:hanging="360"/>
      </w:pPr>
      <w:rPr>
        <w:rFonts w:ascii="Courier New" w:hAnsi="Courier New" w:cs="Courier New" w:hint="default"/>
      </w:rPr>
    </w:lvl>
    <w:lvl w:ilvl="5" w:tplc="040C001B" w:tentative="1">
      <w:start w:val="1"/>
      <w:numFmt w:val="bullet"/>
      <w:lvlText w:val=""/>
      <w:lvlJc w:val="left"/>
      <w:pPr>
        <w:tabs>
          <w:tab w:val="num" w:pos="6600"/>
        </w:tabs>
        <w:ind w:left="6600" w:hanging="360"/>
      </w:pPr>
      <w:rPr>
        <w:rFonts w:ascii="Wingdings" w:hAnsi="Wingdings" w:hint="default"/>
      </w:rPr>
    </w:lvl>
    <w:lvl w:ilvl="6" w:tplc="040C000F" w:tentative="1">
      <w:start w:val="1"/>
      <w:numFmt w:val="bullet"/>
      <w:lvlText w:val=""/>
      <w:lvlJc w:val="left"/>
      <w:pPr>
        <w:tabs>
          <w:tab w:val="num" w:pos="7320"/>
        </w:tabs>
        <w:ind w:left="7320" w:hanging="360"/>
      </w:pPr>
      <w:rPr>
        <w:rFonts w:ascii="Symbol" w:hAnsi="Symbol" w:hint="default"/>
      </w:rPr>
    </w:lvl>
    <w:lvl w:ilvl="7" w:tplc="040C0019" w:tentative="1">
      <w:start w:val="1"/>
      <w:numFmt w:val="bullet"/>
      <w:lvlText w:val="o"/>
      <w:lvlJc w:val="left"/>
      <w:pPr>
        <w:tabs>
          <w:tab w:val="num" w:pos="8040"/>
        </w:tabs>
        <w:ind w:left="8040" w:hanging="360"/>
      </w:pPr>
      <w:rPr>
        <w:rFonts w:ascii="Courier New" w:hAnsi="Courier New" w:cs="Courier New" w:hint="default"/>
      </w:rPr>
    </w:lvl>
    <w:lvl w:ilvl="8" w:tplc="040C001B" w:tentative="1">
      <w:start w:val="1"/>
      <w:numFmt w:val="bullet"/>
      <w:lvlText w:val=""/>
      <w:lvlJc w:val="left"/>
      <w:pPr>
        <w:tabs>
          <w:tab w:val="num" w:pos="8760"/>
        </w:tabs>
        <w:ind w:left="8760" w:hanging="360"/>
      </w:pPr>
      <w:rPr>
        <w:rFonts w:ascii="Wingdings" w:hAnsi="Wingdings" w:hint="default"/>
      </w:rPr>
    </w:lvl>
  </w:abstractNum>
  <w:abstractNum w:abstractNumId="15">
    <w:nsid w:val="1B51352A"/>
    <w:multiLevelType w:val="hybridMultilevel"/>
    <w:tmpl w:val="865AA3A8"/>
    <w:lvl w:ilvl="0" w:tplc="5B3ED120">
      <w:start w:val="2"/>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1BB366FF"/>
    <w:multiLevelType w:val="hybridMultilevel"/>
    <w:tmpl w:val="B5868AFE"/>
    <w:lvl w:ilvl="0" w:tplc="040C000F">
      <w:start w:val="1"/>
      <w:numFmt w:val="decimal"/>
      <w:lvlText w:val="%1."/>
      <w:lvlJc w:val="left"/>
      <w:pPr>
        <w:ind w:left="360" w:hanging="360"/>
      </w:pPr>
      <w:rPr>
        <w:rFonts w:hint="default"/>
      </w:rPr>
    </w:lvl>
    <w:lvl w:ilvl="1" w:tplc="B64E8478">
      <w:start w:val="3"/>
      <w:numFmt w:val="bullet"/>
      <w:lvlText w:val="-"/>
      <w:lvlJc w:val="left"/>
      <w:pPr>
        <w:ind w:left="1080" w:hanging="360"/>
      </w:pPr>
      <w:rPr>
        <w:rFonts w:ascii="Times New Roman" w:eastAsiaTheme="minorHAnsi" w:hAnsi="Times New Roman" w:cs="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1D410F56"/>
    <w:multiLevelType w:val="hybridMultilevel"/>
    <w:tmpl w:val="C3EA9A38"/>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8">
    <w:nsid w:val="1D767A0F"/>
    <w:multiLevelType w:val="hybridMultilevel"/>
    <w:tmpl w:val="DFB6FAA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nsid w:val="1D86589B"/>
    <w:multiLevelType w:val="hybridMultilevel"/>
    <w:tmpl w:val="41F4905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1FBB6FFE"/>
    <w:multiLevelType w:val="hybridMultilevel"/>
    <w:tmpl w:val="7B365754"/>
    <w:lvl w:ilvl="0" w:tplc="9D5EA690">
      <w:start w:val="1"/>
      <w:numFmt w:val="bullet"/>
      <w:lvlText w:val=""/>
      <w:lvlJc w:val="left"/>
      <w:pPr>
        <w:tabs>
          <w:tab w:val="num" w:pos="-1779"/>
        </w:tabs>
        <w:ind w:left="-1779" w:hanging="360"/>
      </w:pPr>
      <w:rPr>
        <w:rFonts w:ascii="Wingdings" w:hAnsi="Wingdings" w:hint="default"/>
      </w:rPr>
    </w:lvl>
    <w:lvl w:ilvl="1" w:tplc="7CFAEDF4">
      <w:start w:val="1"/>
      <w:numFmt w:val="bullet"/>
      <w:lvlText w:val=""/>
      <w:lvlJc w:val="left"/>
      <w:pPr>
        <w:tabs>
          <w:tab w:val="num" w:pos="-1059"/>
        </w:tabs>
        <w:ind w:left="-1059" w:hanging="360"/>
      </w:pPr>
      <w:rPr>
        <w:rFonts w:ascii="Wingdings" w:hAnsi="Wingdings" w:hint="default"/>
      </w:rPr>
    </w:lvl>
    <w:lvl w:ilvl="2" w:tplc="555AECDA">
      <w:start w:val="1"/>
      <w:numFmt w:val="bullet"/>
      <w:lvlText w:val=""/>
      <w:lvlJc w:val="left"/>
      <w:pPr>
        <w:tabs>
          <w:tab w:val="num" w:pos="-339"/>
        </w:tabs>
        <w:ind w:left="-339" w:hanging="360"/>
      </w:pPr>
      <w:rPr>
        <w:rFonts w:ascii="Wingdings" w:hAnsi="Wingdings" w:hint="default"/>
      </w:rPr>
    </w:lvl>
    <w:lvl w:ilvl="3" w:tplc="04F0D3FA">
      <w:start w:val="1"/>
      <w:numFmt w:val="bullet"/>
      <w:lvlText w:val=""/>
      <w:lvlJc w:val="left"/>
      <w:pPr>
        <w:tabs>
          <w:tab w:val="num" w:pos="381"/>
        </w:tabs>
        <w:ind w:left="381" w:hanging="360"/>
      </w:pPr>
      <w:rPr>
        <w:rFonts w:ascii="Wingdings" w:hAnsi="Wingdings" w:hint="default"/>
      </w:rPr>
    </w:lvl>
    <w:lvl w:ilvl="4" w:tplc="A4084DCC" w:tentative="1">
      <w:start w:val="1"/>
      <w:numFmt w:val="bullet"/>
      <w:lvlText w:val=""/>
      <w:lvlJc w:val="left"/>
      <w:pPr>
        <w:tabs>
          <w:tab w:val="num" w:pos="1101"/>
        </w:tabs>
        <w:ind w:left="1101" w:hanging="360"/>
      </w:pPr>
      <w:rPr>
        <w:rFonts w:ascii="Wingdings" w:hAnsi="Wingdings" w:hint="default"/>
      </w:rPr>
    </w:lvl>
    <w:lvl w:ilvl="5" w:tplc="F3665368" w:tentative="1">
      <w:start w:val="1"/>
      <w:numFmt w:val="bullet"/>
      <w:lvlText w:val=""/>
      <w:lvlJc w:val="left"/>
      <w:pPr>
        <w:tabs>
          <w:tab w:val="num" w:pos="1821"/>
        </w:tabs>
        <w:ind w:left="1821" w:hanging="360"/>
      </w:pPr>
      <w:rPr>
        <w:rFonts w:ascii="Wingdings" w:hAnsi="Wingdings" w:hint="default"/>
      </w:rPr>
    </w:lvl>
    <w:lvl w:ilvl="6" w:tplc="2416ED40" w:tentative="1">
      <w:start w:val="1"/>
      <w:numFmt w:val="bullet"/>
      <w:lvlText w:val=""/>
      <w:lvlJc w:val="left"/>
      <w:pPr>
        <w:tabs>
          <w:tab w:val="num" w:pos="2541"/>
        </w:tabs>
        <w:ind w:left="2541" w:hanging="360"/>
      </w:pPr>
      <w:rPr>
        <w:rFonts w:ascii="Wingdings" w:hAnsi="Wingdings" w:hint="default"/>
      </w:rPr>
    </w:lvl>
    <w:lvl w:ilvl="7" w:tplc="7304FFA0" w:tentative="1">
      <w:start w:val="1"/>
      <w:numFmt w:val="bullet"/>
      <w:lvlText w:val=""/>
      <w:lvlJc w:val="left"/>
      <w:pPr>
        <w:tabs>
          <w:tab w:val="num" w:pos="3261"/>
        </w:tabs>
        <w:ind w:left="3261" w:hanging="360"/>
      </w:pPr>
      <w:rPr>
        <w:rFonts w:ascii="Wingdings" w:hAnsi="Wingdings" w:hint="default"/>
      </w:rPr>
    </w:lvl>
    <w:lvl w:ilvl="8" w:tplc="691CE022" w:tentative="1">
      <w:start w:val="1"/>
      <w:numFmt w:val="bullet"/>
      <w:lvlText w:val=""/>
      <w:lvlJc w:val="left"/>
      <w:pPr>
        <w:tabs>
          <w:tab w:val="num" w:pos="3981"/>
        </w:tabs>
        <w:ind w:left="3981" w:hanging="360"/>
      </w:pPr>
      <w:rPr>
        <w:rFonts w:ascii="Wingdings" w:hAnsi="Wingdings" w:hint="default"/>
      </w:rPr>
    </w:lvl>
  </w:abstractNum>
  <w:abstractNum w:abstractNumId="21">
    <w:nsid w:val="244F2B2A"/>
    <w:multiLevelType w:val="hybridMultilevel"/>
    <w:tmpl w:val="865AA3A8"/>
    <w:lvl w:ilvl="0" w:tplc="5B3ED120">
      <w:start w:val="2"/>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nsid w:val="26BF2D3D"/>
    <w:multiLevelType w:val="hybridMultilevel"/>
    <w:tmpl w:val="6FE4EEE0"/>
    <w:lvl w:ilvl="0" w:tplc="4A3A0A98">
      <w:start w:val="2"/>
      <w:numFmt w:val="bullet"/>
      <w:lvlText w:val="-"/>
      <w:lvlJc w:val="left"/>
      <w:pPr>
        <w:ind w:left="360" w:hanging="360"/>
      </w:pPr>
      <w:rPr>
        <w:rFonts w:ascii="Times New Roman" w:eastAsia="Times New Roman" w:hAnsi="Times New Roman"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Wingdings" w:hAnsi="Wingdings"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Calibri" w:eastAsia="Times New Roman" w:hAnsi="Calibri" w:cs="Aria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nsid w:val="27563D93"/>
    <w:multiLevelType w:val="multilevel"/>
    <w:tmpl w:val="D2ACB6E2"/>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color w:val="0070C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27CA283F"/>
    <w:multiLevelType w:val="hybridMultilevel"/>
    <w:tmpl w:val="640488B2"/>
    <w:lvl w:ilvl="0" w:tplc="AAB46234">
      <w:start w:val="1"/>
      <w:numFmt w:val="bullet"/>
      <w:lvlText w:val=""/>
      <w:lvlJc w:val="left"/>
      <w:pPr>
        <w:tabs>
          <w:tab w:val="num" w:pos="357"/>
        </w:tabs>
        <w:ind w:left="357" w:hanging="360"/>
      </w:pPr>
      <w:rPr>
        <w:rFonts w:ascii="Wingdings" w:hAnsi="Wingdings" w:hint="default"/>
      </w:rPr>
    </w:lvl>
    <w:lvl w:ilvl="1" w:tplc="F956DF5A">
      <w:start w:val="790"/>
      <w:numFmt w:val="bullet"/>
      <w:lvlText w:val=""/>
      <w:lvlJc w:val="left"/>
      <w:pPr>
        <w:tabs>
          <w:tab w:val="num" w:pos="1077"/>
        </w:tabs>
        <w:ind w:left="1077" w:hanging="360"/>
      </w:pPr>
      <w:rPr>
        <w:rFonts w:ascii="Wingdings" w:hAnsi="Wingdings" w:hint="default"/>
      </w:rPr>
    </w:lvl>
    <w:lvl w:ilvl="2" w:tplc="3F948D4E" w:tentative="1">
      <w:start w:val="1"/>
      <w:numFmt w:val="bullet"/>
      <w:lvlText w:val=""/>
      <w:lvlJc w:val="left"/>
      <w:pPr>
        <w:tabs>
          <w:tab w:val="num" w:pos="1797"/>
        </w:tabs>
        <w:ind w:left="1797" w:hanging="360"/>
      </w:pPr>
      <w:rPr>
        <w:rFonts w:ascii="Wingdings" w:hAnsi="Wingdings" w:hint="default"/>
      </w:rPr>
    </w:lvl>
    <w:lvl w:ilvl="3" w:tplc="75C0E436" w:tentative="1">
      <w:start w:val="1"/>
      <w:numFmt w:val="bullet"/>
      <w:lvlText w:val=""/>
      <w:lvlJc w:val="left"/>
      <w:pPr>
        <w:tabs>
          <w:tab w:val="num" w:pos="2517"/>
        </w:tabs>
        <w:ind w:left="2517" w:hanging="360"/>
      </w:pPr>
      <w:rPr>
        <w:rFonts w:ascii="Wingdings" w:hAnsi="Wingdings" w:hint="default"/>
      </w:rPr>
    </w:lvl>
    <w:lvl w:ilvl="4" w:tplc="8A8A6CC8" w:tentative="1">
      <w:start w:val="1"/>
      <w:numFmt w:val="bullet"/>
      <w:lvlText w:val=""/>
      <w:lvlJc w:val="left"/>
      <w:pPr>
        <w:tabs>
          <w:tab w:val="num" w:pos="3237"/>
        </w:tabs>
        <w:ind w:left="3237" w:hanging="360"/>
      </w:pPr>
      <w:rPr>
        <w:rFonts w:ascii="Wingdings" w:hAnsi="Wingdings" w:hint="default"/>
      </w:rPr>
    </w:lvl>
    <w:lvl w:ilvl="5" w:tplc="CAD4D308" w:tentative="1">
      <w:start w:val="1"/>
      <w:numFmt w:val="bullet"/>
      <w:lvlText w:val=""/>
      <w:lvlJc w:val="left"/>
      <w:pPr>
        <w:tabs>
          <w:tab w:val="num" w:pos="3957"/>
        </w:tabs>
        <w:ind w:left="3957" w:hanging="360"/>
      </w:pPr>
      <w:rPr>
        <w:rFonts w:ascii="Wingdings" w:hAnsi="Wingdings" w:hint="default"/>
      </w:rPr>
    </w:lvl>
    <w:lvl w:ilvl="6" w:tplc="84AE79FC" w:tentative="1">
      <w:start w:val="1"/>
      <w:numFmt w:val="bullet"/>
      <w:lvlText w:val=""/>
      <w:lvlJc w:val="left"/>
      <w:pPr>
        <w:tabs>
          <w:tab w:val="num" w:pos="4677"/>
        </w:tabs>
        <w:ind w:left="4677" w:hanging="360"/>
      </w:pPr>
      <w:rPr>
        <w:rFonts w:ascii="Wingdings" w:hAnsi="Wingdings" w:hint="default"/>
      </w:rPr>
    </w:lvl>
    <w:lvl w:ilvl="7" w:tplc="43B84F78" w:tentative="1">
      <w:start w:val="1"/>
      <w:numFmt w:val="bullet"/>
      <w:lvlText w:val=""/>
      <w:lvlJc w:val="left"/>
      <w:pPr>
        <w:tabs>
          <w:tab w:val="num" w:pos="5397"/>
        </w:tabs>
        <w:ind w:left="5397" w:hanging="360"/>
      </w:pPr>
      <w:rPr>
        <w:rFonts w:ascii="Wingdings" w:hAnsi="Wingdings" w:hint="default"/>
      </w:rPr>
    </w:lvl>
    <w:lvl w:ilvl="8" w:tplc="22824450" w:tentative="1">
      <w:start w:val="1"/>
      <w:numFmt w:val="bullet"/>
      <w:lvlText w:val=""/>
      <w:lvlJc w:val="left"/>
      <w:pPr>
        <w:tabs>
          <w:tab w:val="num" w:pos="6117"/>
        </w:tabs>
        <w:ind w:left="6117" w:hanging="360"/>
      </w:pPr>
      <w:rPr>
        <w:rFonts w:ascii="Wingdings" w:hAnsi="Wingdings" w:hint="default"/>
      </w:rPr>
    </w:lvl>
  </w:abstractNum>
  <w:abstractNum w:abstractNumId="25">
    <w:nsid w:val="29247A3C"/>
    <w:multiLevelType w:val="hybridMultilevel"/>
    <w:tmpl w:val="58A8901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nsid w:val="29E45CFA"/>
    <w:multiLevelType w:val="hybridMultilevel"/>
    <w:tmpl w:val="4932714E"/>
    <w:lvl w:ilvl="0" w:tplc="B64E8478">
      <w:start w:val="3"/>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nsid w:val="2CE91FC6"/>
    <w:multiLevelType w:val="hybridMultilevel"/>
    <w:tmpl w:val="102AA1F0"/>
    <w:lvl w:ilvl="0" w:tplc="06E8720E">
      <w:start w:val="5"/>
      <w:numFmt w:val="bullet"/>
      <w:lvlText w:val="-"/>
      <w:lvlJc w:val="left"/>
      <w:pPr>
        <w:ind w:left="360" w:hanging="360"/>
      </w:pPr>
      <w:rPr>
        <w:rFonts w:ascii="Times New Roman" w:eastAsia="Times New Roman" w:hAnsi="Times New Roman" w:cs="Times New Roman" w:hint="default"/>
        <w:lang w:val="en-US"/>
      </w:rPr>
    </w:lvl>
    <w:lvl w:ilvl="1" w:tplc="FF120102" w:tentative="1">
      <w:start w:val="1"/>
      <w:numFmt w:val="bullet"/>
      <w:lvlText w:val="o"/>
      <w:lvlJc w:val="left"/>
      <w:pPr>
        <w:ind w:left="1080" w:hanging="360"/>
      </w:pPr>
      <w:rPr>
        <w:rFonts w:ascii="Courier New" w:hAnsi="Courier New" w:cs="Courier New" w:hint="default"/>
      </w:rPr>
    </w:lvl>
    <w:lvl w:ilvl="2" w:tplc="151C15AC" w:tentative="1">
      <w:start w:val="1"/>
      <w:numFmt w:val="bullet"/>
      <w:lvlText w:val=""/>
      <w:lvlJc w:val="left"/>
      <w:pPr>
        <w:ind w:left="1800" w:hanging="360"/>
      </w:pPr>
      <w:rPr>
        <w:rFonts w:ascii="Wingdings" w:hAnsi="Wingdings" w:hint="default"/>
      </w:rPr>
    </w:lvl>
    <w:lvl w:ilvl="3" w:tplc="C774649C" w:tentative="1">
      <w:start w:val="1"/>
      <w:numFmt w:val="bullet"/>
      <w:lvlText w:val=""/>
      <w:lvlJc w:val="left"/>
      <w:pPr>
        <w:ind w:left="2520" w:hanging="360"/>
      </w:pPr>
      <w:rPr>
        <w:rFonts w:ascii="Symbol" w:hAnsi="Symbol" w:hint="default"/>
      </w:rPr>
    </w:lvl>
    <w:lvl w:ilvl="4" w:tplc="1D1E70BA" w:tentative="1">
      <w:start w:val="1"/>
      <w:numFmt w:val="bullet"/>
      <w:lvlText w:val="o"/>
      <w:lvlJc w:val="left"/>
      <w:pPr>
        <w:ind w:left="3240" w:hanging="360"/>
      </w:pPr>
      <w:rPr>
        <w:rFonts w:ascii="Courier New" w:hAnsi="Courier New" w:cs="Courier New" w:hint="default"/>
      </w:rPr>
    </w:lvl>
    <w:lvl w:ilvl="5" w:tplc="EE8C0B22" w:tentative="1">
      <w:start w:val="1"/>
      <w:numFmt w:val="bullet"/>
      <w:lvlText w:val=""/>
      <w:lvlJc w:val="left"/>
      <w:pPr>
        <w:ind w:left="3960" w:hanging="360"/>
      </w:pPr>
      <w:rPr>
        <w:rFonts w:ascii="Wingdings" w:hAnsi="Wingdings" w:hint="default"/>
      </w:rPr>
    </w:lvl>
    <w:lvl w:ilvl="6" w:tplc="535A27EE" w:tentative="1">
      <w:start w:val="1"/>
      <w:numFmt w:val="bullet"/>
      <w:lvlText w:val=""/>
      <w:lvlJc w:val="left"/>
      <w:pPr>
        <w:ind w:left="4680" w:hanging="360"/>
      </w:pPr>
      <w:rPr>
        <w:rFonts w:ascii="Symbol" w:hAnsi="Symbol" w:hint="default"/>
      </w:rPr>
    </w:lvl>
    <w:lvl w:ilvl="7" w:tplc="304AE1FE" w:tentative="1">
      <w:start w:val="1"/>
      <w:numFmt w:val="bullet"/>
      <w:lvlText w:val="o"/>
      <w:lvlJc w:val="left"/>
      <w:pPr>
        <w:ind w:left="5400" w:hanging="360"/>
      </w:pPr>
      <w:rPr>
        <w:rFonts w:ascii="Courier New" w:hAnsi="Courier New" w:cs="Courier New" w:hint="default"/>
      </w:rPr>
    </w:lvl>
    <w:lvl w:ilvl="8" w:tplc="6CF4683C" w:tentative="1">
      <w:start w:val="1"/>
      <w:numFmt w:val="bullet"/>
      <w:lvlText w:val=""/>
      <w:lvlJc w:val="left"/>
      <w:pPr>
        <w:ind w:left="6120" w:hanging="360"/>
      </w:pPr>
      <w:rPr>
        <w:rFonts w:ascii="Wingdings" w:hAnsi="Wingdings" w:hint="default"/>
      </w:rPr>
    </w:lvl>
  </w:abstractNum>
  <w:abstractNum w:abstractNumId="28">
    <w:nsid w:val="2D1B1C03"/>
    <w:multiLevelType w:val="hybridMultilevel"/>
    <w:tmpl w:val="F95847E4"/>
    <w:lvl w:ilvl="0" w:tplc="3F481682">
      <w:start w:val="2"/>
      <w:numFmt w:val="bullet"/>
      <w:lvlText w:val="-"/>
      <w:lvlJc w:val="left"/>
      <w:pPr>
        <w:ind w:left="340" w:hanging="340"/>
      </w:pPr>
      <w:rPr>
        <w:rFonts w:ascii="Times New Roman" w:eastAsia="Times New Roman" w:hAnsi="Times New Roman" w:cs="Times New Roman" w:hint="default"/>
      </w:rPr>
    </w:lvl>
    <w:lvl w:ilvl="1" w:tplc="040C0003">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9">
    <w:nsid w:val="30946B9A"/>
    <w:multiLevelType w:val="hybridMultilevel"/>
    <w:tmpl w:val="F99A49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329E263E"/>
    <w:multiLevelType w:val="hybridMultilevel"/>
    <w:tmpl w:val="ABC2D88A"/>
    <w:lvl w:ilvl="0" w:tplc="B9E65B7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nsid w:val="34803F6D"/>
    <w:multiLevelType w:val="hybridMultilevel"/>
    <w:tmpl w:val="FDC86572"/>
    <w:lvl w:ilvl="0" w:tplc="040C0003">
      <w:numFmt w:val="bullet"/>
      <w:lvlText w:val="-"/>
      <w:lvlJc w:val="left"/>
      <w:pPr>
        <w:ind w:left="360" w:hanging="360"/>
      </w:pPr>
      <w:rPr>
        <w:rFonts w:ascii="Verdana" w:eastAsia="Times New Roman" w:hAnsi="Verdana"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nsid w:val="34E156C3"/>
    <w:multiLevelType w:val="hybridMultilevel"/>
    <w:tmpl w:val="20665C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35EC6496"/>
    <w:multiLevelType w:val="hybridMultilevel"/>
    <w:tmpl w:val="E340AE42"/>
    <w:lvl w:ilvl="0" w:tplc="B64E8478">
      <w:start w:val="3"/>
      <w:numFmt w:val="bullet"/>
      <w:lvlText w:val="-"/>
      <w:lvlJc w:val="left"/>
      <w:pPr>
        <w:ind w:left="360" w:hanging="360"/>
      </w:pPr>
      <w:rPr>
        <w:rFonts w:ascii="Times New Roman" w:eastAsiaTheme="minorHAnsi" w:hAnsi="Times New Roman" w:cs="Times New Roman" w:hint="default"/>
      </w:rPr>
    </w:lvl>
    <w:lvl w:ilvl="1" w:tplc="B64E8478">
      <w:start w:val="3"/>
      <w:numFmt w:val="bullet"/>
      <w:lvlText w:val="-"/>
      <w:lvlJc w:val="left"/>
      <w:pPr>
        <w:ind w:left="1080" w:hanging="360"/>
      </w:pPr>
      <w:rPr>
        <w:rFonts w:ascii="Times New Roman" w:eastAsiaTheme="minorHAnsi" w:hAnsi="Times New Roman" w:cs="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nsid w:val="37BD12D7"/>
    <w:multiLevelType w:val="hybridMultilevel"/>
    <w:tmpl w:val="F95847E4"/>
    <w:lvl w:ilvl="0" w:tplc="3F481682">
      <w:start w:val="2"/>
      <w:numFmt w:val="bullet"/>
      <w:lvlText w:val="-"/>
      <w:lvlJc w:val="left"/>
      <w:pPr>
        <w:ind w:left="340" w:hanging="340"/>
      </w:pPr>
      <w:rPr>
        <w:rFonts w:ascii="Times New Roman" w:eastAsia="Times New Roman" w:hAnsi="Times New Roman" w:cs="Times New Roman" w:hint="default"/>
      </w:rPr>
    </w:lvl>
    <w:lvl w:ilvl="1" w:tplc="040C0003">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5">
    <w:nsid w:val="37E9164E"/>
    <w:multiLevelType w:val="hybridMultilevel"/>
    <w:tmpl w:val="D744075C"/>
    <w:lvl w:ilvl="0" w:tplc="5B3ED120">
      <w:start w:val="2"/>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nsid w:val="3A1920DE"/>
    <w:multiLevelType w:val="hybridMultilevel"/>
    <w:tmpl w:val="334067CC"/>
    <w:lvl w:ilvl="0" w:tplc="2AF68F12">
      <w:start w:val="1"/>
      <w:numFmt w:val="decimal"/>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3B560EAA"/>
    <w:multiLevelType w:val="hybridMultilevel"/>
    <w:tmpl w:val="A86E335A"/>
    <w:lvl w:ilvl="0" w:tplc="FC04D690">
      <w:start w:val="2"/>
      <w:numFmt w:val="bullet"/>
      <w:lvlText w:val=""/>
      <w:lvlJc w:val="left"/>
      <w:pPr>
        <w:tabs>
          <w:tab w:val="num" w:pos="360"/>
        </w:tabs>
        <w:ind w:left="360" w:hanging="360"/>
      </w:pPr>
      <w:rPr>
        <w:rFonts w:ascii="Symbol" w:eastAsiaTheme="minorHAnsi" w:hAnsi="Symbol" w:cs="Times New Roman" w:hint="default"/>
      </w:rPr>
    </w:lvl>
    <w:lvl w:ilvl="1" w:tplc="4D3A140A" w:tentative="1">
      <w:start w:val="1"/>
      <w:numFmt w:val="bullet"/>
      <w:lvlText w:val=""/>
      <w:lvlJc w:val="left"/>
      <w:pPr>
        <w:tabs>
          <w:tab w:val="num" w:pos="1080"/>
        </w:tabs>
        <w:ind w:left="1080" w:hanging="360"/>
      </w:pPr>
      <w:rPr>
        <w:rFonts w:ascii="Wingdings" w:hAnsi="Wingdings" w:hint="default"/>
      </w:rPr>
    </w:lvl>
    <w:lvl w:ilvl="2" w:tplc="0C800828" w:tentative="1">
      <w:start w:val="1"/>
      <w:numFmt w:val="bullet"/>
      <w:lvlText w:val=""/>
      <w:lvlJc w:val="left"/>
      <w:pPr>
        <w:tabs>
          <w:tab w:val="num" w:pos="1800"/>
        </w:tabs>
        <w:ind w:left="1800" w:hanging="360"/>
      </w:pPr>
      <w:rPr>
        <w:rFonts w:ascii="Wingdings" w:hAnsi="Wingdings" w:hint="default"/>
      </w:rPr>
    </w:lvl>
    <w:lvl w:ilvl="3" w:tplc="62A018A6" w:tentative="1">
      <w:start w:val="1"/>
      <w:numFmt w:val="bullet"/>
      <w:lvlText w:val=""/>
      <w:lvlJc w:val="left"/>
      <w:pPr>
        <w:tabs>
          <w:tab w:val="num" w:pos="2520"/>
        </w:tabs>
        <w:ind w:left="2520" w:hanging="360"/>
      </w:pPr>
      <w:rPr>
        <w:rFonts w:ascii="Wingdings" w:hAnsi="Wingdings" w:hint="default"/>
      </w:rPr>
    </w:lvl>
    <w:lvl w:ilvl="4" w:tplc="DA6CDE68" w:tentative="1">
      <w:start w:val="1"/>
      <w:numFmt w:val="bullet"/>
      <w:lvlText w:val=""/>
      <w:lvlJc w:val="left"/>
      <w:pPr>
        <w:tabs>
          <w:tab w:val="num" w:pos="3240"/>
        </w:tabs>
        <w:ind w:left="3240" w:hanging="360"/>
      </w:pPr>
      <w:rPr>
        <w:rFonts w:ascii="Wingdings" w:hAnsi="Wingdings" w:hint="default"/>
      </w:rPr>
    </w:lvl>
    <w:lvl w:ilvl="5" w:tplc="F302262C" w:tentative="1">
      <w:start w:val="1"/>
      <w:numFmt w:val="bullet"/>
      <w:lvlText w:val=""/>
      <w:lvlJc w:val="left"/>
      <w:pPr>
        <w:tabs>
          <w:tab w:val="num" w:pos="3960"/>
        </w:tabs>
        <w:ind w:left="3960" w:hanging="360"/>
      </w:pPr>
      <w:rPr>
        <w:rFonts w:ascii="Wingdings" w:hAnsi="Wingdings" w:hint="default"/>
      </w:rPr>
    </w:lvl>
    <w:lvl w:ilvl="6" w:tplc="B1F6C884" w:tentative="1">
      <w:start w:val="1"/>
      <w:numFmt w:val="bullet"/>
      <w:lvlText w:val=""/>
      <w:lvlJc w:val="left"/>
      <w:pPr>
        <w:tabs>
          <w:tab w:val="num" w:pos="4680"/>
        </w:tabs>
        <w:ind w:left="4680" w:hanging="360"/>
      </w:pPr>
      <w:rPr>
        <w:rFonts w:ascii="Wingdings" w:hAnsi="Wingdings" w:hint="default"/>
      </w:rPr>
    </w:lvl>
    <w:lvl w:ilvl="7" w:tplc="180030C4" w:tentative="1">
      <w:start w:val="1"/>
      <w:numFmt w:val="bullet"/>
      <w:lvlText w:val=""/>
      <w:lvlJc w:val="left"/>
      <w:pPr>
        <w:tabs>
          <w:tab w:val="num" w:pos="5400"/>
        </w:tabs>
        <w:ind w:left="5400" w:hanging="360"/>
      </w:pPr>
      <w:rPr>
        <w:rFonts w:ascii="Wingdings" w:hAnsi="Wingdings" w:hint="default"/>
      </w:rPr>
    </w:lvl>
    <w:lvl w:ilvl="8" w:tplc="164CCC74" w:tentative="1">
      <w:start w:val="1"/>
      <w:numFmt w:val="bullet"/>
      <w:lvlText w:val=""/>
      <w:lvlJc w:val="left"/>
      <w:pPr>
        <w:tabs>
          <w:tab w:val="num" w:pos="6120"/>
        </w:tabs>
        <w:ind w:left="6120" w:hanging="360"/>
      </w:pPr>
      <w:rPr>
        <w:rFonts w:ascii="Wingdings" w:hAnsi="Wingdings" w:hint="default"/>
      </w:rPr>
    </w:lvl>
  </w:abstractNum>
  <w:abstractNum w:abstractNumId="38">
    <w:nsid w:val="3B822EEA"/>
    <w:multiLevelType w:val="hybridMultilevel"/>
    <w:tmpl w:val="2D080D82"/>
    <w:lvl w:ilvl="0" w:tplc="4A3A0A98">
      <w:start w:val="2"/>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nsid w:val="3C216BDD"/>
    <w:multiLevelType w:val="hybridMultilevel"/>
    <w:tmpl w:val="17AA28AA"/>
    <w:lvl w:ilvl="0" w:tplc="E52435EC">
      <w:start w:val="1"/>
      <w:numFmt w:val="bullet"/>
      <w:suff w:val="space"/>
      <w:lvlText w:val=""/>
      <w:lvlJc w:val="left"/>
      <w:pPr>
        <w:ind w:left="1077" w:hanging="1077"/>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40">
    <w:nsid w:val="3DDD0C17"/>
    <w:multiLevelType w:val="hybridMultilevel"/>
    <w:tmpl w:val="10FCD718"/>
    <w:lvl w:ilvl="0" w:tplc="C1D23026">
      <w:start w:val="2"/>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nsid w:val="3EE06770"/>
    <w:multiLevelType w:val="hybridMultilevel"/>
    <w:tmpl w:val="102AA1F0"/>
    <w:lvl w:ilvl="0" w:tplc="06E8720E">
      <w:start w:val="5"/>
      <w:numFmt w:val="bullet"/>
      <w:lvlText w:val="-"/>
      <w:lvlJc w:val="left"/>
      <w:pPr>
        <w:ind w:left="720" w:hanging="360"/>
      </w:pPr>
      <w:rPr>
        <w:rFonts w:ascii="Times New Roman" w:eastAsia="Times New Roman" w:hAnsi="Times New Roman" w:cs="Times New Roman" w:hint="default"/>
        <w:lang w:val="en-US"/>
      </w:rPr>
    </w:lvl>
    <w:lvl w:ilvl="1" w:tplc="FF120102" w:tentative="1">
      <w:start w:val="1"/>
      <w:numFmt w:val="bullet"/>
      <w:lvlText w:val="o"/>
      <w:lvlJc w:val="left"/>
      <w:pPr>
        <w:ind w:left="1440" w:hanging="360"/>
      </w:pPr>
      <w:rPr>
        <w:rFonts w:ascii="Courier New" w:hAnsi="Courier New" w:cs="Courier New" w:hint="default"/>
      </w:rPr>
    </w:lvl>
    <w:lvl w:ilvl="2" w:tplc="151C15AC" w:tentative="1">
      <w:start w:val="1"/>
      <w:numFmt w:val="bullet"/>
      <w:lvlText w:val=""/>
      <w:lvlJc w:val="left"/>
      <w:pPr>
        <w:ind w:left="2160" w:hanging="360"/>
      </w:pPr>
      <w:rPr>
        <w:rFonts w:ascii="Wingdings" w:hAnsi="Wingdings" w:hint="default"/>
      </w:rPr>
    </w:lvl>
    <w:lvl w:ilvl="3" w:tplc="C774649C" w:tentative="1">
      <w:start w:val="1"/>
      <w:numFmt w:val="bullet"/>
      <w:lvlText w:val=""/>
      <w:lvlJc w:val="left"/>
      <w:pPr>
        <w:ind w:left="2880" w:hanging="360"/>
      </w:pPr>
      <w:rPr>
        <w:rFonts w:ascii="Symbol" w:hAnsi="Symbol" w:hint="default"/>
      </w:rPr>
    </w:lvl>
    <w:lvl w:ilvl="4" w:tplc="1D1E70BA" w:tentative="1">
      <w:start w:val="1"/>
      <w:numFmt w:val="bullet"/>
      <w:lvlText w:val="o"/>
      <w:lvlJc w:val="left"/>
      <w:pPr>
        <w:ind w:left="3600" w:hanging="360"/>
      </w:pPr>
      <w:rPr>
        <w:rFonts w:ascii="Courier New" w:hAnsi="Courier New" w:cs="Courier New" w:hint="default"/>
      </w:rPr>
    </w:lvl>
    <w:lvl w:ilvl="5" w:tplc="EE8C0B22" w:tentative="1">
      <w:start w:val="1"/>
      <w:numFmt w:val="bullet"/>
      <w:lvlText w:val=""/>
      <w:lvlJc w:val="left"/>
      <w:pPr>
        <w:ind w:left="4320" w:hanging="360"/>
      </w:pPr>
      <w:rPr>
        <w:rFonts w:ascii="Wingdings" w:hAnsi="Wingdings" w:hint="default"/>
      </w:rPr>
    </w:lvl>
    <w:lvl w:ilvl="6" w:tplc="535A27EE" w:tentative="1">
      <w:start w:val="1"/>
      <w:numFmt w:val="bullet"/>
      <w:lvlText w:val=""/>
      <w:lvlJc w:val="left"/>
      <w:pPr>
        <w:ind w:left="5040" w:hanging="360"/>
      </w:pPr>
      <w:rPr>
        <w:rFonts w:ascii="Symbol" w:hAnsi="Symbol" w:hint="default"/>
      </w:rPr>
    </w:lvl>
    <w:lvl w:ilvl="7" w:tplc="304AE1FE" w:tentative="1">
      <w:start w:val="1"/>
      <w:numFmt w:val="bullet"/>
      <w:lvlText w:val="o"/>
      <w:lvlJc w:val="left"/>
      <w:pPr>
        <w:ind w:left="5760" w:hanging="360"/>
      </w:pPr>
      <w:rPr>
        <w:rFonts w:ascii="Courier New" w:hAnsi="Courier New" w:cs="Courier New" w:hint="default"/>
      </w:rPr>
    </w:lvl>
    <w:lvl w:ilvl="8" w:tplc="6CF4683C" w:tentative="1">
      <w:start w:val="1"/>
      <w:numFmt w:val="bullet"/>
      <w:lvlText w:val=""/>
      <w:lvlJc w:val="left"/>
      <w:pPr>
        <w:ind w:left="6480" w:hanging="360"/>
      </w:pPr>
      <w:rPr>
        <w:rFonts w:ascii="Wingdings" w:hAnsi="Wingdings" w:hint="default"/>
      </w:rPr>
    </w:lvl>
  </w:abstractNum>
  <w:abstractNum w:abstractNumId="42">
    <w:nsid w:val="40EF6013"/>
    <w:multiLevelType w:val="hybridMultilevel"/>
    <w:tmpl w:val="996E95A4"/>
    <w:lvl w:ilvl="0" w:tplc="49407C82">
      <w:start w:val="1"/>
      <w:numFmt w:val="bullet"/>
      <w:lvlText w:val="-"/>
      <w:lvlJc w:val="left"/>
      <w:pPr>
        <w:ind w:left="360" w:hanging="360"/>
      </w:pPr>
      <w:rPr>
        <w:rFonts w:ascii="Arial" w:eastAsia="Calibri" w:hAnsi="Arial" w:cs="Arial" w:hint="default"/>
        <w:lang w:val="fr-FR"/>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3">
    <w:nsid w:val="427843D9"/>
    <w:multiLevelType w:val="hybridMultilevel"/>
    <w:tmpl w:val="532E96F4"/>
    <w:lvl w:ilvl="0" w:tplc="C1D23026">
      <w:start w:val="2"/>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4">
    <w:nsid w:val="466E1B46"/>
    <w:multiLevelType w:val="hybridMultilevel"/>
    <w:tmpl w:val="F4C0234C"/>
    <w:lvl w:ilvl="0" w:tplc="A300E166">
      <w:start w:val="1"/>
      <w:numFmt w:val="bullet"/>
      <w:lvlText w:val=""/>
      <w:lvlJc w:val="left"/>
      <w:pPr>
        <w:ind w:left="360" w:hanging="360"/>
      </w:pPr>
      <w:rPr>
        <w:rFonts w:ascii="Symbol" w:hAnsi="Symbol" w:hint="default"/>
        <w:sz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5">
    <w:nsid w:val="48180382"/>
    <w:multiLevelType w:val="hybridMultilevel"/>
    <w:tmpl w:val="6566954E"/>
    <w:lvl w:ilvl="0" w:tplc="B64E8478">
      <w:start w:val="3"/>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6">
    <w:nsid w:val="481D5529"/>
    <w:multiLevelType w:val="hybridMultilevel"/>
    <w:tmpl w:val="B92E9B78"/>
    <w:lvl w:ilvl="0" w:tplc="5B3ED120">
      <w:start w:val="2"/>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7">
    <w:nsid w:val="4A781AC5"/>
    <w:multiLevelType w:val="hybridMultilevel"/>
    <w:tmpl w:val="14FC50EC"/>
    <w:lvl w:ilvl="0" w:tplc="1E585ABC">
      <w:start w:val="1"/>
      <w:numFmt w:val="bullet"/>
      <w:lvlText w:val="-"/>
      <w:lvlJc w:val="left"/>
      <w:pPr>
        <w:ind w:left="360" w:hanging="360"/>
      </w:pPr>
      <w:rPr>
        <w:rFonts w:ascii="Calibri" w:eastAsiaTheme="minorHAnsi" w:hAnsi="Calibri" w:cstheme="minorBidi" w:hint="default"/>
      </w:rPr>
    </w:lvl>
    <w:lvl w:ilvl="1" w:tplc="5B3ED120">
      <w:start w:val="2"/>
      <w:numFmt w:val="bullet"/>
      <w:lvlText w:val="-"/>
      <w:lvlJc w:val="left"/>
      <w:pPr>
        <w:ind w:left="1080" w:hanging="360"/>
      </w:pPr>
      <w:rPr>
        <w:rFonts w:ascii="Calibri" w:eastAsiaTheme="minorHAnsi" w:hAnsi="Calibri" w:cstheme="minorBid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8">
    <w:nsid w:val="4B2768EA"/>
    <w:multiLevelType w:val="hybridMultilevel"/>
    <w:tmpl w:val="00E80F80"/>
    <w:lvl w:ilvl="0" w:tplc="040C000B">
      <w:start w:val="1"/>
      <w:numFmt w:val="bullet"/>
      <w:lvlText w:val=""/>
      <w:lvlJc w:val="left"/>
      <w:pPr>
        <w:ind w:left="1004" w:hanging="360"/>
      </w:pPr>
      <w:rPr>
        <w:rFonts w:ascii="Wingdings" w:hAnsi="Wingdings" w:hint="default"/>
        <w:color w:val="auto"/>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9">
    <w:nsid w:val="4B6E10F1"/>
    <w:multiLevelType w:val="hybridMultilevel"/>
    <w:tmpl w:val="6032DEB6"/>
    <w:lvl w:ilvl="0" w:tplc="58147C7E">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0">
    <w:nsid w:val="4C7034D8"/>
    <w:multiLevelType w:val="hybridMultilevel"/>
    <w:tmpl w:val="F800A158"/>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51">
    <w:nsid w:val="4D807D44"/>
    <w:multiLevelType w:val="hybridMultilevel"/>
    <w:tmpl w:val="CE34405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2">
    <w:nsid w:val="4EBC393D"/>
    <w:multiLevelType w:val="hybridMultilevel"/>
    <w:tmpl w:val="31BEB444"/>
    <w:lvl w:ilvl="0" w:tplc="B64E8478">
      <w:start w:val="3"/>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3">
    <w:nsid w:val="4F3F7A61"/>
    <w:multiLevelType w:val="hybridMultilevel"/>
    <w:tmpl w:val="68840BE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4">
    <w:nsid w:val="5354722A"/>
    <w:multiLevelType w:val="hybridMultilevel"/>
    <w:tmpl w:val="DBB65A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nsid w:val="53D7319C"/>
    <w:multiLevelType w:val="hybridMultilevel"/>
    <w:tmpl w:val="DD0CD62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6">
    <w:nsid w:val="545E577B"/>
    <w:multiLevelType w:val="hybridMultilevel"/>
    <w:tmpl w:val="FEC68E4E"/>
    <w:lvl w:ilvl="0" w:tplc="FC04D690">
      <w:start w:val="2"/>
      <w:numFmt w:val="bullet"/>
      <w:lvlText w:val=""/>
      <w:lvlJc w:val="left"/>
      <w:pPr>
        <w:tabs>
          <w:tab w:val="num" w:pos="360"/>
        </w:tabs>
        <w:ind w:left="360" w:hanging="360"/>
      </w:pPr>
      <w:rPr>
        <w:rFonts w:ascii="Symbol" w:eastAsiaTheme="minorHAnsi" w:hAnsi="Symbol" w:cs="Times New Roman" w:hint="default"/>
      </w:rPr>
    </w:lvl>
    <w:lvl w:ilvl="1" w:tplc="C466F788" w:tentative="1">
      <w:start w:val="1"/>
      <w:numFmt w:val="bullet"/>
      <w:lvlText w:val=""/>
      <w:lvlJc w:val="left"/>
      <w:pPr>
        <w:tabs>
          <w:tab w:val="num" w:pos="1080"/>
        </w:tabs>
        <w:ind w:left="1080" w:hanging="360"/>
      </w:pPr>
      <w:rPr>
        <w:rFonts w:ascii="Wingdings" w:hAnsi="Wingdings" w:hint="default"/>
      </w:rPr>
    </w:lvl>
    <w:lvl w:ilvl="2" w:tplc="B724548C" w:tentative="1">
      <w:start w:val="1"/>
      <w:numFmt w:val="bullet"/>
      <w:lvlText w:val=""/>
      <w:lvlJc w:val="left"/>
      <w:pPr>
        <w:tabs>
          <w:tab w:val="num" w:pos="1800"/>
        </w:tabs>
        <w:ind w:left="1800" w:hanging="360"/>
      </w:pPr>
      <w:rPr>
        <w:rFonts w:ascii="Wingdings" w:hAnsi="Wingdings" w:hint="default"/>
      </w:rPr>
    </w:lvl>
    <w:lvl w:ilvl="3" w:tplc="0E4AAE5E" w:tentative="1">
      <w:start w:val="1"/>
      <w:numFmt w:val="bullet"/>
      <w:lvlText w:val=""/>
      <w:lvlJc w:val="left"/>
      <w:pPr>
        <w:tabs>
          <w:tab w:val="num" w:pos="2520"/>
        </w:tabs>
        <w:ind w:left="2520" w:hanging="360"/>
      </w:pPr>
      <w:rPr>
        <w:rFonts w:ascii="Wingdings" w:hAnsi="Wingdings" w:hint="default"/>
      </w:rPr>
    </w:lvl>
    <w:lvl w:ilvl="4" w:tplc="F634DBB2" w:tentative="1">
      <w:start w:val="1"/>
      <w:numFmt w:val="bullet"/>
      <w:lvlText w:val=""/>
      <w:lvlJc w:val="left"/>
      <w:pPr>
        <w:tabs>
          <w:tab w:val="num" w:pos="3240"/>
        </w:tabs>
        <w:ind w:left="3240" w:hanging="360"/>
      </w:pPr>
      <w:rPr>
        <w:rFonts w:ascii="Wingdings" w:hAnsi="Wingdings" w:hint="default"/>
      </w:rPr>
    </w:lvl>
    <w:lvl w:ilvl="5" w:tplc="BB6A5D76" w:tentative="1">
      <w:start w:val="1"/>
      <w:numFmt w:val="bullet"/>
      <w:lvlText w:val=""/>
      <w:lvlJc w:val="left"/>
      <w:pPr>
        <w:tabs>
          <w:tab w:val="num" w:pos="3960"/>
        </w:tabs>
        <w:ind w:left="3960" w:hanging="360"/>
      </w:pPr>
      <w:rPr>
        <w:rFonts w:ascii="Wingdings" w:hAnsi="Wingdings" w:hint="default"/>
      </w:rPr>
    </w:lvl>
    <w:lvl w:ilvl="6" w:tplc="E5822770" w:tentative="1">
      <w:start w:val="1"/>
      <w:numFmt w:val="bullet"/>
      <w:lvlText w:val=""/>
      <w:lvlJc w:val="left"/>
      <w:pPr>
        <w:tabs>
          <w:tab w:val="num" w:pos="4680"/>
        </w:tabs>
        <w:ind w:left="4680" w:hanging="360"/>
      </w:pPr>
      <w:rPr>
        <w:rFonts w:ascii="Wingdings" w:hAnsi="Wingdings" w:hint="default"/>
      </w:rPr>
    </w:lvl>
    <w:lvl w:ilvl="7" w:tplc="7CD4479A" w:tentative="1">
      <w:start w:val="1"/>
      <w:numFmt w:val="bullet"/>
      <w:lvlText w:val=""/>
      <w:lvlJc w:val="left"/>
      <w:pPr>
        <w:tabs>
          <w:tab w:val="num" w:pos="5400"/>
        </w:tabs>
        <w:ind w:left="5400" w:hanging="360"/>
      </w:pPr>
      <w:rPr>
        <w:rFonts w:ascii="Wingdings" w:hAnsi="Wingdings" w:hint="default"/>
      </w:rPr>
    </w:lvl>
    <w:lvl w:ilvl="8" w:tplc="2CAC4C48" w:tentative="1">
      <w:start w:val="1"/>
      <w:numFmt w:val="bullet"/>
      <w:lvlText w:val=""/>
      <w:lvlJc w:val="left"/>
      <w:pPr>
        <w:tabs>
          <w:tab w:val="num" w:pos="6120"/>
        </w:tabs>
        <w:ind w:left="6120" w:hanging="360"/>
      </w:pPr>
      <w:rPr>
        <w:rFonts w:ascii="Wingdings" w:hAnsi="Wingdings" w:hint="default"/>
      </w:rPr>
    </w:lvl>
  </w:abstractNum>
  <w:abstractNum w:abstractNumId="57">
    <w:nsid w:val="54C1487B"/>
    <w:multiLevelType w:val="hybridMultilevel"/>
    <w:tmpl w:val="B92E9B78"/>
    <w:lvl w:ilvl="0" w:tplc="5B3ED120">
      <w:start w:val="2"/>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8">
    <w:nsid w:val="571638D4"/>
    <w:multiLevelType w:val="hybridMultilevel"/>
    <w:tmpl w:val="FBFA6578"/>
    <w:lvl w:ilvl="0" w:tplc="040C000F">
      <w:start w:val="1"/>
      <w:numFmt w:val="decimal"/>
      <w:lvlText w:val="%1."/>
      <w:lvlJc w:val="left"/>
      <w:pPr>
        <w:ind w:left="360" w:hanging="360"/>
      </w:pPr>
      <w:rPr>
        <w:rFonts w:cs="Times New Roman" w:hint="default"/>
      </w:rPr>
    </w:lvl>
    <w:lvl w:ilvl="1" w:tplc="040C0019">
      <w:start w:val="1"/>
      <w:numFmt w:val="lowerLetter"/>
      <w:lvlText w:val="%2."/>
      <w:lvlJc w:val="left"/>
      <w:pPr>
        <w:ind w:left="1080" w:hanging="360"/>
      </w:pPr>
      <w:rPr>
        <w:rFonts w:cs="Times New Roman"/>
      </w:rPr>
    </w:lvl>
    <w:lvl w:ilvl="2" w:tplc="040C001B">
      <w:start w:val="1"/>
      <w:numFmt w:val="lowerRoman"/>
      <w:lvlText w:val="%3."/>
      <w:lvlJc w:val="right"/>
      <w:pPr>
        <w:ind w:left="1800" w:hanging="180"/>
      </w:pPr>
      <w:rPr>
        <w:rFonts w:cs="Times New Roman"/>
      </w:rPr>
    </w:lvl>
    <w:lvl w:ilvl="3" w:tplc="040C000F">
      <w:start w:val="1"/>
      <w:numFmt w:val="decimal"/>
      <w:lvlText w:val="%4."/>
      <w:lvlJc w:val="left"/>
      <w:pPr>
        <w:ind w:left="2520" w:hanging="360"/>
      </w:pPr>
      <w:rPr>
        <w:rFonts w:cs="Times New Roman"/>
      </w:rPr>
    </w:lvl>
    <w:lvl w:ilvl="4" w:tplc="040C0019">
      <w:start w:val="1"/>
      <w:numFmt w:val="lowerLetter"/>
      <w:lvlText w:val="%5."/>
      <w:lvlJc w:val="left"/>
      <w:pPr>
        <w:ind w:left="3240" w:hanging="360"/>
      </w:pPr>
      <w:rPr>
        <w:rFonts w:cs="Times New Roman"/>
      </w:rPr>
    </w:lvl>
    <w:lvl w:ilvl="5" w:tplc="040C001B">
      <w:start w:val="1"/>
      <w:numFmt w:val="lowerRoman"/>
      <w:lvlText w:val="%6."/>
      <w:lvlJc w:val="right"/>
      <w:pPr>
        <w:ind w:left="3960" w:hanging="180"/>
      </w:pPr>
      <w:rPr>
        <w:rFonts w:cs="Times New Roman"/>
      </w:rPr>
    </w:lvl>
    <w:lvl w:ilvl="6" w:tplc="040C000F">
      <w:start w:val="1"/>
      <w:numFmt w:val="decimal"/>
      <w:lvlText w:val="%7."/>
      <w:lvlJc w:val="left"/>
      <w:pPr>
        <w:ind w:left="4680" w:hanging="360"/>
      </w:pPr>
      <w:rPr>
        <w:rFonts w:cs="Times New Roman"/>
      </w:rPr>
    </w:lvl>
    <w:lvl w:ilvl="7" w:tplc="040C0019">
      <w:start w:val="1"/>
      <w:numFmt w:val="lowerLetter"/>
      <w:lvlText w:val="%8."/>
      <w:lvlJc w:val="left"/>
      <w:pPr>
        <w:ind w:left="5400" w:hanging="360"/>
      </w:pPr>
      <w:rPr>
        <w:rFonts w:cs="Times New Roman"/>
      </w:rPr>
    </w:lvl>
    <w:lvl w:ilvl="8" w:tplc="040C001B">
      <w:start w:val="1"/>
      <w:numFmt w:val="lowerRoman"/>
      <w:lvlText w:val="%9."/>
      <w:lvlJc w:val="right"/>
      <w:pPr>
        <w:ind w:left="6120" w:hanging="180"/>
      </w:pPr>
      <w:rPr>
        <w:rFonts w:cs="Times New Roman"/>
      </w:rPr>
    </w:lvl>
  </w:abstractNum>
  <w:abstractNum w:abstractNumId="59">
    <w:nsid w:val="588524D8"/>
    <w:multiLevelType w:val="hybridMultilevel"/>
    <w:tmpl w:val="BC28C4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nsid w:val="59642D23"/>
    <w:multiLevelType w:val="hybridMultilevel"/>
    <w:tmpl w:val="64DA94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nsid w:val="5A94351D"/>
    <w:multiLevelType w:val="hybridMultilevel"/>
    <w:tmpl w:val="8CCE4208"/>
    <w:lvl w:ilvl="0" w:tplc="C1D23026">
      <w:start w:val="2"/>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2">
    <w:nsid w:val="5E053598"/>
    <w:multiLevelType w:val="hybridMultilevel"/>
    <w:tmpl w:val="4CD28286"/>
    <w:lvl w:ilvl="0" w:tplc="06E8720E">
      <w:start w:val="5"/>
      <w:numFmt w:val="bullet"/>
      <w:lvlText w:val="-"/>
      <w:lvlJc w:val="left"/>
      <w:pPr>
        <w:ind w:left="360" w:hanging="360"/>
      </w:pPr>
      <w:rPr>
        <w:rFonts w:ascii="Times New Roman" w:eastAsia="Times New Roman" w:hAnsi="Times New Roman" w:cs="Times New Roman" w:hint="default"/>
        <w:lang w:val="en-US"/>
      </w:rPr>
    </w:lvl>
    <w:lvl w:ilvl="1" w:tplc="106EC656">
      <w:start w:val="1"/>
      <w:numFmt w:val="bullet"/>
      <w:lvlText w:val=""/>
      <w:lvlJc w:val="left"/>
      <w:pPr>
        <w:ind w:left="108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3">
    <w:nsid w:val="5EA700CC"/>
    <w:multiLevelType w:val="hybridMultilevel"/>
    <w:tmpl w:val="3A566186"/>
    <w:lvl w:ilvl="0" w:tplc="B64E8478">
      <w:start w:val="3"/>
      <w:numFmt w:val="bullet"/>
      <w:lvlText w:val="-"/>
      <w:lvlJc w:val="left"/>
      <w:pPr>
        <w:ind w:left="360" w:hanging="360"/>
      </w:pPr>
      <w:rPr>
        <w:rFonts w:ascii="Times New Roman" w:eastAsiaTheme="minorHAnsi" w:hAnsi="Times New Roman" w:cs="Times New Roman" w:hint="default"/>
      </w:rPr>
    </w:lvl>
    <w:lvl w:ilvl="1" w:tplc="B64E8478">
      <w:start w:val="3"/>
      <w:numFmt w:val="bullet"/>
      <w:lvlText w:val="-"/>
      <w:lvlJc w:val="left"/>
      <w:pPr>
        <w:ind w:left="1080" w:hanging="360"/>
      </w:pPr>
      <w:rPr>
        <w:rFonts w:ascii="Times New Roman" w:eastAsiaTheme="minorHAnsi" w:hAnsi="Times New Roman" w:cs="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4">
    <w:nsid w:val="5F017007"/>
    <w:multiLevelType w:val="hybridMultilevel"/>
    <w:tmpl w:val="C05C1B6E"/>
    <w:lvl w:ilvl="0" w:tplc="4A3A0A98">
      <w:start w:val="2"/>
      <w:numFmt w:val="bullet"/>
      <w:lvlText w:val="-"/>
      <w:lvlJc w:val="left"/>
      <w:pPr>
        <w:ind w:left="360" w:hanging="360"/>
      </w:pPr>
      <w:rPr>
        <w:rFonts w:ascii="Times New Roman" w:eastAsia="Times New Roman" w:hAnsi="Times New Roman" w:cs="Times New Roman" w:hint="default"/>
        <w:color w:val="auto"/>
      </w:rPr>
    </w:lvl>
    <w:lvl w:ilvl="1" w:tplc="FF04C9B8" w:tentative="1">
      <w:start w:val="1"/>
      <w:numFmt w:val="bullet"/>
      <w:lvlText w:val="o"/>
      <w:lvlJc w:val="left"/>
      <w:pPr>
        <w:ind w:left="1080" w:hanging="360"/>
      </w:pPr>
      <w:rPr>
        <w:rFonts w:ascii="Courier New" w:hAnsi="Courier New" w:cs="Courier New" w:hint="default"/>
      </w:rPr>
    </w:lvl>
    <w:lvl w:ilvl="2" w:tplc="37D0AD5A" w:tentative="1">
      <w:start w:val="1"/>
      <w:numFmt w:val="bullet"/>
      <w:lvlText w:val=""/>
      <w:lvlJc w:val="left"/>
      <w:pPr>
        <w:ind w:left="1800" w:hanging="360"/>
      </w:pPr>
      <w:rPr>
        <w:rFonts w:ascii="Wingdings" w:hAnsi="Wingdings" w:hint="default"/>
      </w:rPr>
    </w:lvl>
    <w:lvl w:ilvl="3" w:tplc="DF0A2E8A" w:tentative="1">
      <w:start w:val="1"/>
      <w:numFmt w:val="bullet"/>
      <w:lvlText w:val=""/>
      <w:lvlJc w:val="left"/>
      <w:pPr>
        <w:ind w:left="2520" w:hanging="360"/>
      </w:pPr>
      <w:rPr>
        <w:rFonts w:ascii="Symbol" w:hAnsi="Symbol" w:hint="default"/>
      </w:rPr>
    </w:lvl>
    <w:lvl w:ilvl="4" w:tplc="BF42D328" w:tentative="1">
      <w:start w:val="1"/>
      <w:numFmt w:val="bullet"/>
      <w:lvlText w:val="o"/>
      <w:lvlJc w:val="left"/>
      <w:pPr>
        <w:ind w:left="3240" w:hanging="360"/>
      </w:pPr>
      <w:rPr>
        <w:rFonts w:ascii="Courier New" w:hAnsi="Courier New" w:cs="Courier New" w:hint="default"/>
      </w:rPr>
    </w:lvl>
    <w:lvl w:ilvl="5" w:tplc="5CDE2536" w:tentative="1">
      <w:start w:val="1"/>
      <w:numFmt w:val="bullet"/>
      <w:lvlText w:val=""/>
      <w:lvlJc w:val="left"/>
      <w:pPr>
        <w:ind w:left="3960" w:hanging="360"/>
      </w:pPr>
      <w:rPr>
        <w:rFonts w:ascii="Wingdings" w:hAnsi="Wingdings" w:hint="default"/>
      </w:rPr>
    </w:lvl>
    <w:lvl w:ilvl="6" w:tplc="0EC02D14" w:tentative="1">
      <w:start w:val="1"/>
      <w:numFmt w:val="bullet"/>
      <w:lvlText w:val=""/>
      <w:lvlJc w:val="left"/>
      <w:pPr>
        <w:ind w:left="4680" w:hanging="360"/>
      </w:pPr>
      <w:rPr>
        <w:rFonts w:ascii="Symbol" w:hAnsi="Symbol" w:hint="default"/>
      </w:rPr>
    </w:lvl>
    <w:lvl w:ilvl="7" w:tplc="D3BC82E4" w:tentative="1">
      <w:start w:val="1"/>
      <w:numFmt w:val="bullet"/>
      <w:lvlText w:val="o"/>
      <w:lvlJc w:val="left"/>
      <w:pPr>
        <w:ind w:left="5400" w:hanging="360"/>
      </w:pPr>
      <w:rPr>
        <w:rFonts w:ascii="Courier New" w:hAnsi="Courier New" w:cs="Courier New" w:hint="default"/>
      </w:rPr>
    </w:lvl>
    <w:lvl w:ilvl="8" w:tplc="C29EB518" w:tentative="1">
      <w:start w:val="1"/>
      <w:numFmt w:val="bullet"/>
      <w:lvlText w:val=""/>
      <w:lvlJc w:val="left"/>
      <w:pPr>
        <w:ind w:left="6120" w:hanging="360"/>
      </w:pPr>
      <w:rPr>
        <w:rFonts w:ascii="Wingdings" w:hAnsi="Wingdings" w:hint="default"/>
      </w:rPr>
    </w:lvl>
  </w:abstractNum>
  <w:abstractNum w:abstractNumId="65">
    <w:nsid w:val="61216EA4"/>
    <w:multiLevelType w:val="hybridMultilevel"/>
    <w:tmpl w:val="CB66801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6">
    <w:nsid w:val="61C05538"/>
    <w:multiLevelType w:val="hybridMultilevel"/>
    <w:tmpl w:val="02E2F9F6"/>
    <w:lvl w:ilvl="0" w:tplc="040C0001">
      <w:start w:val="1"/>
      <w:numFmt w:val="bullet"/>
      <w:lvlText w:val=""/>
      <w:lvlJc w:val="left"/>
      <w:pPr>
        <w:tabs>
          <w:tab w:val="num" w:pos="720"/>
        </w:tabs>
        <w:ind w:left="720" w:hanging="360"/>
      </w:pPr>
      <w:rPr>
        <w:rFonts w:ascii="Symbol" w:hAnsi="Symbol" w:hint="default"/>
      </w:rPr>
    </w:lvl>
    <w:lvl w:ilvl="1" w:tplc="040C0019">
      <w:start w:val="1"/>
      <w:numFmt w:val="bullet"/>
      <w:lvlText w:val=""/>
      <w:lvlJc w:val="left"/>
      <w:pPr>
        <w:tabs>
          <w:tab w:val="num" w:pos="1443"/>
        </w:tabs>
        <w:ind w:left="1443" w:hanging="363"/>
      </w:pPr>
      <w:rPr>
        <w:rFonts w:ascii="Wingdings" w:hAnsi="Wingdings"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cs="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cs="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67">
    <w:nsid w:val="639E0214"/>
    <w:multiLevelType w:val="hybridMultilevel"/>
    <w:tmpl w:val="E90E4F76"/>
    <w:lvl w:ilvl="0" w:tplc="DBF040D8">
      <w:start w:val="1"/>
      <w:numFmt w:val="bullet"/>
      <w:lvlText w:val="-"/>
      <w:lvlJc w:val="left"/>
      <w:pPr>
        <w:ind w:left="360" w:hanging="360"/>
      </w:pPr>
      <w:rPr>
        <w:rFonts w:ascii="Times New Roman" w:eastAsia="Times New Roman" w:hAnsi="Times New Roman" w:hint="default"/>
      </w:rPr>
    </w:lvl>
    <w:lvl w:ilvl="1" w:tplc="040C0003">
      <w:start w:val="1"/>
      <w:numFmt w:val="bullet"/>
      <w:lvlText w:val="o"/>
      <w:lvlJc w:val="left"/>
      <w:pPr>
        <w:ind w:left="1080" w:hanging="360"/>
      </w:pPr>
      <w:rPr>
        <w:rFonts w:ascii="Courier New" w:hAnsi="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hint="default"/>
      </w:rPr>
    </w:lvl>
    <w:lvl w:ilvl="8" w:tplc="040C0005">
      <w:start w:val="1"/>
      <w:numFmt w:val="bullet"/>
      <w:lvlText w:val=""/>
      <w:lvlJc w:val="left"/>
      <w:pPr>
        <w:ind w:left="6120" w:hanging="360"/>
      </w:pPr>
      <w:rPr>
        <w:rFonts w:ascii="Wingdings" w:hAnsi="Wingdings" w:hint="default"/>
      </w:rPr>
    </w:lvl>
  </w:abstractNum>
  <w:abstractNum w:abstractNumId="68">
    <w:nsid w:val="64E74209"/>
    <w:multiLevelType w:val="hybridMultilevel"/>
    <w:tmpl w:val="3110B4EA"/>
    <w:lvl w:ilvl="0" w:tplc="0C22B9A0">
      <w:start w:val="1"/>
      <w:numFmt w:val="bullet"/>
      <w:lvlText w:val=""/>
      <w:lvlJc w:val="left"/>
      <w:pPr>
        <w:tabs>
          <w:tab w:val="num" w:pos="360"/>
        </w:tabs>
        <w:ind w:left="360" w:hanging="360"/>
      </w:pPr>
      <w:rPr>
        <w:rFonts w:ascii="Symbol" w:hAnsi="Symbol" w:hint="default"/>
        <w:sz w:val="24"/>
        <w:szCs w:val="24"/>
      </w:rPr>
    </w:lvl>
    <w:lvl w:ilvl="1" w:tplc="EFA0810E" w:tentative="1">
      <w:start w:val="1"/>
      <w:numFmt w:val="bullet"/>
      <w:lvlText w:val=""/>
      <w:lvlJc w:val="left"/>
      <w:pPr>
        <w:tabs>
          <w:tab w:val="num" w:pos="1080"/>
        </w:tabs>
        <w:ind w:left="1080" w:hanging="360"/>
      </w:pPr>
      <w:rPr>
        <w:rFonts w:ascii="Wingdings" w:hAnsi="Wingdings" w:hint="default"/>
      </w:rPr>
    </w:lvl>
    <w:lvl w:ilvl="2" w:tplc="8DD0D6FE" w:tentative="1">
      <w:start w:val="1"/>
      <w:numFmt w:val="bullet"/>
      <w:lvlText w:val=""/>
      <w:lvlJc w:val="left"/>
      <w:pPr>
        <w:tabs>
          <w:tab w:val="num" w:pos="1800"/>
        </w:tabs>
        <w:ind w:left="1800" w:hanging="360"/>
      </w:pPr>
      <w:rPr>
        <w:rFonts w:ascii="Wingdings" w:hAnsi="Wingdings" w:hint="default"/>
      </w:rPr>
    </w:lvl>
    <w:lvl w:ilvl="3" w:tplc="4EA6C704" w:tentative="1">
      <w:start w:val="1"/>
      <w:numFmt w:val="bullet"/>
      <w:lvlText w:val=""/>
      <w:lvlJc w:val="left"/>
      <w:pPr>
        <w:tabs>
          <w:tab w:val="num" w:pos="2520"/>
        </w:tabs>
        <w:ind w:left="2520" w:hanging="360"/>
      </w:pPr>
      <w:rPr>
        <w:rFonts w:ascii="Wingdings" w:hAnsi="Wingdings" w:hint="default"/>
      </w:rPr>
    </w:lvl>
    <w:lvl w:ilvl="4" w:tplc="6A220860" w:tentative="1">
      <w:start w:val="1"/>
      <w:numFmt w:val="bullet"/>
      <w:lvlText w:val=""/>
      <w:lvlJc w:val="left"/>
      <w:pPr>
        <w:tabs>
          <w:tab w:val="num" w:pos="3240"/>
        </w:tabs>
        <w:ind w:left="3240" w:hanging="360"/>
      </w:pPr>
      <w:rPr>
        <w:rFonts w:ascii="Wingdings" w:hAnsi="Wingdings" w:hint="default"/>
      </w:rPr>
    </w:lvl>
    <w:lvl w:ilvl="5" w:tplc="CD0A79B4" w:tentative="1">
      <w:start w:val="1"/>
      <w:numFmt w:val="bullet"/>
      <w:lvlText w:val=""/>
      <w:lvlJc w:val="left"/>
      <w:pPr>
        <w:tabs>
          <w:tab w:val="num" w:pos="3960"/>
        </w:tabs>
        <w:ind w:left="3960" w:hanging="360"/>
      </w:pPr>
      <w:rPr>
        <w:rFonts w:ascii="Wingdings" w:hAnsi="Wingdings" w:hint="default"/>
      </w:rPr>
    </w:lvl>
    <w:lvl w:ilvl="6" w:tplc="720CA378" w:tentative="1">
      <w:start w:val="1"/>
      <w:numFmt w:val="bullet"/>
      <w:lvlText w:val=""/>
      <w:lvlJc w:val="left"/>
      <w:pPr>
        <w:tabs>
          <w:tab w:val="num" w:pos="4680"/>
        </w:tabs>
        <w:ind w:left="4680" w:hanging="360"/>
      </w:pPr>
      <w:rPr>
        <w:rFonts w:ascii="Wingdings" w:hAnsi="Wingdings" w:hint="default"/>
      </w:rPr>
    </w:lvl>
    <w:lvl w:ilvl="7" w:tplc="DF34744A" w:tentative="1">
      <w:start w:val="1"/>
      <w:numFmt w:val="bullet"/>
      <w:lvlText w:val=""/>
      <w:lvlJc w:val="left"/>
      <w:pPr>
        <w:tabs>
          <w:tab w:val="num" w:pos="5400"/>
        </w:tabs>
        <w:ind w:left="5400" w:hanging="360"/>
      </w:pPr>
      <w:rPr>
        <w:rFonts w:ascii="Wingdings" w:hAnsi="Wingdings" w:hint="default"/>
      </w:rPr>
    </w:lvl>
    <w:lvl w:ilvl="8" w:tplc="D7AEA53A" w:tentative="1">
      <w:start w:val="1"/>
      <w:numFmt w:val="bullet"/>
      <w:lvlText w:val=""/>
      <w:lvlJc w:val="left"/>
      <w:pPr>
        <w:tabs>
          <w:tab w:val="num" w:pos="6120"/>
        </w:tabs>
        <w:ind w:left="6120" w:hanging="360"/>
      </w:pPr>
      <w:rPr>
        <w:rFonts w:ascii="Wingdings" w:hAnsi="Wingdings" w:hint="default"/>
      </w:rPr>
    </w:lvl>
  </w:abstractNum>
  <w:abstractNum w:abstractNumId="69">
    <w:nsid w:val="656350F9"/>
    <w:multiLevelType w:val="hybridMultilevel"/>
    <w:tmpl w:val="B4DCF5A0"/>
    <w:lvl w:ilvl="0" w:tplc="040C000D">
      <w:start w:val="1"/>
      <w:numFmt w:val="bullet"/>
      <w:lvlText w:val=""/>
      <w:lvlJc w:val="left"/>
      <w:pPr>
        <w:ind w:left="1288" w:hanging="360"/>
      </w:pPr>
      <w:rPr>
        <w:rFonts w:ascii="Wingdings" w:hAnsi="Wingdings" w:hint="default"/>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70">
    <w:nsid w:val="671F55E3"/>
    <w:multiLevelType w:val="hybridMultilevel"/>
    <w:tmpl w:val="D2A24A9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1">
    <w:nsid w:val="6B060751"/>
    <w:multiLevelType w:val="hybridMultilevel"/>
    <w:tmpl w:val="B628BB4A"/>
    <w:lvl w:ilvl="0" w:tplc="4A3A0A98">
      <w:start w:val="2"/>
      <w:numFmt w:val="bullet"/>
      <w:suff w:val="space"/>
      <w:lvlText w:val="-"/>
      <w:lvlJc w:val="left"/>
      <w:pPr>
        <w:ind w:left="113" w:hanging="113"/>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nsid w:val="6B2233D4"/>
    <w:multiLevelType w:val="hybridMultilevel"/>
    <w:tmpl w:val="9AB82D7A"/>
    <w:lvl w:ilvl="0" w:tplc="040C000B">
      <w:start w:val="1"/>
      <w:numFmt w:val="bullet"/>
      <w:lvlText w:val=""/>
      <w:lvlJc w:val="left"/>
      <w:pPr>
        <w:ind w:left="756" w:hanging="360"/>
      </w:pPr>
      <w:rPr>
        <w:rFonts w:ascii="Wingdings" w:hAnsi="Wingdings" w:hint="default"/>
      </w:rPr>
    </w:lvl>
    <w:lvl w:ilvl="1" w:tplc="040C0003">
      <w:start w:val="1"/>
      <w:numFmt w:val="bullet"/>
      <w:lvlText w:val="o"/>
      <w:lvlJc w:val="left"/>
      <w:pPr>
        <w:ind w:left="1476" w:hanging="360"/>
      </w:pPr>
      <w:rPr>
        <w:rFonts w:ascii="Courier New" w:hAnsi="Courier New" w:cs="Courier New" w:hint="default"/>
      </w:rPr>
    </w:lvl>
    <w:lvl w:ilvl="2" w:tplc="040C0005">
      <w:start w:val="1"/>
      <w:numFmt w:val="bullet"/>
      <w:lvlText w:val=""/>
      <w:lvlJc w:val="left"/>
      <w:pPr>
        <w:ind w:left="2196" w:hanging="360"/>
      </w:pPr>
      <w:rPr>
        <w:rFonts w:ascii="Wingdings" w:hAnsi="Wingdings" w:hint="default"/>
      </w:rPr>
    </w:lvl>
    <w:lvl w:ilvl="3" w:tplc="040C0001">
      <w:start w:val="1"/>
      <w:numFmt w:val="bullet"/>
      <w:lvlText w:val=""/>
      <w:lvlJc w:val="left"/>
      <w:pPr>
        <w:ind w:left="2916" w:hanging="360"/>
      </w:pPr>
      <w:rPr>
        <w:rFonts w:ascii="Symbol" w:hAnsi="Symbol" w:hint="default"/>
      </w:rPr>
    </w:lvl>
    <w:lvl w:ilvl="4" w:tplc="040C0003" w:tentative="1">
      <w:start w:val="1"/>
      <w:numFmt w:val="bullet"/>
      <w:lvlText w:val="o"/>
      <w:lvlJc w:val="left"/>
      <w:pPr>
        <w:ind w:left="3636" w:hanging="360"/>
      </w:pPr>
      <w:rPr>
        <w:rFonts w:ascii="Courier New" w:hAnsi="Courier New" w:cs="Courier New" w:hint="default"/>
      </w:rPr>
    </w:lvl>
    <w:lvl w:ilvl="5" w:tplc="040C0005" w:tentative="1">
      <w:start w:val="1"/>
      <w:numFmt w:val="bullet"/>
      <w:lvlText w:val=""/>
      <w:lvlJc w:val="left"/>
      <w:pPr>
        <w:ind w:left="4356" w:hanging="360"/>
      </w:pPr>
      <w:rPr>
        <w:rFonts w:ascii="Wingdings" w:hAnsi="Wingdings" w:hint="default"/>
      </w:rPr>
    </w:lvl>
    <w:lvl w:ilvl="6" w:tplc="040C0001" w:tentative="1">
      <w:start w:val="1"/>
      <w:numFmt w:val="bullet"/>
      <w:lvlText w:val=""/>
      <w:lvlJc w:val="left"/>
      <w:pPr>
        <w:ind w:left="5076" w:hanging="360"/>
      </w:pPr>
      <w:rPr>
        <w:rFonts w:ascii="Symbol" w:hAnsi="Symbol" w:hint="default"/>
      </w:rPr>
    </w:lvl>
    <w:lvl w:ilvl="7" w:tplc="040C0003" w:tentative="1">
      <w:start w:val="1"/>
      <w:numFmt w:val="bullet"/>
      <w:lvlText w:val="o"/>
      <w:lvlJc w:val="left"/>
      <w:pPr>
        <w:ind w:left="5796" w:hanging="360"/>
      </w:pPr>
      <w:rPr>
        <w:rFonts w:ascii="Courier New" w:hAnsi="Courier New" w:cs="Courier New" w:hint="default"/>
      </w:rPr>
    </w:lvl>
    <w:lvl w:ilvl="8" w:tplc="040C0005" w:tentative="1">
      <w:start w:val="1"/>
      <w:numFmt w:val="bullet"/>
      <w:lvlText w:val=""/>
      <w:lvlJc w:val="left"/>
      <w:pPr>
        <w:ind w:left="6516" w:hanging="360"/>
      </w:pPr>
      <w:rPr>
        <w:rFonts w:ascii="Wingdings" w:hAnsi="Wingdings" w:hint="default"/>
      </w:rPr>
    </w:lvl>
  </w:abstractNum>
  <w:abstractNum w:abstractNumId="73">
    <w:nsid w:val="6B4D3676"/>
    <w:multiLevelType w:val="hybridMultilevel"/>
    <w:tmpl w:val="BD167546"/>
    <w:lvl w:ilvl="0" w:tplc="5B3ED120">
      <w:start w:val="2"/>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4">
    <w:nsid w:val="6CEB4E39"/>
    <w:multiLevelType w:val="hybridMultilevel"/>
    <w:tmpl w:val="6C50B4D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5">
    <w:nsid w:val="724E6FAB"/>
    <w:multiLevelType w:val="hybridMultilevel"/>
    <w:tmpl w:val="7A3E048C"/>
    <w:lvl w:ilvl="0" w:tplc="9D7C1230">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6">
    <w:nsid w:val="726F5479"/>
    <w:multiLevelType w:val="hybridMultilevel"/>
    <w:tmpl w:val="F5427A70"/>
    <w:lvl w:ilvl="0" w:tplc="FC04D690">
      <w:start w:val="2"/>
      <w:numFmt w:val="bullet"/>
      <w:lvlText w:val=""/>
      <w:lvlJc w:val="left"/>
      <w:pPr>
        <w:ind w:left="360" w:hanging="360"/>
      </w:pPr>
      <w:rPr>
        <w:rFonts w:ascii="Symbol" w:eastAsiaTheme="minorHAnsi" w:hAnsi="Symbol"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7">
    <w:nsid w:val="74455576"/>
    <w:multiLevelType w:val="hybridMultilevel"/>
    <w:tmpl w:val="1CEE460E"/>
    <w:lvl w:ilvl="0" w:tplc="040C0001">
      <w:start w:val="1"/>
      <w:numFmt w:val="bullet"/>
      <w:lvlText w:val=""/>
      <w:lvlJc w:val="left"/>
      <w:pPr>
        <w:tabs>
          <w:tab w:val="num" w:pos="720"/>
        </w:tabs>
        <w:ind w:left="720" w:hanging="360"/>
      </w:pPr>
      <w:rPr>
        <w:rFonts w:ascii="Symbol" w:hAnsi="Symbol" w:hint="default"/>
      </w:rPr>
    </w:lvl>
    <w:lvl w:ilvl="1" w:tplc="040C0003">
      <w:numFmt w:val="bullet"/>
      <w:lvlText w:val="-"/>
      <w:lvlJc w:val="left"/>
      <w:pPr>
        <w:tabs>
          <w:tab w:val="num" w:pos="1440"/>
        </w:tabs>
        <w:ind w:left="1440" w:hanging="360"/>
      </w:pPr>
      <w:rPr>
        <w:rFonts w:ascii="Verdana" w:eastAsia="Times New Roman" w:hAnsi="Verdana"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8">
    <w:nsid w:val="75366EA9"/>
    <w:multiLevelType w:val="hybridMultilevel"/>
    <w:tmpl w:val="2CD2016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9">
    <w:nsid w:val="75A767AA"/>
    <w:multiLevelType w:val="hybridMultilevel"/>
    <w:tmpl w:val="8B666642"/>
    <w:lvl w:ilvl="0" w:tplc="4A3A0A98">
      <w:start w:val="2"/>
      <w:numFmt w:val="bullet"/>
      <w:lvlText w:val="-"/>
      <w:lvlJc w:val="left"/>
      <w:pPr>
        <w:tabs>
          <w:tab w:val="num" w:pos="360"/>
        </w:tabs>
        <w:ind w:left="0" w:firstLine="0"/>
      </w:pPr>
      <w:rPr>
        <w:rFonts w:ascii="Times New Roman" w:eastAsia="Times New Roman" w:hAnsi="Times New Roman" w:cs="Times New Roman" w:hint="default"/>
        <w:color w:val="auto"/>
      </w:rPr>
    </w:lvl>
    <w:lvl w:ilvl="1" w:tplc="DF264436">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80">
    <w:nsid w:val="781060EC"/>
    <w:multiLevelType w:val="hybridMultilevel"/>
    <w:tmpl w:val="F9A01308"/>
    <w:lvl w:ilvl="0" w:tplc="DAFED67A">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81">
    <w:nsid w:val="7A8228E8"/>
    <w:multiLevelType w:val="hybridMultilevel"/>
    <w:tmpl w:val="25EC55F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nsid w:val="7BEE25CC"/>
    <w:multiLevelType w:val="hybridMultilevel"/>
    <w:tmpl w:val="D2A24A94"/>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83">
    <w:nsid w:val="7DFC6F81"/>
    <w:multiLevelType w:val="hybridMultilevel"/>
    <w:tmpl w:val="DD708A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nsid w:val="7E6C3D50"/>
    <w:multiLevelType w:val="hybridMultilevel"/>
    <w:tmpl w:val="C18828CA"/>
    <w:lvl w:ilvl="0" w:tplc="5B3ED120">
      <w:start w:val="2"/>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0"/>
  </w:num>
  <w:num w:numId="2">
    <w:abstractNumId w:val="51"/>
  </w:num>
  <w:num w:numId="3">
    <w:abstractNumId w:val="71"/>
  </w:num>
  <w:num w:numId="4">
    <w:abstractNumId w:val="34"/>
  </w:num>
  <w:num w:numId="5">
    <w:abstractNumId w:val="28"/>
  </w:num>
  <w:num w:numId="6">
    <w:abstractNumId w:val="29"/>
  </w:num>
  <w:num w:numId="7">
    <w:abstractNumId w:val="59"/>
  </w:num>
  <w:num w:numId="8">
    <w:abstractNumId w:val="73"/>
  </w:num>
  <w:num w:numId="9">
    <w:abstractNumId w:val="76"/>
  </w:num>
  <w:num w:numId="10">
    <w:abstractNumId w:val="47"/>
  </w:num>
  <w:num w:numId="11">
    <w:abstractNumId w:val="4"/>
  </w:num>
  <w:num w:numId="12">
    <w:abstractNumId w:val="15"/>
  </w:num>
  <w:num w:numId="13">
    <w:abstractNumId w:val="21"/>
  </w:num>
  <w:num w:numId="14">
    <w:abstractNumId w:val="78"/>
  </w:num>
  <w:num w:numId="15">
    <w:abstractNumId w:val="55"/>
  </w:num>
  <w:num w:numId="16">
    <w:abstractNumId w:val="83"/>
  </w:num>
  <w:num w:numId="17">
    <w:abstractNumId w:val="18"/>
  </w:num>
  <w:num w:numId="18">
    <w:abstractNumId w:val="3"/>
  </w:num>
  <w:num w:numId="19">
    <w:abstractNumId w:val="16"/>
  </w:num>
  <w:num w:numId="20">
    <w:abstractNumId w:val="9"/>
  </w:num>
  <w:num w:numId="21">
    <w:abstractNumId w:val="5"/>
  </w:num>
  <w:num w:numId="22">
    <w:abstractNumId w:val="69"/>
  </w:num>
  <w:num w:numId="23">
    <w:abstractNumId w:val="48"/>
  </w:num>
  <w:num w:numId="24">
    <w:abstractNumId w:val="54"/>
  </w:num>
  <w:num w:numId="25">
    <w:abstractNumId w:val="8"/>
  </w:num>
  <w:num w:numId="26">
    <w:abstractNumId w:val="41"/>
  </w:num>
  <w:num w:numId="27">
    <w:abstractNumId w:val="62"/>
  </w:num>
  <w:num w:numId="28">
    <w:abstractNumId w:val="13"/>
  </w:num>
  <w:num w:numId="29">
    <w:abstractNumId w:val="84"/>
  </w:num>
  <w:num w:numId="30">
    <w:abstractNumId w:val="61"/>
  </w:num>
  <w:num w:numId="31">
    <w:abstractNumId w:val="43"/>
  </w:num>
  <w:num w:numId="32">
    <w:abstractNumId w:val="40"/>
  </w:num>
  <w:num w:numId="33">
    <w:abstractNumId w:val="60"/>
  </w:num>
  <w:num w:numId="34">
    <w:abstractNumId w:val="81"/>
  </w:num>
  <w:num w:numId="35">
    <w:abstractNumId w:val="36"/>
  </w:num>
  <w:num w:numId="36">
    <w:abstractNumId w:val="44"/>
  </w:num>
  <w:num w:numId="37">
    <w:abstractNumId w:val="35"/>
  </w:num>
  <w:num w:numId="38">
    <w:abstractNumId w:val="57"/>
  </w:num>
  <w:num w:numId="39">
    <w:abstractNumId w:val="46"/>
  </w:num>
  <w:num w:numId="40">
    <w:abstractNumId w:val="39"/>
  </w:num>
  <w:num w:numId="41">
    <w:abstractNumId w:val="45"/>
  </w:num>
  <w:num w:numId="42">
    <w:abstractNumId w:val="25"/>
  </w:num>
  <w:num w:numId="43">
    <w:abstractNumId w:val="26"/>
  </w:num>
  <w:num w:numId="44">
    <w:abstractNumId w:val="33"/>
  </w:num>
  <w:num w:numId="45">
    <w:abstractNumId w:val="11"/>
  </w:num>
  <w:num w:numId="46">
    <w:abstractNumId w:val="72"/>
  </w:num>
  <w:num w:numId="47">
    <w:abstractNumId w:val="6"/>
  </w:num>
  <w:num w:numId="48">
    <w:abstractNumId w:val="32"/>
  </w:num>
  <w:num w:numId="49">
    <w:abstractNumId w:val="63"/>
  </w:num>
  <w:num w:numId="50">
    <w:abstractNumId w:val="74"/>
  </w:num>
  <w:num w:numId="51">
    <w:abstractNumId w:val="2"/>
  </w:num>
  <w:num w:numId="52">
    <w:abstractNumId w:val="50"/>
  </w:num>
  <w:num w:numId="53">
    <w:abstractNumId w:val="0"/>
  </w:num>
  <w:num w:numId="54">
    <w:abstractNumId w:val="17"/>
  </w:num>
  <w:num w:numId="55">
    <w:abstractNumId w:val="82"/>
  </w:num>
  <w:num w:numId="56">
    <w:abstractNumId w:val="52"/>
  </w:num>
  <w:num w:numId="57">
    <w:abstractNumId w:val="20"/>
  </w:num>
  <w:num w:numId="58">
    <w:abstractNumId w:val="24"/>
  </w:num>
  <w:num w:numId="59">
    <w:abstractNumId w:val="80"/>
  </w:num>
  <w:num w:numId="60">
    <w:abstractNumId w:val="7"/>
  </w:num>
  <w:num w:numId="61">
    <w:abstractNumId w:val="27"/>
  </w:num>
  <w:num w:numId="62">
    <w:abstractNumId w:val="49"/>
  </w:num>
  <w:num w:numId="63">
    <w:abstractNumId w:val="70"/>
  </w:num>
  <w:num w:numId="64">
    <w:abstractNumId w:val="30"/>
  </w:num>
  <w:num w:numId="65">
    <w:abstractNumId w:val="23"/>
  </w:num>
  <w:num w:numId="66">
    <w:abstractNumId w:val="75"/>
  </w:num>
  <w:num w:numId="67">
    <w:abstractNumId w:val="77"/>
  </w:num>
  <w:num w:numId="68">
    <w:abstractNumId w:val="66"/>
  </w:num>
  <w:num w:numId="69">
    <w:abstractNumId w:val="79"/>
  </w:num>
  <w:num w:numId="70">
    <w:abstractNumId w:val="14"/>
  </w:num>
  <w:num w:numId="71">
    <w:abstractNumId w:val="38"/>
  </w:num>
  <w:num w:numId="72">
    <w:abstractNumId w:val="53"/>
  </w:num>
  <w:num w:numId="73">
    <w:abstractNumId w:val="68"/>
  </w:num>
  <w:num w:numId="74">
    <w:abstractNumId w:val="56"/>
  </w:num>
  <w:num w:numId="75">
    <w:abstractNumId w:val="37"/>
  </w:num>
  <w:num w:numId="76">
    <w:abstractNumId w:val="42"/>
  </w:num>
  <w:num w:numId="77">
    <w:abstractNumId w:val="64"/>
  </w:num>
  <w:num w:numId="78">
    <w:abstractNumId w:val="12"/>
  </w:num>
  <w:num w:numId="79">
    <w:abstractNumId w:val="19"/>
  </w:num>
  <w:num w:numId="80">
    <w:abstractNumId w:val="22"/>
  </w:num>
  <w:num w:numId="81">
    <w:abstractNumId w:val="31"/>
  </w:num>
  <w:num w:numId="82">
    <w:abstractNumId w:val="1"/>
  </w:num>
  <w:num w:numId="83">
    <w:abstractNumId w:val="65"/>
  </w:num>
  <w:num w:numId="84">
    <w:abstractNumId w:val="58"/>
  </w:num>
  <w:num w:numId="85">
    <w:abstractNumId w:val="67"/>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3091"/>
    <o:shapelayout v:ext="edit">
      <o:idmap v:ext="edit" data="3"/>
      <o:rules v:ext="edit">
        <o:r id="V:Rule1" type="connector" idref="#_x0000_s3073"/>
        <o:r id="V:Rule2" type="connector" idref="#_x0000_s3074"/>
        <o:r id="V:Rule3" type="connector" idref="#_x0000_s3075"/>
        <o:r id="V:Rule4" type="connector" idref="#_x0000_s3076"/>
        <o:r id="V:Rule5" type="connector" idref="#_x0000_s3077"/>
        <o:r id="V:Rule6" type="connector" idref="#_x0000_s3078"/>
        <o:r id="V:Rule7" type="connector" idref="#_x0000_s3079"/>
        <o:r id="V:Rule8" type="connector" idref="#_x0000_s3080"/>
        <o:r id="V:Rule9" type="connector" idref="#_x0000_s3081"/>
        <o:r id="V:Rule10" type="connector" idref="#_x0000_s3082"/>
        <o:r id="V:Rule11" type="connector" idref="#_x0000_s3083"/>
        <o:r id="V:Rule12" type="connector" idref="#_x0000_s3084"/>
        <o:r id="V:Rule13" type="connector" idref="#_x0000_s3085"/>
        <o:r id="V:Rule14" type="connector" idref="#_x0000_s3086"/>
        <o:r id="V:Rule15" type="connector" idref="#_x0000_s3087"/>
        <o:r id="V:Rule16" type="connector" idref="#_x0000_s3088"/>
        <o:r id="V:Rule17" type="connector" idref="#_x0000_s3089"/>
        <o:r id="V:Rule18" type="connector" idref="#_x0000_s3090"/>
      </o:rules>
    </o:shapelayout>
  </w:hdrShapeDefaults>
  <w:footnotePr>
    <w:footnote w:id="-1"/>
    <w:footnote w:id="0"/>
  </w:footnotePr>
  <w:endnotePr>
    <w:endnote w:id="-1"/>
    <w:endnote w:id="0"/>
  </w:endnotePr>
  <w:compat>
    <w:compatSetting w:name="compatibilityMode" w:uri="http://schemas.microsoft.com/office/word" w:val="12"/>
  </w:compat>
  <w:rsids>
    <w:rsidRoot w:val="00D3776A"/>
    <w:rsid w:val="00093157"/>
    <w:rsid w:val="0018245E"/>
    <w:rsid w:val="002A3F16"/>
    <w:rsid w:val="0039067A"/>
    <w:rsid w:val="00550D4B"/>
    <w:rsid w:val="005C43CE"/>
    <w:rsid w:val="005D36A5"/>
    <w:rsid w:val="00631A95"/>
    <w:rsid w:val="006542EC"/>
    <w:rsid w:val="0070079A"/>
    <w:rsid w:val="00761474"/>
    <w:rsid w:val="007B5DAB"/>
    <w:rsid w:val="009A72C2"/>
    <w:rsid w:val="00A8766D"/>
    <w:rsid w:val="00A91916"/>
    <w:rsid w:val="00D3776A"/>
    <w:rsid w:val="00D41BD8"/>
    <w:rsid w:val="00DA0A69"/>
    <w:rsid w:val="00DB22DD"/>
    <w:rsid w:val="00ED6B49"/>
    <w:rsid w:val="00F11053"/>
    <w:rsid w:val="00F61BE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91"/>
    <o:shapelayout v:ext="edit">
      <o:idmap v:ext="edit" data="1"/>
      <o:rules v:ext="edit">
        <o:r id="V:Rule1" type="connector" idref="#_x0000_s1095"/>
        <o:r id="V:Rule2" type="connector" idref="#_x0000_s1136"/>
        <o:r id="V:Rule3" type="connector" idref="#_x0000_s1152"/>
        <o:r id="V:Rule4" type="connector" idref="#_x0000_s1098"/>
        <o:r id="V:Rule5" type="connector" idref="#_x0000_s1092"/>
        <o:r id="V:Rule6" type="connector" idref="#_x0000_s1140"/>
        <o:r id="V:Rule7" type="connector" idref="#_x0000_s1044"/>
        <o:r id="V:Rule8" type="connector" idref="#_x0000_s1118"/>
        <o:r id="V:Rule9" type="connector" idref="#_x0000_s1046"/>
        <o:r id="V:Rule10" type="connector" idref="#_x0000_s1050"/>
        <o:r id="V:Rule11" type="connector" idref="#_x0000_s1135"/>
        <o:r id="V:Rule12" type="connector" idref="#_x0000_s1141"/>
        <o:r id="V:Rule13" type="connector" idref="#_x0000_s1051"/>
        <o:r id="V:Rule14" type="connector" idref="#_x0000_s1053"/>
        <o:r id="V:Rule15" type="connector" idref="#_x0000_s1143"/>
        <o:r id="V:Rule16" type="connector" idref="#_x0000_s1137"/>
        <o:r id="V:Rule17" type="connector" idref="#_x0000_s1093"/>
        <o:r id="V:Rule18" type="connector" idref="#_x0000_s1099"/>
        <o:r id="V:Rule19" type="connector" idref="#_x0000_s1067"/>
        <o:r id="V:Rule20" type="connector" idref="#_x0000_s1139"/>
        <o:r id="V:Rule21" type="connector" idref="#_x0000_s1149"/>
        <o:r id="V:Rule22" type="connector" idref="#_x0000_s1091"/>
        <o:r id="V:Rule23" type="connector" idref="#_x0000_s1144"/>
        <o:r id="V:Rule24" type="connector" idref="#_x0000_s1138"/>
        <o:r id="V:Rule25" type="connector" idref="#_x0000_s1052"/>
        <o:r id="V:Rule26" type="connector" idref="#_x0000_s1121"/>
        <o:r id="V:Rule27" type="connector" idref="#_x0000_s1117"/>
        <o:r id="V:Rule28" type="connector" idref="#_x0000_s1090"/>
        <o:r id="V:Rule29" type="connector" idref="#_x0000_s1122"/>
        <o:r id="V:Rule30" type="connector" idref="#_x0000_s1123"/>
        <o:r id="V:Rule31" type="connector" idref="#_x0000_s1151"/>
        <o:r id="V:Rule32" type="connector" idref="#_x0000_s1119"/>
        <o:r id="V:Rule33" type="connector" idref="#_x0000_s1089"/>
        <o:r id="V:Rule34" type="connector" idref="#_x0000_s1054"/>
        <o:r id="V:Rule35" type="connector" idref="#_x0000_s1120"/>
        <o:r id="V:Rule36" type="connector" idref="#_x0000_s1043"/>
        <o:r id="V:Rule37" type="connector" idref="#_x0000_s1142"/>
        <o:r id="V:Rule38" type="connector" idref="#_x0000_s1124"/>
        <o:r id="V:Rule39" type="connector" idref="#_x0000_s1094"/>
        <o:r id="V:Rule40" type="connector" idref="#_x0000_s1096"/>
        <o:r id="V:Rule41" type="connector" idref="#_x0000_s1097"/>
        <o:r id="V:Rule42" type="connector" idref="#_x0000_s1045"/>
        <o:r id="V:Rule43" type="connector" idref="#_x0000_s1222"/>
        <o:r id="V:Rule44" type="connector" idref="#_x0000_s1263"/>
        <o:r id="V:Rule45" type="connector" idref="#_x0000_s1279"/>
        <o:r id="V:Rule46" type="connector" idref="#_x0000_s1225"/>
        <o:r id="V:Rule47" type="connector" idref="#_x0000_s1219"/>
        <o:r id="V:Rule48" type="connector" idref="#_x0000_s1267"/>
        <o:r id="V:Rule49" type="connector" idref="#_x0000_s1171"/>
        <o:r id="V:Rule50" type="connector" idref="#_x0000_s1245"/>
        <o:r id="V:Rule51" type="connector" idref="#_x0000_s1173"/>
        <o:r id="V:Rule52" type="connector" idref="#_x0000_s1177"/>
        <o:r id="V:Rule53" type="connector" idref="#_x0000_s1262"/>
        <o:r id="V:Rule54" type="connector" idref="#_x0000_s1268"/>
        <o:r id="V:Rule55" type="connector" idref="#_x0000_s1178"/>
        <o:r id="V:Rule56" type="connector" idref="#_x0000_s1180"/>
        <o:r id="V:Rule57" type="connector" idref="#_x0000_s1270"/>
        <o:r id="V:Rule58" type="connector" idref="#_x0000_s1264"/>
        <o:r id="V:Rule59" type="connector" idref="#_x0000_s1220"/>
        <o:r id="V:Rule60" type="connector" idref="#_x0000_s1226"/>
        <o:r id="V:Rule61" type="connector" idref="#_x0000_s1194"/>
        <o:r id="V:Rule62" type="connector" idref="#_x0000_s1266"/>
        <o:r id="V:Rule63" type="connector" idref="#_x0000_s1276"/>
        <o:r id="V:Rule64" type="connector" idref="#_x0000_s1218"/>
        <o:r id="V:Rule65" type="connector" idref="#_x0000_s1271"/>
        <o:r id="V:Rule66" type="connector" idref="#_x0000_s1265"/>
        <o:r id="V:Rule67" type="connector" idref="#_x0000_s1179"/>
        <o:r id="V:Rule68" type="connector" idref="#_x0000_s1248"/>
        <o:r id="V:Rule69" type="connector" idref="#_x0000_s1244"/>
        <o:r id="V:Rule70" type="connector" idref="#_x0000_s1217"/>
        <o:r id="V:Rule71" type="connector" idref="#_x0000_s1249"/>
        <o:r id="V:Rule72" type="connector" idref="#_x0000_s1250"/>
        <o:r id="V:Rule73" type="connector" idref="#_x0000_s1278"/>
        <o:r id="V:Rule74" type="connector" idref="#_x0000_s1246"/>
        <o:r id="V:Rule75" type="connector" idref="#_x0000_s1216"/>
        <o:r id="V:Rule76" type="connector" idref="#_x0000_s1181"/>
        <o:r id="V:Rule77" type="connector" idref="#_x0000_s1247"/>
        <o:r id="V:Rule78" type="connector" idref="#_x0000_s1170"/>
        <o:r id="V:Rule79" type="connector" idref="#_x0000_s1269"/>
        <o:r id="V:Rule80" type="connector" idref="#_x0000_s1251"/>
        <o:r id="V:Rule81" type="connector" idref="#_x0000_s1221"/>
        <o:r id="V:Rule82" type="connector" idref="#_x0000_s1223"/>
        <o:r id="V:Rule83" type="connector" idref="#_x0000_s1224"/>
        <o:r id="V:Rule84" type="connector" idref="#_x0000_s1172"/>
        <o:r id="V:Rule85" type="connector" idref="#_x0000_s1349"/>
        <o:r id="V:Rule86" type="connector" idref="#_x0000_s1390"/>
        <o:r id="V:Rule87" type="connector" idref="#_x0000_s1406"/>
        <o:r id="V:Rule88" type="connector" idref="#_x0000_s1352"/>
        <o:r id="V:Rule89" type="connector" idref="#_x0000_s1346"/>
        <o:r id="V:Rule90" type="connector" idref="#_x0000_s1394"/>
        <o:r id="V:Rule91" type="connector" idref="#_x0000_s1298"/>
        <o:r id="V:Rule92" type="connector" idref="#_x0000_s1372"/>
        <o:r id="V:Rule93" type="connector" idref="#_x0000_s1300"/>
        <o:r id="V:Rule94" type="connector" idref="#_x0000_s1304"/>
        <o:r id="V:Rule95" type="connector" idref="#_x0000_s1389"/>
        <o:r id="V:Rule96" type="connector" idref="#_x0000_s1395"/>
        <o:r id="V:Rule97" type="connector" idref="#_x0000_s1305"/>
        <o:r id="V:Rule98" type="connector" idref="#_x0000_s1307"/>
        <o:r id="V:Rule99" type="connector" idref="#_x0000_s1397"/>
        <o:r id="V:Rule100" type="connector" idref="#_x0000_s1391"/>
        <o:r id="V:Rule101" type="connector" idref="#_x0000_s1347"/>
        <o:r id="V:Rule102" type="connector" idref="#_x0000_s1353"/>
        <o:r id="V:Rule103" type="connector" idref="#_x0000_s1321"/>
        <o:r id="V:Rule104" type="connector" idref="#_x0000_s1393"/>
        <o:r id="V:Rule105" type="connector" idref="#_x0000_s1403"/>
        <o:r id="V:Rule106" type="connector" idref="#_x0000_s1345"/>
        <o:r id="V:Rule107" type="connector" idref="#_x0000_s1398"/>
        <o:r id="V:Rule108" type="connector" idref="#_x0000_s1392"/>
        <o:r id="V:Rule109" type="connector" idref="#_x0000_s1306"/>
        <o:r id="V:Rule110" type="connector" idref="#_x0000_s1375"/>
        <o:r id="V:Rule111" type="connector" idref="#_x0000_s1371"/>
        <o:r id="V:Rule112" type="connector" idref="#_x0000_s1344"/>
        <o:r id="V:Rule113" type="connector" idref="#_x0000_s1376"/>
        <o:r id="V:Rule114" type="connector" idref="#_x0000_s1377"/>
        <o:r id="V:Rule115" type="connector" idref="#_x0000_s1405"/>
        <o:r id="V:Rule116" type="connector" idref="#_x0000_s1373"/>
        <o:r id="V:Rule117" type="connector" idref="#_x0000_s1343"/>
        <o:r id="V:Rule118" type="connector" idref="#_x0000_s1308"/>
        <o:r id="V:Rule119" type="connector" idref="#_x0000_s1374"/>
        <o:r id="V:Rule120" type="connector" idref="#_x0000_s1297"/>
        <o:r id="V:Rule121" type="connector" idref="#_x0000_s1396"/>
        <o:r id="V:Rule122" type="connector" idref="#_x0000_s1378"/>
        <o:r id="V:Rule123" type="connector" idref="#_x0000_s1348"/>
        <o:r id="V:Rule124" type="connector" idref="#_x0000_s1350"/>
        <o:r id="V:Rule125" type="connector" idref="#_x0000_s1351"/>
        <o:r id="V:Rule126" type="connector" idref="#_x0000_s1299"/>
        <o:r id="V:Rule127" type="connector" idref="#_x0000_s1476"/>
        <o:r id="V:Rule128" type="connector" idref="#_x0000_s1517"/>
        <o:r id="V:Rule129" type="connector" idref="#_x0000_s1533"/>
        <o:r id="V:Rule130" type="connector" idref="#_x0000_s1479"/>
        <o:r id="V:Rule131" type="connector" idref="#_x0000_s1473"/>
        <o:r id="V:Rule132" type="connector" idref="#_x0000_s1521"/>
        <o:r id="V:Rule133" type="connector" idref="#_x0000_s1425"/>
        <o:r id="V:Rule134" type="connector" idref="#_x0000_s1499"/>
        <o:r id="V:Rule135" type="connector" idref="#_x0000_s1427"/>
        <o:r id="V:Rule136" type="connector" idref="#_x0000_s1431"/>
        <o:r id="V:Rule137" type="connector" idref="#_x0000_s1516"/>
        <o:r id="V:Rule138" type="connector" idref="#_x0000_s1522"/>
        <o:r id="V:Rule139" type="connector" idref="#_x0000_s1432"/>
        <o:r id="V:Rule140" type="connector" idref="#_x0000_s1434"/>
        <o:r id="V:Rule141" type="connector" idref="#_x0000_s1524"/>
        <o:r id="V:Rule142" type="connector" idref="#_x0000_s1518"/>
        <o:r id="V:Rule143" type="connector" idref="#_x0000_s1474"/>
        <o:r id="V:Rule144" type="connector" idref="#_x0000_s1480"/>
        <o:r id="V:Rule145" type="connector" idref="#_x0000_s1448"/>
        <o:r id="V:Rule146" type="connector" idref="#_x0000_s1520"/>
        <o:r id="V:Rule147" type="connector" idref="#_x0000_s1530"/>
        <o:r id="V:Rule148" type="connector" idref="#_x0000_s1472"/>
        <o:r id="V:Rule149" type="connector" idref="#_x0000_s1525"/>
        <o:r id="V:Rule150" type="connector" idref="#_x0000_s1519"/>
        <o:r id="V:Rule151" type="connector" idref="#_x0000_s1433"/>
        <o:r id="V:Rule152" type="connector" idref="#_x0000_s1502"/>
        <o:r id="V:Rule153" type="connector" idref="#_x0000_s1498"/>
        <o:r id="V:Rule154" type="connector" idref="#_x0000_s1471"/>
        <o:r id="V:Rule155" type="connector" idref="#_x0000_s1503"/>
        <o:r id="V:Rule156" type="connector" idref="#_x0000_s1504"/>
        <o:r id="V:Rule157" type="connector" idref="#_x0000_s1532"/>
        <o:r id="V:Rule158" type="connector" idref="#_x0000_s1500"/>
        <o:r id="V:Rule159" type="connector" idref="#_x0000_s1470"/>
        <o:r id="V:Rule160" type="connector" idref="#_x0000_s1435"/>
        <o:r id="V:Rule161" type="connector" idref="#_x0000_s1501"/>
        <o:r id="V:Rule162" type="connector" idref="#_x0000_s1424"/>
        <o:r id="V:Rule163" type="connector" idref="#_x0000_s1523"/>
        <o:r id="V:Rule164" type="connector" idref="#_x0000_s1505"/>
        <o:r id="V:Rule165" type="connector" idref="#_x0000_s1475"/>
        <o:r id="V:Rule166" type="connector" idref="#_x0000_s1477"/>
        <o:r id="V:Rule167" type="connector" idref="#_x0000_s1478"/>
        <o:r id="V:Rule168" type="connector" idref="#_x0000_s14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474"/>
  </w:style>
  <w:style w:type="paragraph" w:styleId="Titre1">
    <w:name w:val="heading 1"/>
    <w:basedOn w:val="Normal"/>
    <w:next w:val="Normal"/>
    <w:link w:val="Titre1Car"/>
    <w:uiPriority w:val="9"/>
    <w:qFormat/>
    <w:rsid w:val="002A3F16"/>
    <w:pPr>
      <w:pBdr>
        <w:bottom w:val="single" w:sz="12" w:space="1" w:color="365F91"/>
      </w:pBdr>
      <w:spacing w:before="600" w:beforeAutospacing="0" w:after="80" w:afterAutospacing="0"/>
      <w:jc w:val="both"/>
      <w:outlineLvl w:val="0"/>
    </w:pPr>
    <w:rPr>
      <w:rFonts w:ascii="Cambria" w:eastAsia="Times New Roman" w:hAnsi="Cambria" w:cs="Times New Roman"/>
      <w:b/>
      <w:bCs/>
      <w:color w:val="365F91"/>
      <w:sz w:val="24"/>
      <w:szCs w:val="24"/>
      <w:lang w:val="en-US" w:bidi="en-US"/>
    </w:rPr>
  </w:style>
  <w:style w:type="paragraph" w:styleId="Titre2">
    <w:name w:val="heading 2"/>
    <w:basedOn w:val="Normal"/>
    <w:next w:val="Normal"/>
    <w:link w:val="Titre2Car"/>
    <w:unhideWhenUsed/>
    <w:qFormat/>
    <w:rsid w:val="002A3F16"/>
    <w:pPr>
      <w:keepNext/>
      <w:keepLines/>
      <w:spacing w:before="200" w:beforeAutospacing="0" w:after="0" w:afterAutospacing="0" w:line="276" w:lineRule="auto"/>
      <w:jc w:val="left"/>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2A3F16"/>
    <w:pPr>
      <w:keepNext/>
      <w:keepLines/>
      <w:spacing w:before="200" w:beforeAutospacing="0" w:after="0" w:afterAutospacing="0" w:line="276" w:lineRule="auto"/>
      <w:jc w:val="left"/>
      <w:outlineLvl w:val="2"/>
    </w:pPr>
    <w:rPr>
      <w:rFonts w:asciiTheme="majorHAnsi" w:eastAsiaTheme="majorEastAsia" w:hAnsiTheme="majorHAnsi" w:cstheme="majorBidi"/>
      <w:b/>
      <w:bCs/>
      <w:color w:val="4F81BD" w:themeColor="accent1"/>
    </w:rPr>
  </w:style>
  <w:style w:type="paragraph" w:styleId="Titre5">
    <w:name w:val="heading 5"/>
    <w:basedOn w:val="Normal"/>
    <w:next w:val="Normal"/>
    <w:link w:val="Titre5Car"/>
    <w:qFormat/>
    <w:rsid w:val="00D41BD8"/>
    <w:pPr>
      <w:keepNext/>
      <w:spacing w:before="0" w:beforeAutospacing="0" w:after="0" w:afterAutospacing="0"/>
      <w:jc w:val="both"/>
      <w:outlineLvl w:val="4"/>
    </w:pPr>
    <w:rPr>
      <w:rFonts w:ascii="Verdana" w:eastAsia="Times New Roman" w:hAnsi="Verdana" w:cs="Times New Roman"/>
      <w:b/>
      <w:color w:val="008000"/>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ous-titre">
    <w:name w:val="Subtitle"/>
    <w:basedOn w:val="Normal"/>
    <w:next w:val="Normal"/>
    <w:link w:val="Sous-titreCar"/>
    <w:qFormat/>
    <w:rsid w:val="00A91916"/>
    <w:pPr>
      <w:numPr>
        <w:ilvl w:val="1"/>
      </w:numPr>
      <w:spacing w:before="0" w:beforeAutospacing="0" w:after="200" w:afterAutospacing="0" w:line="276" w:lineRule="auto"/>
      <w:jc w:val="left"/>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rsid w:val="00A91916"/>
    <w:rPr>
      <w:rFonts w:asciiTheme="majorHAnsi" w:eastAsiaTheme="majorEastAsia" w:hAnsiTheme="majorHAnsi" w:cstheme="majorBidi"/>
      <w:i/>
      <w:iCs/>
      <w:color w:val="4F81BD" w:themeColor="accent1"/>
      <w:spacing w:val="15"/>
      <w:sz w:val="24"/>
      <w:szCs w:val="24"/>
    </w:rPr>
  </w:style>
  <w:style w:type="table" w:styleId="Grilledutableau">
    <w:name w:val="Table Grid"/>
    <w:basedOn w:val="TableauNormal"/>
    <w:uiPriority w:val="59"/>
    <w:rsid w:val="00A91916"/>
    <w:pPr>
      <w:spacing w:before="0" w:beforeAutospacing="0" w:after="0" w:afterAutospacing="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A91916"/>
    <w:pPr>
      <w:tabs>
        <w:tab w:val="center" w:pos="4536"/>
        <w:tab w:val="right" w:pos="9072"/>
      </w:tabs>
      <w:spacing w:before="0" w:after="0"/>
    </w:pPr>
  </w:style>
  <w:style w:type="character" w:customStyle="1" w:styleId="En-tteCar">
    <w:name w:val="En-tête Car"/>
    <w:basedOn w:val="Policepardfaut"/>
    <w:link w:val="En-tte"/>
    <w:uiPriority w:val="99"/>
    <w:rsid w:val="00A91916"/>
  </w:style>
  <w:style w:type="paragraph" w:styleId="Pieddepage">
    <w:name w:val="footer"/>
    <w:basedOn w:val="Normal"/>
    <w:link w:val="PieddepageCar"/>
    <w:uiPriority w:val="99"/>
    <w:unhideWhenUsed/>
    <w:rsid w:val="00A91916"/>
    <w:pPr>
      <w:tabs>
        <w:tab w:val="center" w:pos="4536"/>
        <w:tab w:val="right" w:pos="9072"/>
      </w:tabs>
      <w:spacing w:before="0" w:after="0"/>
    </w:pPr>
  </w:style>
  <w:style w:type="character" w:customStyle="1" w:styleId="PieddepageCar">
    <w:name w:val="Pied de page Car"/>
    <w:basedOn w:val="Policepardfaut"/>
    <w:link w:val="Pieddepage"/>
    <w:uiPriority w:val="99"/>
    <w:rsid w:val="00A91916"/>
  </w:style>
  <w:style w:type="paragraph" w:styleId="Lgende">
    <w:name w:val="caption"/>
    <w:basedOn w:val="Normal"/>
    <w:next w:val="Normal"/>
    <w:uiPriority w:val="35"/>
    <w:unhideWhenUsed/>
    <w:qFormat/>
    <w:rsid w:val="0018245E"/>
    <w:pPr>
      <w:spacing w:before="0" w:beforeAutospacing="0" w:after="200" w:afterAutospacing="0"/>
    </w:pPr>
    <w:rPr>
      <w:rFonts w:ascii="Times New Roman" w:eastAsiaTheme="minorEastAsia" w:hAnsi="Times New Roman"/>
      <w:b/>
      <w:bCs/>
      <w:sz w:val="20"/>
      <w:szCs w:val="18"/>
      <w:lang w:eastAsia="zh-TW"/>
    </w:rPr>
  </w:style>
  <w:style w:type="paragraph" w:styleId="Textedebulles">
    <w:name w:val="Balloon Text"/>
    <w:basedOn w:val="Normal"/>
    <w:link w:val="TextedebullesCar"/>
    <w:uiPriority w:val="99"/>
    <w:semiHidden/>
    <w:unhideWhenUsed/>
    <w:rsid w:val="0018245E"/>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18245E"/>
    <w:rPr>
      <w:rFonts w:ascii="Tahoma" w:hAnsi="Tahoma" w:cs="Tahoma"/>
      <w:sz w:val="16"/>
      <w:szCs w:val="16"/>
    </w:rPr>
  </w:style>
  <w:style w:type="paragraph" w:styleId="Notedebasdepage">
    <w:name w:val="footnote text"/>
    <w:basedOn w:val="Normal"/>
    <w:link w:val="NotedebasdepageCar"/>
    <w:uiPriority w:val="99"/>
    <w:unhideWhenUsed/>
    <w:rsid w:val="00DA0A69"/>
    <w:pPr>
      <w:spacing w:before="0" w:beforeAutospacing="0" w:after="0" w:afterAutospacing="0"/>
      <w:jc w:val="left"/>
    </w:pPr>
    <w:rPr>
      <w:sz w:val="20"/>
      <w:szCs w:val="20"/>
    </w:rPr>
  </w:style>
  <w:style w:type="character" w:customStyle="1" w:styleId="NotedebasdepageCar">
    <w:name w:val="Note de bas de page Car"/>
    <w:basedOn w:val="Policepardfaut"/>
    <w:link w:val="Notedebasdepage"/>
    <w:uiPriority w:val="99"/>
    <w:rsid w:val="00DA0A69"/>
    <w:rPr>
      <w:sz w:val="20"/>
      <w:szCs w:val="20"/>
    </w:rPr>
  </w:style>
  <w:style w:type="character" w:styleId="Appelnotedebasdep">
    <w:name w:val="footnote reference"/>
    <w:basedOn w:val="Policepardfaut"/>
    <w:uiPriority w:val="99"/>
    <w:semiHidden/>
    <w:unhideWhenUsed/>
    <w:rsid w:val="00DA0A69"/>
    <w:rPr>
      <w:vertAlign w:val="superscript"/>
    </w:rPr>
  </w:style>
  <w:style w:type="character" w:customStyle="1" w:styleId="Titre5Car">
    <w:name w:val="Titre 5 Car"/>
    <w:basedOn w:val="Policepardfaut"/>
    <w:link w:val="Titre5"/>
    <w:rsid w:val="00D41BD8"/>
    <w:rPr>
      <w:rFonts w:ascii="Verdana" w:eastAsia="Times New Roman" w:hAnsi="Verdana" w:cs="Times New Roman"/>
      <w:b/>
      <w:color w:val="008000"/>
      <w:sz w:val="20"/>
      <w:szCs w:val="20"/>
      <w:lang w:eastAsia="fr-FR"/>
    </w:rPr>
  </w:style>
  <w:style w:type="numbering" w:customStyle="1" w:styleId="Aucuneliste1">
    <w:name w:val="Aucune liste1"/>
    <w:next w:val="Aucuneliste"/>
    <w:uiPriority w:val="99"/>
    <w:semiHidden/>
    <w:unhideWhenUsed/>
    <w:rsid w:val="00D41BD8"/>
  </w:style>
  <w:style w:type="paragraph" w:customStyle="1" w:styleId="Default">
    <w:name w:val="Default"/>
    <w:rsid w:val="00D41BD8"/>
    <w:pPr>
      <w:autoSpaceDE w:val="0"/>
      <w:autoSpaceDN w:val="0"/>
      <w:adjustRightInd w:val="0"/>
      <w:spacing w:before="0" w:beforeAutospacing="0" w:after="0" w:afterAutospacing="0"/>
      <w:jc w:val="left"/>
    </w:pPr>
    <w:rPr>
      <w:rFonts w:ascii="Garamond" w:hAnsi="Garamond" w:cs="Garamond"/>
      <w:color w:val="000000"/>
      <w:sz w:val="24"/>
      <w:szCs w:val="24"/>
    </w:rPr>
  </w:style>
  <w:style w:type="paragraph" w:customStyle="1" w:styleId="CM57">
    <w:name w:val="CM57"/>
    <w:basedOn w:val="Default"/>
    <w:next w:val="Default"/>
    <w:uiPriority w:val="99"/>
    <w:rsid w:val="00D41BD8"/>
    <w:rPr>
      <w:rFonts w:cstheme="minorBidi"/>
      <w:color w:val="auto"/>
    </w:rPr>
  </w:style>
  <w:style w:type="character" w:styleId="Marquedecommentaire">
    <w:name w:val="annotation reference"/>
    <w:basedOn w:val="Policepardfaut"/>
    <w:uiPriority w:val="99"/>
    <w:semiHidden/>
    <w:unhideWhenUsed/>
    <w:rsid w:val="00D41BD8"/>
    <w:rPr>
      <w:sz w:val="16"/>
      <w:szCs w:val="16"/>
    </w:rPr>
  </w:style>
  <w:style w:type="paragraph" w:styleId="Commentaire">
    <w:name w:val="annotation text"/>
    <w:basedOn w:val="Normal"/>
    <w:link w:val="CommentaireCar"/>
    <w:uiPriority w:val="99"/>
    <w:semiHidden/>
    <w:unhideWhenUsed/>
    <w:rsid w:val="00D41BD8"/>
    <w:pPr>
      <w:spacing w:before="0" w:beforeAutospacing="0" w:after="200" w:afterAutospacing="0"/>
      <w:jc w:val="left"/>
    </w:pPr>
    <w:rPr>
      <w:sz w:val="20"/>
      <w:szCs w:val="20"/>
    </w:rPr>
  </w:style>
  <w:style w:type="character" w:customStyle="1" w:styleId="CommentaireCar">
    <w:name w:val="Commentaire Car"/>
    <w:basedOn w:val="Policepardfaut"/>
    <w:link w:val="Commentaire"/>
    <w:uiPriority w:val="99"/>
    <w:semiHidden/>
    <w:rsid w:val="00D41BD8"/>
    <w:rPr>
      <w:sz w:val="20"/>
      <w:szCs w:val="20"/>
    </w:rPr>
  </w:style>
  <w:style w:type="paragraph" w:customStyle="1" w:styleId="revtitren2">
    <w:name w:val="revtitren2"/>
    <w:basedOn w:val="Normal"/>
    <w:rsid w:val="00D41BD8"/>
    <w:pPr>
      <w:jc w:val="both"/>
    </w:pPr>
    <w:rPr>
      <w:rFonts w:ascii="Arial Unicode MS" w:eastAsia="Times New Roman" w:hAnsi="Arial Unicode MS" w:cs="Times New Roman"/>
      <w:sz w:val="20"/>
      <w:szCs w:val="20"/>
      <w:lang w:eastAsia="fr-FR"/>
    </w:rPr>
  </w:style>
  <w:style w:type="paragraph" w:styleId="Retraitcorpsdetexte">
    <w:name w:val="Body Text Indent"/>
    <w:basedOn w:val="Normal"/>
    <w:link w:val="RetraitcorpsdetexteCar"/>
    <w:semiHidden/>
    <w:rsid w:val="00D41BD8"/>
    <w:pPr>
      <w:spacing w:before="0" w:beforeAutospacing="0" w:after="0" w:afterAutospacing="0"/>
      <w:jc w:val="both"/>
    </w:pPr>
    <w:rPr>
      <w:rFonts w:ascii="Garamond" w:eastAsia="Times New Roman" w:hAnsi="Garamond" w:cs="Times New Roman"/>
      <w:szCs w:val="20"/>
      <w:lang w:eastAsia="fr-FR"/>
    </w:rPr>
  </w:style>
  <w:style w:type="character" w:customStyle="1" w:styleId="RetraitcorpsdetexteCar">
    <w:name w:val="Retrait corps de texte Car"/>
    <w:basedOn w:val="Policepardfaut"/>
    <w:link w:val="Retraitcorpsdetexte"/>
    <w:semiHidden/>
    <w:rsid w:val="00D41BD8"/>
    <w:rPr>
      <w:rFonts w:ascii="Garamond" w:eastAsia="Times New Roman" w:hAnsi="Garamond" w:cs="Times New Roman"/>
      <w:szCs w:val="20"/>
      <w:lang w:eastAsia="fr-FR"/>
    </w:rPr>
  </w:style>
  <w:style w:type="character" w:styleId="Lienhypertexte">
    <w:name w:val="Hyperlink"/>
    <w:basedOn w:val="Policepardfaut"/>
    <w:uiPriority w:val="99"/>
    <w:rsid w:val="00D41BD8"/>
    <w:rPr>
      <w:color w:val="0000FF"/>
      <w:u w:val="single"/>
    </w:rPr>
  </w:style>
  <w:style w:type="paragraph" w:customStyle="1" w:styleId="TitreG">
    <w:name w:val="TitreG"/>
    <w:basedOn w:val="Normal"/>
    <w:next w:val="Normal"/>
    <w:rsid w:val="00D41BD8"/>
    <w:pPr>
      <w:spacing w:before="0" w:beforeAutospacing="0" w:after="0" w:afterAutospacing="0"/>
    </w:pPr>
    <w:rPr>
      <w:rFonts w:ascii="Verdana" w:eastAsia="Times New Roman" w:hAnsi="Verdana" w:cs="Times New Roman"/>
      <w:b/>
      <w:color w:val="008080"/>
      <w:sz w:val="28"/>
      <w:szCs w:val="20"/>
      <w:lang w:eastAsia="fr-FR"/>
    </w:rPr>
  </w:style>
  <w:style w:type="paragraph" w:styleId="Paragraphedeliste">
    <w:name w:val="List Paragraph"/>
    <w:basedOn w:val="Normal"/>
    <w:link w:val="ParagraphedelisteCar"/>
    <w:uiPriority w:val="34"/>
    <w:qFormat/>
    <w:rsid w:val="00D41BD8"/>
    <w:pPr>
      <w:spacing w:before="0" w:beforeAutospacing="0" w:after="200" w:afterAutospacing="0" w:line="276" w:lineRule="auto"/>
      <w:ind w:left="720"/>
      <w:contextualSpacing/>
      <w:jc w:val="left"/>
    </w:pPr>
  </w:style>
  <w:style w:type="character" w:styleId="Lienhypertextesuivivisit">
    <w:name w:val="FollowedHyperlink"/>
    <w:basedOn w:val="Policepardfaut"/>
    <w:uiPriority w:val="99"/>
    <w:semiHidden/>
    <w:unhideWhenUsed/>
    <w:rsid w:val="00D41BD8"/>
    <w:rPr>
      <w:color w:val="800080" w:themeColor="followedHyperlink"/>
      <w:u w:val="single"/>
    </w:rPr>
  </w:style>
  <w:style w:type="paragraph" w:styleId="NormalWeb">
    <w:name w:val="Normal (Web)"/>
    <w:basedOn w:val="Normal"/>
    <w:uiPriority w:val="99"/>
    <w:unhideWhenUsed/>
    <w:rsid w:val="00D41BD8"/>
    <w:pPr>
      <w:jc w:val="left"/>
    </w:pPr>
    <w:rPr>
      <w:rFonts w:ascii="Times New Roman" w:eastAsia="Times New Roman" w:hAnsi="Times New Roman" w:cs="Times New Roman"/>
      <w:sz w:val="24"/>
      <w:szCs w:val="24"/>
      <w:lang w:eastAsia="fr-FR"/>
    </w:rPr>
  </w:style>
  <w:style w:type="character" w:customStyle="1" w:styleId="articletitre1">
    <w:name w:val="article_titre1"/>
    <w:basedOn w:val="Policepardfaut"/>
    <w:rsid w:val="00D41BD8"/>
    <w:rPr>
      <w:rFonts w:ascii="Verdana" w:hAnsi="Verdana" w:hint="default"/>
      <w:b/>
      <w:bCs/>
      <w:color w:val="000099"/>
      <w:sz w:val="24"/>
      <w:szCs w:val="24"/>
    </w:rPr>
  </w:style>
  <w:style w:type="numbering" w:customStyle="1" w:styleId="Aucuneliste2">
    <w:name w:val="Aucune liste2"/>
    <w:next w:val="Aucuneliste"/>
    <w:uiPriority w:val="99"/>
    <w:semiHidden/>
    <w:unhideWhenUsed/>
    <w:rsid w:val="00D41BD8"/>
  </w:style>
  <w:style w:type="character" w:customStyle="1" w:styleId="hit">
    <w:name w:val="hit"/>
    <w:basedOn w:val="Policepardfaut"/>
    <w:rsid w:val="00D41BD8"/>
  </w:style>
  <w:style w:type="paragraph" w:customStyle="1" w:styleId="a">
    <w:name w:val="_"/>
    <w:basedOn w:val="Normal"/>
    <w:rsid w:val="00D41BD8"/>
    <w:pPr>
      <w:widowControl w:val="0"/>
      <w:spacing w:before="0" w:beforeAutospacing="0" w:after="0" w:afterAutospacing="0"/>
      <w:ind w:left="720" w:hanging="720"/>
      <w:jc w:val="left"/>
    </w:pPr>
    <w:rPr>
      <w:rFonts w:ascii="Times New Roman" w:eastAsia="Times New Roman" w:hAnsi="Times New Roman" w:cs="Times New Roman"/>
      <w:snapToGrid w:val="0"/>
      <w:sz w:val="24"/>
      <w:szCs w:val="24"/>
      <w:lang w:val="en-US" w:eastAsia="fr-FR"/>
    </w:rPr>
  </w:style>
  <w:style w:type="character" w:customStyle="1" w:styleId="bc">
    <w:name w:val="bc"/>
    <w:basedOn w:val="Policepardfaut"/>
    <w:rsid w:val="00D41BD8"/>
  </w:style>
  <w:style w:type="character" w:styleId="lev">
    <w:name w:val="Strong"/>
    <w:basedOn w:val="Policepardfaut"/>
    <w:uiPriority w:val="22"/>
    <w:qFormat/>
    <w:rsid w:val="00D41BD8"/>
    <w:rPr>
      <w:b/>
      <w:bCs/>
    </w:rPr>
  </w:style>
  <w:style w:type="character" w:customStyle="1" w:styleId="Titre1Car">
    <w:name w:val="Titre 1 Car"/>
    <w:basedOn w:val="Policepardfaut"/>
    <w:link w:val="Titre1"/>
    <w:uiPriority w:val="9"/>
    <w:rsid w:val="002A3F16"/>
    <w:rPr>
      <w:rFonts w:ascii="Cambria" w:eastAsia="Times New Roman" w:hAnsi="Cambria" w:cs="Times New Roman"/>
      <w:b/>
      <w:bCs/>
      <w:color w:val="365F91"/>
      <w:sz w:val="24"/>
      <w:szCs w:val="24"/>
      <w:lang w:val="en-US" w:bidi="en-US"/>
    </w:rPr>
  </w:style>
  <w:style w:type="character" w:customStyle="1" w:styleId="Titre2Car">
    <w:name w:val="Titre 2 Car"/>
    <w:basedOn w:val="Policepardfaut"/>
    <w:link w:val="Titre2"/>
    <w:rsid w:val="002A3F16"/>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2A3F16"/>
    <w:rPr>
      <w:rFonts w:asciiTheme="majorHAnsi" w:eastAsiaTheme="majorEastAsia" w:hAnsiTheme="majorHAnsi" w:cstheme="majorBidi"/>
      <w:b/>
      <w:bCs/>
      <w:color w:val="4F81BD" w:themeColor="accent1"/>
    </w:rPr>
  </w:style>
  <w:style w:type="numbering" w:customStyle="1" w:styleId="Aucuneliste3">
    <w:name w:val="Aucune liste3"/>
    <w:next w:val="Aucuneliste"/>
    <w:uiPriority w:val="99"/>
    <w:semiHidden/>
    <w:unhideWhenUsed/>
    <w:rsid w:val="002A3F16"/>
  </w:style>
  <w:style w:type="character" w:styleId="Accentuation">
    <w:name w:val="Emphasis"/>
    <w:basedOn w:val="Policepardfaut"/>
    <w:uiPriority w:val="20"/>
    <w:qFormat/>
    <w:rsid w:val="002A3F16"/>
    <w:rPr>
      <w:i/>
      <w:iCs/>
    </w:rPr>
  </w:style>
  <w:style w:type="character" w:customStyle="1" w:styleId="ParagraphedelisteCar">
    <w:name w:val="Paragraphe de liste Car"/>
    <w:basedOn w:val="Policepardfaut"/>
    <w:link w:val="Paragraphedeliste"/>
    <w:uiPriority w:val="34"/>
    <w:rsid w:val="002A3F16"/>
  </w:style>
  <w:style w:type="character" w:styleId="Rfrenceple">
    <w:name w:val="Subtle Reference"/>
    <w:uiPriority w:val="31"/>
    <w:qFormat/>
    <w:rsid w:val="002A3F16"/>
    <w:rPr>
      <w:color w:val="auto"/>
      <w:u w:val="single" w:color="9BBB59"/>
    </w:rPr>
  </w:style>
  <w:style w:type="character" w:styleId="Rfrenceintense">
    <w:name w:val="Intense Reference"/>
    <w:basedOn w:val="Policepardfaut"/>
    <w:uiPriority w:val="32"/>
    <w:qFormat/>
    <w:rsid w:val="002A3F16"/>
    <w:rPr>
      <w:b/>
      <w:bCs/>
      <w:color w:val="76923C"/>
      <w:u w:val="single" w:color="9BBB59"/>
    </w:rPr>
  </w:style>
  <w:style w:type="table" w:customStyle="1" w:styleId="Grilledutableau1">
    <w:name w:val="Grille du tableau1"/>
    <w:basedOn w:val="TableauNormal"/>
    <w:next w:val="Grilledutableau"/>
    <w:uiPriority w:val="59"/>
    <w:rsid w:val="002A3F16"/>
    <w:pPr>
      <w:spacing w:before="0" w:beforeAutospacing="0" w:after="0" w:afterAutospacing="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tedefin">
    <w:name w:val="endnote text"/>
    <w:basedOn w:val="Normal"/>
    <w:link w:val="NotedefinCar"/>
    <w:uiPriority w:val="99"/>
    <w:semiHidden/>
    <w:unhideWhenUsed/>
    <w:rsid w:val="002A3F16"/>
    <w:pPr>
      <w:spacing w:before="0" w:beforeAutospacing="0" w:after="0" w:afterAutospacing="0"/>
      <w:jc w:val="left"/>
    </w:pPr>
    <w:rPr>
      <w:sz w:val="20"/>
      <w:szCs w:val="20"/>
    </w:rPr>
  </w:style>
  <w:style w:type="character" w:customStyle="1" w:styleId="NotedefinCar">
    <w:name w:val="Note de fin Car"/>
    <w:basedOn w:val="Policepardfaut"/>
    <w:link w:val="Notedefin"/>
    <w:uiPriority w:val="99"/>
    <w:semiHidden/>
    <w:rsid w:val="002A3F16"/>
    <w:rPr>
      <w:sz w:val="20"/>
      <w:szCs w:val="20"/>
    </w:rPr>
  </w:style>
  <w:style w:type="character" w:styleId="Appeldenotedefin">
    <w:name w:val="endnote reference"/>
    <w:basedOn w:val="Policepardfaut"/>
    <w:uiPriority w:val="99"/>
    <w:semiHidden/>
    <w:unhideWhenUsed/>
    <w:rsid w:val="002A3F16"/>
    <w:rPr>
      <w:vertAlign w:val="superscript"/>
    </w:rPr>
  </w:style>
  <w:style w:type="numbering" w:customStyle="1" w:styleId="Aucuneliste4">
    <w:name w:val="Aucune liste4"/>
    <w:next w:val="Aucuneliste"/>
    <w:uiPriority w:val="99"/>
    <w:semiHidden/>
    <w:unhideWhenUsed/>
    <w:rsid w:val="0039067A"/>
  </w:style>
  <w:style w:type="paragraph" w:customStyle="1" w:styleId="spip">
    <w:name w:val="spip"/>
    <w:basedOn w:val="Normal"/>
    <w:rsid w:val="0039067A"/>
    <w:pPr>
      <w:jc w:val="left"/>
    </w:pPr>
    <w:rPr>
      <w:rFonts w:ascii="Times New Roman" w:eastAsia="Times New Roman" w:hAnsi="Times New Roman" w:cs="Times New Roman"/>
      <w:sz w:val="24"/>
      <w:szCs w:val="24"/>
      <w:lang w:eastAsia="fr-FR"/>
    </w:rPr>
  </w:style>
  <w:style w:type="paragraph" w:customStyle="1" w:styleId="Titre10">
    <w:name w:val="Titre1"/>
    <w:basedOn w:val="Normal"/>
    <w:next w:val="Normal"/>
    <w:uiPriority w:val="10"/>
    <w:qFormat/>
    <w:rsid w:val="0039067A"/>
    <w:pPr>
      <w:pBdr>
        <w:bottom w:val="single" w:sz="8" w:space="4" w:color="4F81BD"/>
      </w:pBdr>
      <w:spacing w:before="0" w:beforeAutospacing="0" w:after="300" w:afterAutospacing="0"/>
      <w:contextualSpacing/>
      <w:jc w:val="left"/>
    </w:pPr>
    <w:rPr>
      <w:rFonts w:ascii="Cambria" w:eastAsia="Times New Roman" w:hAnsi="Cambria" w:cs="Times New Roman"/>
      <w:color w:val="17365D"/>
      <w:spacing w:val="5"/>
      <w:kern w:val="28"/>
      <w:sz w:val="52"/>
      <w:szCs w:val="52"/>
    </w:rPr>
  </w:style>
  <w:style w:type="character" w:customStyle="1" w:styleId="TitreCar">
    <w:name w:val="Titre Car"/>
    <w:basedOn w:val="Policepardfaut"/>
    <w:link w:val="Titre"/>
    <w:uiPriority w:val="10"/>
    <w:rsid w:val="0039067A"/>
    <w:rPr>
      <w:rFonts w:ascii="Cambria" w:eastAsia="Times New Roman" w:hAnsi="Cambria" w:cs="Times New Roman"/>
      <w:color w:val="17365D"/>
      <w:spacing w:val="5"/>
      <w:kern w:val="28"/>
      <w:sz w:val="52"/>
      <w:szCs w:val="52"/>
    </w:rPr>
  </w:style>
  <w:style w:type="character" w:styleId="Emphaseintense">
    <w:name w:val="Intense Emphasis"/>
    <w:uiPriority w:val="21"/>
    <w:qFormat/>
    <w:rsid w:val="0039067A"/>
    <w:rPr>
      <w:b/>
      <w:bCs/>
      <w:i/>
      <w:iCs/>
      <w:color w:val="4F81BD"/>
      <w:sz w:val="22"/>
      <w:szCs w:val="22"/>
    </w:rPr>
  </w:style>
  <w:style w:type="character" w:styleId="CitationHTML">
    <w:name w:val="HTML Cite"/>
    <w:basedOn w:val="Policepardfaut"/>
    <w:uiPriority w:val="99"/>
    <w:semiHidden/>
    <w:unhideWhenUsed/>
    <w:rsid w:val="0039067A"/>
    <w:rPr>
      <w:i/>
      <w:iCs/>
    </w:rPr>
  </w:style>
  <w:style w:type="paragraph" w:styleId="Titre">
    <w:name w:val="Title"/>
    <w:basedOn w:val="Normal"/>
    <w:next w:val="Normal"/>
    <w:link w:val="TitreCar"/>
    <w:uiPriority w:val="10"/>
    <w:qFormat/>
    <w:rsid w:val="0039067A"/>
    <w:pPr>
      <w:pBdr>
        <w:bottom w:val="single" w:sz="8" w:space="4" w:color="4F81BD" w:themeColor="accent1"/>
      </w:pBdr>
      <w:spacing w:before="0" w:after="300"/>
      <w:contextualSpacing/>
    </w:pPr>
    <w:rPr>
      <w:rFonts w:ascii="Cambria" w:eastAsia="Times New Roman" w:hAnsi="Cambria" w:cs="Times New Roman"/>
      <w:color w:val="17365D"/>
      <w:spacing w:val="5"/>
      <w:kern w:val="28"/>
      <w:sz w:val="52"/>
      <w:szCs w:val="52"/>
    </w:rPr>
  </w:style>
  <w:style w:type="character" w:customStyle="1" w:styleId="TitreCar1">
    <w:name w:val="Titre Car1"/>
    <w:basedOn w:val="Policepardfaut"/>
    <w:link w:val="Titre"/>
    <w:uiPriority w:val="10"/>
    <w:rsid w:val="0039067A"/>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236254">
      <w:bodyDiv w:val="1"/>
      <w:marLeft w:val="0"/>
      <w:marRight w:val="0"/>
      <w:marTop w:val="0"/>
      <w:marBottom w:val="0"/>
      <w:divBdr>
        <w:top w:val="none" w:sz="0" w:space="0" w:color="auto"/>
        <w:left w:val="none" w:sz="0" w:space="0" w:color="auto"/>
        <w:bottom w:val="none" w:sz="0" w:space="0" w:color="auto"/>
        <w:right w:val="none" w:sz="0" w:space="0" w:color="auto"/>
      </w:divBdr>
    </w:div>
    <w:div w:id="814906973">
      <w:bodyDiv w:val="1"/>
      <w:marLeft w:val="0"/>
      <w:marRight w:val="0"/>
      <w:marTop w:val="0"/>
      <w:marBottom w:val="0"/>
      <w:divBdr>
        <w:top w:val="none" w:sz="0" w:space="0" w:color="auto"/>
        <w:left w:val="none" w:sz="0" w:space="0" w:color="auto"/>
        <w:bottom w:val="none" w:sz="0" w:space="0" w:color="auto"/>
        <w:right w:val="none" w:sz="0" w:space="0" w:color="auto"/>
      </w:divBdr>
    </w:div>
    <w:div w:id="1605848323">
      <w:bodyDiv w:val="1"/>
      <w:marLeft w:val="0"/>
      <w:marRight w:val="0"/>
      <w:marTop w:val="0"/>
      <w:marBottom w:val="0"/>
      <w:divBdr>
        <w:top w:val="none" w:sz="0" w:space="0" w:color="auto"/>
        <w:left w:val="none" w:sz="0" w:space="0" w:color="auto"/>
        <w:bottom w:val="none" w:sz="0" w:space="0" w:color="auto"/>
        <w:right w:val="none" w:sz="0" w:space="0" w:color="auto"/>
      </w:divBdr>
    </w:div>
    <w:div w:id="186601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yperlink" Target="http://www.iasb.org" TargetMode="External"/><Relationship Id="rId26" Type="http://schemas.openxmlformats.org/officeDocument/2006/relationships/header" Target="header14.xml"/><Relationship Id="rId3" Type="http://schemas.microsoft.com/office/2007/relationships/stylesWithEffects" Target="stylesWithEffect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image" Target="media/image1.jpeg"/><Relationship Id="rId25"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9.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12.xml"/><Relationship Id="rId28" Type="http://schemas.openxmlformats.org/officeDocument/2006/relationships/header" Target="header16.xml"/><Relationship Id="rId10" Type="http://schemas.openxmlformats.org/officeDocument/2006/relationships/header" Target="header3.xml"/><Relationship Id="rId19" Type="http://schemas.openxmlformats.org/officeDocument/2006/relationships/header" Target="header8.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1.xml"/><Relationship Id="rId27" Type="http://schemas.openxmlformats.org/officeDocument/2006/relationships/header" Target="header15.xml"/><Relationship Id="rId30"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www.iasb.com" TargetMode="External"/><Relationship Id="rId2" Type="http://schemas.openxmlformats.org/officeDocument/2006/relationships/hyperlink" Target="http://halshs.archives-ouvertes.fr/halshs-00592767/fr/" TargetMode="External"/><Relationship Id="rId1" Type="http://schemas.openxmlformats.org/officeDocument/2006/relationships/hyperlink" Target="http://www.iefpedia.com" TargetMode="External"/><Relationship Id="rId4" Type="http://schemas.openxmlformats.org/officeDocument/2006/relationships/hyperlink" Target="http://www.google.com/url?url=http://www.trader-finance.fr/lexique-finance.html&amp;rct=j&amp;sa=X&amp;ei=OAFGTtX5B8PBswbukZG4Bw&amp;ved=0CHEQ6QUoADAJ&amp;q=la+comptabilit%C3%A9+cr%C3%A9ative&amp;usg=AFQjCNEWODI086XR4_ayGlzxC4G-FSU9Rg"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zinadjinan\Desktop\donn&#233;es%203.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title>
    <c:autoTitleDeleted val="0"/>
    <c:plotArea>
      <c:layout/>
      <c:barChart>
        <c:barDir val="col"/>
        <c:grouping val="clustered"/>
        <c:varyColors val="0"/>
        <c:ser>
          <c:idx val="0"/>
          <c:order val="0"/>
          <c:tx>
            <c:strRef>
              <c:f>Feuil2!$B$1</c:f>
              <c:strCache>
                <c:ptCount val="1"/>
                <c:pt idx="0">
                  <c:v>VAR REL CP</c:v>
                </c:pt>
              </c:strCache>
            </c:strRef>
          </c:tx>
          <c:invertIfNegative val="0"/>
          <c:val>
            <c:numRef>
              <c:f>Feuil2!$B$2:$B$34</c:f>
              <c:numCache>
                <c:formatCode>0%</c:formatCode>
                <c:ptCount val="33"/>
                <c:pt idx="0">
                  <c:v>0.62026381717003765</c:v>
                </c:pt>
                <c:pt idx="1">
                  <c:v>0.54693359420105758</c:v>
                </c:pt>
                <c:pt idx="2">
                  <c:v>0.42950807717838713</c:v>
                </c:pt>
                <c:pt idx="3">
                  <c:v>0.40963747733482392</c:v>
                </c:pt>
                <c:pt idx="4">
                  <c:v>0.31935174114984644</c:v>
                </c:pt>
                <c:pt idx="5">
                  <c:v>0.31327496599036075</c:v>
                </c:pt>
                <c:pt idx="6">
                  <c:v>0.30577145941334344</c:v>
                </c:pt>
                <c:pt idx="7">
                  <c:v>0.28202003715732687</c:v>
                </c:pt>
                <c:pt idx="8">
                  <c:v>0.27377087582365872</c:v>
                </c:pt>
                <c:pt idx="9">
                  <c:v>0.20367632327735297</c:v>
                </c:pt>
                <c:pt idx="10">
                  <c:v>0.12625242197449771</c:v>
                </c:pt>
                <c:pt idx="11">
                  <c:v>0.11528560414735056</c:v>
                </c:pt>
                <c:pt idx="12">
                  <c:v>6.5207747877593911E-2</c:v>
                </c:pt>
                <c:pt idx="13">
                  <c:v>6.1457050924790639E-2</c:v>
                </c:pt>
                <c:pt idx="14">
                  <c:v>-3.6521366566074302E-3</c:v>
                </c:pt>
                <c:pt idx="15">
                  <c:v>-5.9168541666666423E-3</c:v>
                </c:pt>
                <c:pt idx="16">
                  <c:v>-6.5460367988783921E-3</c:v>
                </c:pt>
                <c:pt idx="17">
                  <c:v>-1.6559231678435881E-2</c:v>
                </c:pt>
                <c:pt idx="18">
                  <c:v>-2.8331800553236856E-2</c:v>
                </c:pt>
                <c:pt idx="19">
                  <c:v>-4.1825465542391416E-2</c:v>
                </c:pt>
                <c:pt idx="20">
                  <c:v>-4.6800892232211434E-2</c:v>
                </c:pt>
                <c:pt idx="21">
                  <c:v>-8.8158845752857179E-2</c:v>
                </c:pt>
                <c:pt idx="22">
                  <c:v>-0.12000724749468412</c:v>
                </c:pt>
                <c:pt idx="23">
                  <c:v>-0.15630855504176444</c:v>
                </c:pt>
                <c:pt idx="24">
                  <c:v>-0.32500348454683631</c:v>
                </c:pt>
                <c:pt idx="25">
                  <c:v>-0.34382154010853833</c:v>
                </c:pt>
                <c:pt idx="26">
                  <c:v>-0.47749049758549322</c:v>
                </c:pt>
                <c:pt idx="27">
                  <c:v>-0.50774845182881845</c:v>
                </c:pt>
                <c:pt idx="28">
                  <c:v>-0.53517297599452929</c:v>
                </c:pt>
                <c:pt idx="29">
                  <c:v>-0.59375148324896054</c:v>
                </c:pt>
                <c:pt idx="30">
                  <c:v>-0.67578206157245968</c:v>
                </c:pt>
                <c:pt idx="31">
                  <c:v>-1.5411962688373078</c:v>
                </c:pt>
                <c:pt idx="32">
                  <c:v>-3.7951883723053612</c:v>
                </c:pt>
              </c:numCache>
            </c:numRef>
          </c:val>
        </c:ser>
        <c:dLbls>
          <c:showLegendKey val="0"/>
          <c:showVal val="0"/>
          <c:showCatName val="0"/>
          <c:showSerName val="0"/>
          <c:showPercent val="0"/>
          <c:showBubbleSize val="0"/>
        </c:dLbls>
        <c:gapWidth val="150"/>
        <c:axId val="220383872"/>
        <c:axId val="220391680"/>
      </c:barChart>
      <c:catAx>
        <c:axId val="220383872"/>
        <c:scaling>
          <c:orientation val="minMax"/>
        </c:scaling>
        <c:delete val="1"/>
        <c:axPos val="b"/>
        <c:majorTickMark val="out"/>
        <c:minorTickMark val="none"/>
        <c:tickLblPos val="none"/>
        <c:crossAx val="220391680"/>
        <c:crosses val="autoZero"/>
        <c:auto val="1"/>
        <c:lblAlgn val="ctr"/>
        <c:lblOffset val="100"/>
        <c:noMultiLvlLbl val="0"/>
      </c:catAx>
      <c:valAx>
        <c:axId val="220391680"/>
        <c:scaling>
          <c:orientation val="minMax"/>
        </c:scaling>
        <c:delete val="0"/>
        <c:axPos val="l"/>
        <c:majorGridlines/>
        <c:numFmt formatCode="0%" sourceLinked="1"/>
        <c:majorTickMark val="out"/>
        <c:minorTickMark val="none"/>
        <c:tickLblPos val="nextTo"/>
        <c:crossAx val="220383872"/>
        <c:crosses val="autoZero"/>
        <c:crossBetween val="between"/>
      </c:valAx>
    </c:plotArea>
    <c:legend>
      <c:legendPos val="r"/>
      <c:layout/>
      <c:overlay val="0"/>
    </c:legend>
    <c:plotVisOnly val="1"/>
    <c:dispBlanksAs val="gap"/>
    <c:showDLblsOverMax val="0"/>
  </c:chart>
  <c:externalData r:id="rId2">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FC9E8BEFF21471997A298FA4592CEBF"/>
        <w:category>
          <w:name w:val="Général"/>
          <w:gallery w:val="placeholder"/>
        </w:category>
        <w:types>
          <w:type w:val="bbPlcHdr"/>
        </w:types>
        <w:behaviors>
          <w:behavior w:val="content"/>
        </w:behaviors>
        <w:guid w:val="{C5846631-EACE-4ADC-A340-958A0B21EACE}"/>
      </w:docPartPr>
      <w:docPartBody>
        <w:p w:rsidR="00782C82" w:rsidRDefault="00782C82" w:rsidP="00782C82">
          <w:pPr>
            <w:pStyle w:val="8FC9E8BEFF21471997A298FA4592CEBF"/>
          </w:pPr>
          <w:r>
            <w:rPr>
              <w:rFonts w:asciiTheme="majorHAnsi" w:eastAsiaTheme="majorEastAsia" w:hAnsiTheme="majorHAnsi" w:cstheme="majorBidi"/>
              <w:color w:val="4F81BD" w:themeColor="accent1"/>
              <w:sz w:val="24"/>
              <w:szCs w:val="24"/>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00"/>
    <w:family w:val="roman"/>
    <w:notTrueType/>
    <w:pitch w:val="default"/>
    <w:sig w:usb0="00000003" w:usb1="00000000" w:usb2="00000000" w:usb3="00000000" w:csb0="00000001" w:csb1="00000000"/>
  </w:font>
  <w:font w:name="Times#20New#20Roman,Italic">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TimesNewRomanPS-BoldItalicMT">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C82"/>
    <w:rsid w:val="00782C8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FC9E8BEFF21471997A298FA4592CEBF">
    <w:name w:val="8FC9E8BEFF21471997A298FA4592CEBF"/>
    <w:rsid w:val="00782C82"/>
  </w:style>
  <w:style w:type="paragraph" w:customStyle="1" w:styleId="AC7391F198CD42B7AAA82893017C7297">
    <w:name w:val="AC7391F198CD42B7AAA82893017C7297"/>
    <w:rsid w:val="00782C82"/>
  </w:style>
  <w:style w:type="paragraph" w:customStyle="1" w:styleId="CF270A16CE8A453A8CD0C8033D88BF38">
    <w:name w:val="CF270A16CE8A453A8CD0C8033D88BF38"/>
    <w:rsid w:val="00782C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FC9E8BEFF21471997A298FA4592CEBF">
    <w:name w:val="8FC9E8BEFF21471997A298FA4592CEBF"/>
    <w:rsid w:val="00782C82"/>
  </w:style>
  <w:style w:type="paragraph" w:customStyle="1" w:styleId="AC7391F198CD42B7AAA82893017C7297">
    <w:name w:val="AC7391F198CD42B7AAA82893017C7297"/>
    <w:rsid w:val="00782C82"/>
  </w:style>
  <w:style w:type="paragraph" w:customStyle="1" w:styleId="CF270A16CE8A453A8CD0C8033D88BF38">
    <w:name w:val="CF270A16CE8A453A8CD0C8033D88BF38"/>
    <w:rsid w:val="00782C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115</TotalTime>
  <Pages>144</Pages>
  <Words>45674</Words>
  <Characters>251209</Characters>
  <Application>Microsoft Office Word</Application>
  <DocSecurity>0</DocSecurity>
  <Lines>2093</Lines>
  <Paragraphs>592</Paragraphs>
  <ScaleCrop>false</ScaleCrop>
  <HeadingPairs>
    <vt:vector size="2" baseType="variant">
      <vt:variant>
        <vt:lpstr>Titre</vt:lpstr>
      </vt:variant>
      <vt:variant>
        <vt:i4>1</vt:i4>
      </vt:variant>
    </vt:vector>
  </HeadingPairs>
  <TitlesOfParts>
    <vt:vector size="1" baseType="lpstr">
      <vt:lpstr>Introduction Générale</vt:lpstr>
    </vt:vector>
  </TitlesOfParts>
  <Company/>
  <LinksUpToDate>false</LinksUpToDate>
  <CharactersWithSpaces>296291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Générale</dc:title>
  <dc:creator>zinadjinan</dc:creator>
  <cp:lastModifiedBy>35</cp:lastModifiedBy>
  <cp:revision>10</cp:revision>
  <cp:lastPrinted>2012-04-27T22:37:00Z</cp:lastPrinted>
  <dcterms:created xsi:type="dcterms:W3CDTF">2012-04-27T21:57:00Z</dcterms:created>
  <dcterms:modified xsi:type="dcterms:W3CDTF">2012-05-31T22:01:00Z</dcterms:modified>
</cp:coreProperties>
</file>