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25" w:rsidRPr="007443AD" w:rsidRDefault="000D278E" w:rsidP="008E05F5">
      <w:pPr>
        <w:spacing w:line="360" w:lineRule="auto"/>
        <w:jc w:val="both"/>
      </w:pPr>
      <w:r w:rsidRPr="007443AD">
        <w:t xml:space="preserve">    </w:t>
      </w:r>
      <w:r w:rsidR="003A4F2E" w:rsidRPr="007443AD">
        <w:rPr>
          <w:rFonts w:eastAsiaTheme="minorHAnsi"/>
          <w:lang w:eastAsia="en-US"/>
        </w:rPr>
        <w:t>Portant</w:t>
      </w:r>
      <w:r w:rsidR="000C5FA1">
        <w:rPr>
          <w:rFonts w:eastAsiaTheme="minorHAnsi"/>
          <w:lang w:eastAsia="en-US"/>
        </w:rPr>
        <w:t xml:space="preserve"> un intérêt particulier aux PME </w:t>
      </w:r>
      <w:r w:rsidR="008E05F5">
        <w:rPr>
          <w:rFonts w:eastAsiaTheme="minorHAnsi"/>
          <w:lang w:eastAsia="en-US"/>
        </w:rPr>
        <w:t xml:space="preserve">algériennes </w:t>
      </w:r>
      <w:r w:rsidR="00B92F1F" w:rsidRPr="007443AD">
        <w:rPr>
          <w:rFonts w:eastAsiaTheme="minorHAnsi"/>
          <w:lang w:eastAsia="en-US"/>
        </w:rPr>
        <w:t xml:space="preserve">qui occupent </w:t>
      </w:r>
      <w:r w:rsidR="00B92F1F" w:rsidRPr="007443AD">
        <w:rPr>
          <w:rFonts w:asciiTheme="majorBidi" w:hAnsiTheme="majorBidi" w:cstheme="majorBidi"/>
        </w:rPr>
        <w:t>une place stratégique dans le processus de développement économique et social d</w:t>
      </w:r>
      <w:r w:rsidR="008E05F5">
        <w:rPr>
          <w:rFonts w:asciiTheme="majorBidi" w:hAnsiTheme="majorBidi" w:cstheme="majorBidi"/>
        </w:rPr>
        <w:t>u</w:t>
      </w:r>
      <w:r w:rsidR="00B92F1F" w:rsidRPr="007443AD">
        <w:rPr>
          <w:rFonts w:asciiTheme="majorBidi" w:hAnsiTheme="majorBidi" w:cstheme="majorBidi"/>
        </w:rPr>
        <w:t xml:space="preserve"> pays</w:t>
      </w:r>
      <w:r w:rsidR="003A4F2E" w:rsidRPr="007443AD">
        <w:rPr>
          <w:rFonts w:asciiTheme="majorBidi" w:hAnsiTheme="majorBidi" w:cstheme="majorBidi"/>
        </w:rPr>
        <w:t>,</w:t>
      </w:r>
      <w:r w:rsidR="003A4F2E" w:rsidRPr="007443AD">
        <w:rPr>
          <w:rFonts w:eastAsiaTheme="minorHAnsi"/>
          <w:lang w:eastAsia="en-US"/>
        </w:rPr>
        <w:t xml:space="preserve"> </w:t>
      </w:r>
      <w:r w:rsidR="00FF5EFD">
        <w:rPr>
          <w:rFonts w:eastAsiaTheme="minorHAnsi"/>
          <w:lang w:eastAsia="en-US"/>
        </w:rPr>
        <w:t xml:space="preserve">nous avons essayé à travers </w:t>
      </w:r>
      <w:r w:rsidR="003A4F2E" w:rsidRPr="007443AD">
        <w:t>c</w:t>
      </w:r>
      <w:r w:rsidR="00EE0425" w:rsidRPr="007443AD">
        <w:t xml:space="preserve">ette recherche </w:t>
      </w:r>
      <w:r w:rsidR="00FF5EFD">
        <w:t>de</w:t>
      </w:r>
      <w:r w:rsidR="00971A1B">
        <w:t xml:space="preserve"> </w:t>
      </w:r>
      <w:r w:rsidR="00EE0425" w:rsidRPr="007443AD">
        <w:t>contribu</w:t>
      </w:r>
      <w:r w:rsidR="00FF5EFD">
        <w:t>er</w:t>
      </w:r>
      <w:r w:rsidR="00EE0425" w:rsidRPr="007443AD">
        <w:t xml:space="preserve"> à la compréhension des différentes sources de financement </w:t>
      </w:r>
      <w:r w:rsidR="00B92F1F" w:rsidRPr="007443AD">
        <w:t xml:space="preserve">mises à la disposition </w:t>
      </w:r>
      <w:r w:rsidR="00C21C55" w:rsidRPr="007443AD">
        <w:t>de cette catégorie d’entreprise</w:t>
      </w:r>
      <w:r w:rsidR="00987D21">
        <w:t>s</w:t>
      </w:r>
      <w:r w:rsidR="00EE0425" w:rsidRPr="007443AD">
        <w:t xml:space="preserve"> et </w:t>
      </w:r>
      <w:r w:rsidR="001A00AD" w:rsidRPr="007443AD">
        <w:t xml:space="preserve">à la détermination </w:t>
      </w:r>
      <w:r w:rsidR="00EE0425" w:rsidRPr="007443AD">
        <w:t xml:space="preserve">des </w:t>
      </w:r>
      <w:r w:rsidR="001A00AD" w:rsidRPr="007443AD">
        <w:t>facteurs influençant</w:t>
      </w:r>
      <w:r w:rsidR="00EE0425" w:rsidRPr="007443AD">
        <w:t xml:space="preserve"> la structure d’endettement d’un échantillon de 72 PME algériennes </w:t>
      </w:r>
      <w:r w:rsidR="00E4517C" w:rsidRPr="007443AD">
        <w:t>et d’un ensemble de sous-échantillon</w:t>
      </w:r>
      <w:r w:rsidR="009B2CC1" w:rsidRPr="007443AD">
        <w:t>s</w:t>
      </w:r>
      <w:r w:rsidR="00E4517C" w:rsidRPr="007443AD">
        <w:t xml:space="preserve"> dérivé</w:t>
      </w:r>
      <w:r w:rsidR="008E05F5">
        <w:t>s</w:t>
      </w:r>
      <w:r w:rsidR="00E4517C" w:rsidRPr="007443AD">
        <w:t xml:space="preserve"> de ce dernier</w:t>
      </w:r>
      <w:r w:rsidR="000F0396">
        <w:t>,</w:t>
      </w:r>
      <w:r w:rsidR="00ED5BA9" w:rsidRPr="007443AD">
        <w:t xml:space="preserve"> à travers une tentation de répondre à la question principale </w:t>
      </w:r>
      <w:r w:rsidR="00987D21">
        <w:t xml:space="preserve">de notre recherche </w:t>
      </w:r>
      <w:r w:rsidR="00803A82" w:rsidRPr="007443AD">
        <w:t>qui a été formulée</w:t>
      </w:r>
      <w:r w:rsidR="00ED5BA9" w:rsidRPr="007443AD">
        <w:t xml:space="preserve"> </w:t>
      </w:r>
      <w:r w:rsidR="00066831" w:rsidRPr="007443AD">
        <w:t>de la manière suivante</w:t>
      </w:r>
      <w:r w:rsidR="00ED5BA9" w:rsidRPr="007443AD">
        <w:t> :</w:t>
      </w:r>
    </w:p>
    <w:p w:rsidR="00ED5BA9" w:rsidRPr="00ED5BA9" w:rsidRDefault="00ED5BA9" w:rsidP="00ED5BA9">
      <w:pPr>
        <w:spacing w:line="360" w:lineRule="auto"/>
        <w:jc w:val="both"/>
        <w:rPr>
          <w:rFonts w:asciiTheme="majorBidi" w:hAnsiTheme="majorBidi" w:cstheme="majorBidi"/>
        </w:rPr>
      </w:pPr>
    </w:p>
    <w:p w:rsidR="00935A00" w:rsidRPr="00B5515A" w:rsidRDefault="00786836" w:rsidP="00935A00">
      <w:pPr>
        <w:spacing w:line="360" w:lineRule="auto"/>
        <w:jc w:val="center"/>
        <w:rPr>
          <w:rFonts w:asciiTheme="majorBidi" w:hAnsiTheme="majorBidi" w:cstheme="majorBidi"/>
          <w:b/>
          <w:bCs/>
        </w:rPr>
      </w:pPr>
      <w:r>
        <w:rPr>
          <w:rFonts w:asciiTheme="majorBidi" w:hAnsiTheme="majorBidi" w:cstheme="majorBidi"/>
          <w:b/>
          <w:bCs/>
        </w:rPr>
        <w:t xml:space="preserve">     </w:t>
      </w:r>
      <w:r w:rsidR="00935A00" w:rsidRPr="00B5515A">
        <w:rPr>
          <w:rFonts w:asciiTheme="majorBidi" w:hAnsiTheme="majorBidi" w:cstheme="majorBidi"/>
          <w:b/>
          <w:bCs/>
        </w:rPr>
        <w:t>En quoi consistent les principales sources de financement mises à la disposition des PME en Algérie ? Quels sont les facteurs qui peuvent expliquer l</w:t>
      </w:r>
      <w:r w:rsidR="00935A00">
        <w:rPr>
          <w:rFonts w:asciiTheme="majorBidi" w:hAnsiTheme="majorBidi" w:cstheme="majorBidi"/>
          <w:b/>
          <w:bCs/>
        </w:rPr>
        <w:t>a</w:t>
      </w:r>
      <w:r w:rsidR="00935A00" w:rsidRPr="00B5515A">
        <w:rPr>
          <w:rFonts w:asciiTheme="majorBidi" w:hAnsiTheme="majorBidi" w:cstheme="majorBidi"/>
          <w:b/>
          <w:bCs/>
        </w:rPr>
        <w:t xml:space="preserve"> structure d’endettement</w:t>
      </w:r>
      <w:r w:rsidR="00935A00">
        <w:rPr>
          <w:rFonts w:asciiTheme="majorBidi" w:hAnsiTheme="majorBidi" w:cstheme="majorBidi"/>
          <w:b/>
          <w:bCs/>
        </w:rPr>
        <w:t xml:space="preserve"> de notre échantillon principal de PME algériennes ? Et peut-on parler des </w:t>
      </w:r>
      <w:r w:rsidR="00935A00" w:rsidRPr="00B5515A">
        <w:rPr>
          <w:rFonts w:asciiTheme="majorBidi" w:hAnsiTheme="majorBidi" w:cstheme="majorBidi"/>
          <w:b/>
          <w:bCs/>
        </w:rPr>
        <w:t xml:space="preserve">mêmes critères qui déterminent la structure d’endettement </w:t>
      </w:r>
      <w:r w:rsidR="00935A00">
        <w:rPr>
          <w:rFonts w:asciiTheme="majorBidi" w:hAnsiTheme="majorBidi" w:cstheme="majorBidi"/>
          <w:b/>
          <w:bCs/>
        </w:rPr>
        <w:t>des PME de ce dernier et de celles de nos différents sous-échantillons?</w:t>
      </w:r>
    </w:p>
    <w:p w:rsidR="00C16299" w:rsidRPr="00B5515A" w:rsidRDefault="00C16299" w:rsidP="00935A00">
      <w:pPr>
        <w:spacing w:line="360" w:lineRule="auto"/>
        <w:jc w:val="center"/>
        <w:rPr>
          <w:rFonts w:asciiTheme="majorBidi" w:hAnsiTheme="majorBidi" w:cstheme="majorBidi"/>
          <w:b/>
          <w:bCs/>
        </w:rPr>
      </w:pPr>
      <w:bookmarkStart w:id="0" w:name="_GoBack"/>
      <w:bookmarkEnd w:id="0"/>
    </w:p>
    <w:p w:rsidR="004E4AA9" w:rsidRPr="004F596D" w:rsidRDefault="00C16299" w:rsidP="00C16299">
      <w:pPr>
        <w:spacing w:line="360" w:lineRule="auto"/>
        <w:jc w:val="both"/>
        <w:rPr>
          <w:rFonts w:asciiTheme="majorBidi" w:hAnsiTheme="majorBidi" w:cstheme="majorBidi"/>
          <w:b/>
          <w:bCs/>
        </w:rPr>
      </w:pPr>
      <w:r w:rsidRPr="004F596D">
        <w:rPr>
          <w:rFonts w:asciiTheme="majorBidi" w:hAnsiTheme="majorBidi" w:cstheme="majorBidi"/>
          <w:b/>
          <w:bCs/>
        </w:rPr>
        <w:t>Test d’h</w:t>
      </w:r>
      <w:r w:rsidR="000D278E" w:rsidRPr="004F596D">
        <w:rPr>
          <w:rFonts w:asciiTheme="majorBidi" w:hAnsiTheme="majorBidi" w:cstheme="majorBidi"/>
          <w:b/>
          <w:bCs/>
        </w:rPr>
        <w:t>ypothèses de la recherche :</w:t>
      </w:r>
    </w:p>
    <w:p w:rsidR="000202EA" w:rsidRPr="004F596D" w:rsidRDefault="00052DEA" w:rsidP="000202EA">
      <w:pPr>
        <w:spacing w:line="360" w:lineRule="auto"/>
        <w:jc w:val="both"/>
        <w:rPr>
          <w:rFonts w:asciiTheme="majorBidi" w:hAnsiTheme="majorBidi" w:cstheme="majorBidi"/>
        </w:rPr>
      </w:pPr>
      <w:r w:rsidRPr="004F596D">
        <w:rPr>
          <w:rFonts w:asciiTheme="majorBidi" w:hAnsiTheme="majorBidi" w:cstheme="majorBidi"/>
        </w:rPr>
        <w:t xml:space="preserve">    </w:t>
      </w:r>
      <w:r w:rsidR="000202EA">
        <w:rPr>
          <w:rFonts w:asciiTheme="majorBidi" w:hAnsiTheme="majorBidi" w:cstheme="majorBidi"/>
        </w:rPr>
        <w:t>L</w:t>
      </w:r>
      <w:r w:rsidR="000202EA" w:rsidRPr="004F596D">
        <w:rPr>
          <w:rFonts w:asciiTheme="majorBidi" w:hAnsiTheme="majorBidi" w:cstheme="majorBidi"/>
        </w:rPr>
        <w:t xml:space="preserve">es différents aspects théoriques et empiriques </w:t>
      </w:r>
      <w:r w:rsidR="000202EA">
        <w:rPr>
          <w:rFonts w:asciiTheme="majorBidi" w:hAnsiTheme="majorBidi" w:cstheme="majorBidi"/>
        </w:rPr>
        <w:t>de</w:t>
      </w:r>
      <w:r w:rsidR="000202EA" w:rsidRPr="004F596D">
        <w:rPr>
          <w:rFonts w:asciiTheme="majorBidi" w:hAnsiTheme="majorBidi" w:cstheme="majorBidi"/>
        </w:rPr>
        <w:t xml:space="preserve"> notre sujet, nous </w:t>
      </w:r>
      <w:r w:rsidR="000202EA">
        <w:rPr>
          <w:rFonts w:asciiTheme="majorBidi" w:hAnsiTheme="majorBidi" w:cstheme="majorBidi"/>
        </w:rPr>
        <w:t>ont permis</w:t>
      </w:r>
      <w:r w:rsidR="000202EA" w:rsidRPr="004F596D">
        <w:rPr>
          <w:rFonts w:asciiTheme="majorBidi" w:hAnsiTheme="majorBidi" w:cstheme="majorBidi"/>
        </w:rPr>
        <w:t xml:space="preserve"> </w:t>
      </w:r>
      <w:r w:rsidR="000202EA">
        <w:rPr>
          <w:rFonts w:asciiTheme="majorBidi" w:hAnsiTheme="majorBidi" w:cstheme="majorBidi"/>
        </w:rPr>
        <w:t>de</w:t>
      </w:r>
      <w:r w:rsidR="000202EA" w:rsidRPr="004F596D">
        <w:rPr>
          <w:rFonts w:asciiTheme="majorBidi" w:hAnsiTheme="majorBidi" w:cstheme="majorBidi"/>
        </w:rPr>
        <w:t xml:space="preserve"> répondre aux questions secondaires posé</w:t>
      </w:r>
      <w:r w:rsidR="000202EA">
        <w:rPr>
          <w:rFonts w:asciiTheme="majorBidi" w:hAnsiTheme="majorBidi" w:cstheme="majorBidi"/>
        </w:rPr>
        <w:t>e</w:t>
      </w:r>
      <w:r w:rsidR="000202EA" w:rsidRPr="004F596D">
        <w:rPr>
          <w:rFonts w:asciiTheme="majorBidi" w:hAnsiTheme="majorBidi" w:cstheme="majorBidi"/>
        </w:rPr>
        <w:t xml:space="preserve">s au niveau de </w:t>
      </w:r>
      <w:r w:rsidR="000202EA">
        <w:rPr>
          <w:rFonts w:asciiTheme="majorBidi" w:hAnsiTheme="majorBidi" w:cstheme="majorBidi"/>
        </w:rPr>
        <w:t xml:space="preserve">notre </w:t>
      </w:r>
      <w:r w:rsidR="000202EA" w:rsidRPr="004F596D">
        <w:rPr>
          <w:rFonts w:asciiTheme="majorBidi" w:hAnsiTheme="majorBidi" w:cstheme="majorBidi"/>
        </w:rPr>
        <w:t>introduction comme suit :</w:t>
      </w:r>
    </w:p>
    <w:p w:rsidR="000202EA" w:rsidRPr="004F596D" w:rsidRDefault="000202EA" w:rsidP="000202EA">
      <w:pPr>
        <w:spacing w:line="360" w:lineRule="auto"/>
        <w:jc w:val="both"/>
        <w:rPr>
          <w:rFonts w:asciiTheme="majorBidi" w:hAnsiTheme="majorBidi" w:cstheme="majorBidi"/>
        </w:rPr>
      </w:pPr>
    </w:p>
    <w:p w:rsidR="000202EA" w:rsidRPr="004F596D" w:rsidRDefault="000202EA" w:rsidP="000202EA">
      <w:pPr>
        <w:spacing w:line="360" w:lineRule="auto"/>
        <w:jc w:val="both"/>
        <w:rPr>
          <w:rFonts w:asciiTheme="majorBidi" w:hAnsiTheme="majorBidi" w:cstheme="majorBidi"/>
        </w:rPr>
      </w:pPr>
      <w:r w:rsidRPr="004F596D">
        <w:rPr>
          <w:rFonts w:asciiTheme="majorBidi" w:hAnsiTheme="majorBidi" w:cstheme="majorBidi"/>
        </w:rPr>
        <w:sym w:font="Wingdings" w:char="F08C"/>
      </w:r>
      <w:r w:rsidRPr="004F596D">
        <w:rPr>
          <w:rFonts w:asciiTheme="majorBidi" w:hAnsiTheme="majorBidi" w:cstheme="majorBidi"/>
        </w:rPr>
        <w:t xml:space="preserve"> Les modes de financement au profit des PME algériennes ne se limitent pas aux seules sources d’autofinancement et d’endettement, ils peuvent également regrouper les modes suivants :</w:t>
      </w:r>
    </w:p>
    <w:p w:rsidR="000202EA" w:rsidRPr="004F596D" w:rsidRDefault="000202EA" w:rsidP="000202EA">
      <w:pPr>
        <w:pStyle w:val="Paragraphedeliste"/>
        <w:numPr>
          <w:ilvl w:val="0"/>
          <w:numId w:val="12"/>
        </w:numPr>
        <w:spacing w:line="360" w:lineRule="auto"/>
        <w:jc w:val="both"/>
        <w:rPr>
          <w:rFonts w:asciiTheme="majorBidi" w:hAnsiTheme="majorBidi" w:cstheme="majorBidi"/>
        </w:rPr>
      </w:pPr>
      <w:r w:rsidRPr="004F596D">
        <w:rPr>
          <w:rFonts w:asciiTheme="majorBidi" w:hAnsiTheme="majorBidi" w:cstheme="majorBidi"/>
        </w:rPr>
        <w:t xml:space="preserve">Le financement par les capitaux propres externes tels que : le recours au capital familial </w:t>
      </w:r>
      <w:r>
        <w:rPr>
          <w:rFonts w:asciiTheme="majorBidi" w:hAnsiTheme="majorBidi" w:cstheme="majorBidi"/>
        </w:rPr>
        <w:t xml:space="preserve">      </w:t>
      </w:r>
      <w:r w:rsidRPr="004F596D">
        <w:rPr>
          <w:rFonts w:asciiTheme="majorBidi" w:hAnsiTheme="majorBidi" w:cstheme="majorBidi"/>
        </w:rPr>
        <w:t>et amical, les cessions d’éléments d’actifs</w:t>
      </w:r>
      <w:r>
        <w:rPr>
          <w:rFonts w:asciiTheme="majorBidi" w:hAnsiTheme="majorBidi" w:cstheme="majorBidi"/>
        </w:rPr>
        <w:t xml:space="preserve"> et les </w:t>
      </w:r>
      <w:r w:rsidRPr="004F596D">
        <w:rPr>
          <w:rFonts w:asciiTheme="majorBidi" w:hAnsiTheme="majorBidi" w:cstheme="majorBidi"/>
        </w:rPr>
        <w:t>augmentation</w:t>
      </w:r>
      <w:r>
        <w:rPr>
          <w:rFonts w:asciiTheme="majorBidi" w:hAnsiTheme="majorBidi" w:cstheme="majorBidi"/>
        </w:rPr>
        <w:t>s</w:t>
      </w:r>
      <w:r w:rsidRPr="004F596D">
        <w:rPr>
          <w:rFonts w:asciiTheme="majorBidi" w:hAnsiTheme="majorBidi" w:cstheme="majorBidi"/>
        </w:rPr>
        <w:t xml:space="preserve"> du capital </w:t>
      </w:r>
      <w:r>
        <w:rPr>
          <w:rFonts w:asciiTheme="majorBidi" w:hAnsiTheme="majorBidi" w:cstheme="majorBidi"/>
        </w:rPr>
        <w:t xml:space="preserve">par </w:t>
      </w:r>
      <w:r w:rsidRPr="004F596D">
        <w:rPr>
          <w:rFonts w:asciiTheme="majorBidi" w:hAnsiTheme="majorBidi" w:cstheme="majorBidi"/>
        </w:rPr>
        <w:t xml:space="preserve">apports en numéraire ou </w:t>
      </w:r>
      <w:r>
        <w:rPr>
          <w:rFonts w:asciiTheme="majorBidi" w:hAnsiTheme="majorBidi" w:cstheme="majorBidi"/>
        </w:rPr>
        <w:t xml:space="preserve">en </w:t>
      </w:r>
      <w:r w:rsidRPr="004F596D">
        <w:rPr>
          <w:rFonts w:asciiTheme="majorBidi" w:hAnsiTheme="majorBidi" w:cstheme="majorBidi"/>
        </w:rPr>
        <w:t>nature.</w:t>
      </w:r>
    </w:p>
    <w:p w:rsidR="000202EA" w:rsidRPr="004F596D" w:rsidRDefault="000202EA" w:rsidP="000202EA">
      <w:pPr>
        <w:pStyle w:val="Paragraphedeliste"/>
        <w:numPr>
          <w:ilvl w:val="0"/>
          <w:numId w:val="12"/>
        </w:numPr>
        <w:spacing w:line="360" w:lineRule="auto"/>
        <w:jc w:val="both"/>
        <w:rPr>
          <w:rFonts w:asciiTheme="majorBidi" w:hAnsiTheme="majorBidi" w:cstheme="majorBidi"/>
        </w:rPr>
      </w:pPr>
      <w:r w:rsidRPr="004F596D">
        <w:rPr>
          <w:rFonts w:asciiTheme="majorBidi" w:hAnsiTheme="majorBidi" w:cstheme="majorBidi"/>
        </w:rPr>
        <w:t xml:space="preserve">Le financement par les quasi-capitaux propres qui met </w:t>
      </w:r>
      <w:r>
        <w:rPr>
          <w:rFonts w:asciiTheme="majorBidi" w:hAnsiTheme="majorBidi" w:cstheme="majorBidi"/>
        </w:rPr>
        <w:t>à la disposition</w:t>
      </w:r>
      <w:r w:rsidRPr="004F596D">
        <w:rPr>
          <w:rFonts w:asciiTheme="majorBidi" w:hAnsiTheme="majorBidi" w:cstheme="majorBidi"/>
        </w:rPr>
        <w:t xml:space="preserve"> des PME algériennes des moyens de financement qui ne tombent ni dans la catégorie des capitaux propres ni dans celle des dettes </w:t>
      </w:r>
      <w:r>
        <w:rPr>
          <w:rFonts w:asciiTheme="majorBidi" w:hAnsiTheme="majorBidi" w:cstheme="majorBidi"/>
        </w:rPr>
        <w:t>comme</w:t>
      </w:r>
      <w:r w:rsidRPr="004F596D">
        <w:rPr>
          <w:rFonts w:asciiTheme="majorBidi" w:hAnsiTheme="majorBidi" w:cstheme="majorBidi"/>
        </w:rPr>
        <w:t xml:space="preserve"> : le capital-risque, les aides publiques et les moyens de financement islamique par quasi-capitaux propres qui se focalisent en Algérie sur les deux formes de la </w:t>
      </w:r>
      <w:proofErr w:type="spellStart"/>
      <w:r w:rsidRPr="004F596D">
        <w:rPr>
          <w:rFonts w:asciiTheme="majorBidi" w:hAnsiTheme="majorBidi" w:cstheme="majorBidi"/>
        </w:rPr>
        <w:t>moudaraba</w:t>
      </w:r>
      <w:proofErr w:type="spellEnd"/>
      <w:r w:rsidRPr="004F596D">
        <w:rPr>
          <w:rFonts w:asciiTheme="majorBidi" w:hAnsiTheme="majorBidi" w:cstheme="majorBidi"/>
        </w:rPr>
        <w:t xml:space="preserve"> et la </w:t>
      </w:r>
      <w:proofErr w:type="spellStart"/>
      <w:r w:rsidRPr="004F596D">
        <w:rPr>
          <w:rFonts w:asciiTheme="majorBidi" w:hAnsiTheme="majorBidi" w:cstheme="majorBidi"/>
        </w:rPr>
        <w:t>moucharaka</w:t>
      </w:r>
      <w:proofErr w:type="spellEnd"/>
      <w:r w:rsidRPr="004F596D">
        <w:rPr>
          <w:rFonts w:asciiTheme="majorBidi" w:hAnsiTheme="majorBidi" w:cstheme="majorBidi"/>
        </w:rPr>
        <w:t xml:space="preserve">. </w:t>
      </w:r>
    </w:p>
    <w:p w:rsidR="000202EA" w:rsidRPr="004F596D" w:rsidRDefault="000202EA" w:rsidP="000202EA">
      <w:pPr>
        <w:spacing w:line="360" w:lineRule="auto"/>
        <w:ind w:left="360"/>
        <w:jc w:val="both"/>
        <w:rPr>
          <w:rFonts w:asciiTheme="majorBidi" w:hAnsiTheme="majorBidi" w:cstheme="majorBidi"/>
        </w:rPr>
      </w:pPr>
    </w:p>
    <w:p w:rsidR="000202EA" w:rsidRPr="000E3E00" w:rsidRDefault="000202EA" w:rsidP="003C7054">
      <w:pPr>
        <w:tabs>
          <w:tab w:val="left" w:pos="1635"/>
        </w:tabs>
        <w:spacing w:line="360" w:lineRule="auto"/>
        <w:jc w:val="both"/>
      </w:pPr>
      <w:r w:rsidRPr="004F596D">
        <w:rPr>
          <w:rFonts w:asciiTheme="majorBidi" w:hAnsiTheme="majorBidi" w:cstheme="majorBidi"/>
        </w:rPr>
        <w:sym w:font="Wingdings" w:char="F08D"/>
      </w:r>
      <w:r w:rsidRPr="004F596D">
        <w:rPr>
          <w:rFonts w:asciiTheme="majorBidi" w:hAnsiTheme="majorBidi" w:cstheme="majorBidi"/>
        </w:rPr>
        <w:t xml:space="preserve"> Les résultats de notre analyse empirique concernant notre échantillon </w:t>
      </w:r>
      <w:r w:rsidR="00382128">
        <w:rPr>
          <w:rFonts w:asciiTheme="majorBidi" w:hAnsiTheme="majorBidi" w:cstheme="majorBidi"/>
        </w:rPr>
        <w:t xml:space="preserve">principal </w:t>
      </w:r>
      <w:r w:rsidRPr="004F596D">
        <w:rPr>
          <w:rFonts w:asciiTheme="majorBidi" w:hAnsiTheme="majorBidi" w:cstheme="majorBidi"/>
        </w:rPr>
        <w:t>de PME algériennes font ressortir que l’endettement de ces PME est influencé négativement par un seul facteur qui est statistiquement significati</w:t>
      </w:r>
      <w:r>
        <w:rPr>
          <w:rFonts w:asciiTheme="majorBidi" w:hAnsiTheme="majorBidi" w:cstheme="majorBidi"/>
        </w:rPr>
        <w:t xml:space="preserve">f </w:t>
      </w:r>
      <w:r w:rsidRPr="004F596D">
        <w:rPr>
          <w:rFonts w:asciiTheme="majorBidi" w:hAnsiTheme="majorBidi" w:cstheme="majorBidi"/>
        </w:rPr>
        <w:t xml:space="preserve">au seuil de 5% </w:t>
      </w:r>
      <w:r>
        <w:rPr>
          <w:rFonts w:asciiTheme="majorBidi" w:hAnsiTheme="majorBidi" w:cstheme="majorBidi"/>
        </w:rPr>
        <w:t>soit</w:t>
      </w:r>
      <w:r w:rsidRPr="004F596D">
        <w:rPr>
          <w:rFonts w:asciiTheme="majorBidi" w:hAnsiTheme="majorBidi" w:cstheme="majorBidi"/>
        </w:rPr>
        <w:t xml:space="preserve"> : la liquidité de l’entreprise. </w:t>
      </w:r>
      <w:r w:rsidRPr="004C2BA6">
        <w:t xml:space="preserve">Ces résultats écartent donc, les effets de la rentabilité économique de l’entreprise, de </w:t>
      </w:r>
      <w:r>
        <w:t xml:space="preserve">la </w:t>
      </w:r>
      <w:r w:rsidRPr="004C2BA6">
        <w:t>tangibilité de l’actif</w:t>
      </w:r>
      <w:r>
        <w:t xml:space="preserve"> de l’entreprise</w:t>
      </w:r>
      <w:r w:rsidRPr="004C2BA6">
        <w:t xml:space="preserve">, du taux de croissance de l’entreprise, de la taille de l’entreprise, du niveau du risque opérationnel et des avantages fiscaux non liés à la dette sur le niveau d’endettement des PME </w:t>
      </w:r>
      <w:r w:rsidR="006E795C">
        <w:lastRenderedPageBreak/>
        <w:t>objet d’étude</w:t>
      </w:r>
      <w:r w:rsidRPr="004C2BA6">
        <w:t xml:space="preserve">, puisqu’elles sont statistiquement non significatives au seuil de 5%. </w:t>
      </w:r>
      <w:r w:rsidRPr="004F596D">
        <w:rPr>
          <w:rFonts w:asciiTheme="majorBidi" w:hAnsiTheme="majorBidi" w:cstheme="majorBidi"/>
        </w:rPr>
        <w:t xml:space="preserve">Dans ce contexte, notre hypothèse </w:t>
      </w:r>
      <w:r>
        <w:rPr>
          <w:rFonts w:asciiTheme="majorBidi" w:hAnsiTheme="majorBidi" w:cstheme="majorBidi"/>
        </w:rPr>
        <w:t xml:space="preserve">de recherche relative à </w:t>
      </w:r>
      <w:r w:rsidRPr="004F596D">
        <w:rPr>
          <w:rFonts w:asciiTheme="majorBidi" w:hAnsiTheme="majorBidi" w:cstheme="majorBidi"/>
        </w:rPr>
        <w:t>l’existence d’un effet négatif de la liquidité de l’entreprise sur l</w:t>
      </w:r>
      <w:r>
        <w:rPr>
          <w:rFonts w:asciiTheme="majorBidi" w:hAnsiTheme="majorBidi" w:cstheme="majorBidi"/>
        </w:rPr>
        <w:t>e</w:t>
      </w:r>
      <w:r w:rsidRPr="004F596D">
        <w:rPr>
          <w:rFonts w:asciiTheme="majorBidi" w:hAnsiTheme="majorBidi" w:cstheme="majorBidi"/>
        </w:rPr>
        <w:t xml:space="preserve"> </w:t>
      </w:r>
      <w:r>
        <w:rPr>
          <w:rFonts w:asciiTheme="majorBidi" w:hAnsiTheme="majorBidi" w:cstheme="majorBidi"/>
        </w:rPr>
        <w:t>niveau</w:t>
      </w:r>
      <w:r w:rsidRPr="004F596D">
        <w:rPr>
          <w:rFonts w:asciiTheme="majorBidi" w:hAnsiTheme="majorBidi" w:cstheme="majorBidi"/>
        </w:rPr>
        <w:t xml:space="preserve"> d’endettement </w:t>
      </w:r>
      <w:r w:rsidR="003C7054" w:rsidRPr="004F596D">
        <w:rPr>
          <w:rFonts w:asciiTheme="majorBidi" w:hAnsiTheme="majorBidi" w:cstheme="majorBidi"/>
        </w:rPr>
        <w:t>de</w:t>
      </w:r>
      <w:r w:rsidR="003C7054">
        <w:rPr>
          <w:rFonts w:asciiTheme="majorBidi" w:hAnsiTheme="majorBidi" w:cstheme="majorBidi"/>
        </w:rPr>
        <w:t>s</w:t>
      </w:r>
      <w:r w:rsidR="003C7054" w:rsidRPr="004F596D">
        <w:rPr>
          <w:rFonts w:asciiTheme="majorBidi" w:hAnsiTheme="majorBidi" w:cstheme="majorBidi"/>
        </w:rPr>
        <w:t xml:space="preserve"> PME </w:t>
      </w:r>
      <w:r w:rsidRPr="004F596D">
        <w:rPr>
          <w:rFonts w:asciiTheme="majorBidi" w:hAnsiTheme="majorBidi" w:cstheme="majorBidi"/>
        </w:rPr>
        <w:t xml:space="preserve">de notre échantillon a été confirmée. </w:t>
      </w:r>
    </w:p>
    <w:p w:rsidR="000202EA" w:rsidRPr="004F596D" w:rsidRDefault="000202EA" w:rsidP="000202EA">
      <w:pPr>
        <w:spacing w:line="360" w:lineRule="auto"/>
        <w:jc w:val="both"/>
        <w:rPr>
          <w:rFonts w:asciiTheme="majorBidi" w:hAnsiTheme="majorBidi" w:cstheme="majorBidi"/>
        </w:rPr>
      </w:pPr>
    </w:p>
    <w:p w:rsidR="000202EA" w:rsidRPr="003371FD" w:rsidRDefault="000202EA" w:rsidP="000202EA">
      <w:pPr>
        <w:autoSpaceDE w:val="0"/>
        <w:autoSpaceDN w:val="0"/>
        <w:adjustRightInd w:val="0"/>
        <w:spacing w:line="360" w:lineRule="auto"/>
        <w:jc w:val="both"/>
      </w:pPr>
      <w:r w:rsidRPr="00FC2FD7">
        <w:rPr>
          <w:rFonts w:asciiTheme="majorBidi" w:hAnsiTheme="majorBidi" w:cstheme="majorBidi"/>
        </w:rPr>
        <w:sym w:font="Wingdings" w:char="F08E"/>
      </w:r>
      <w:r w:rsidRPr="00FC2FD7">
        <w:rPr>
          <w:rFonts w:asciiTheme="majorBidi" w:hAnsiTheme="majorBidi" w:cstheme="majorBidi"/>
        </w:rPr>
        <w:t xml:space="preserve"> </w:t>
      </w:r>
      <w:r>
        <w:rPr>
          <w:rFonts w:asciiTheme="majorBidi" w:hAnsiTheme="majorBidi" w:cstheme="majorBidi"/>
        </w:rPr>
        <w:t>Bien</w:t>
      </w:r>
      <w:r w:rsidRPr="00FC2FD7">
        <w:rPr>
          <w:rFonts w:asciiTheme="majorBidi" w:hAnsiTheme="majorBidi" w:cstheme="majorBidi"/>
        </w:rPr>
        <w:t xml:space="preserve"> que nos différents sous-échantillons objet d’étude soient tous dérivés du même échantillon principal de PME, le seul déterminant de la structure d’endettement de nos PME </w:t>
      </w:r>
      <w:r w:rsidRPr="003371FD">
        <w:rPr>
          <w:rFonts w:asciiTheme="majorBidi" w:hAnsiTheme="majorBidi" w:cstheme="majorBidi"/>
        </w:rPr>
        <w:t xml:space="preserve">algériennes </w:t>
      </w:r>
      <w:r>
        <w:rPr>
          <w:rFonts w:asciiTheme="majorBidi" w:hAnsiTheme="majorBidi" w:cstheme="majorBidi"/>
        </w:rPr>
        <w:t xml:space="preserve">objet d’étude </w:t>
      </w:r>
      <w:r w:rsidRPr="003371FD">
        <w:rPr>
          <w:rFonts w:asciiTheme="majorBidi" w:hAnsiTheme="majorBidi" w:cstheme="majorBidi"/>
        </w:rPr>
        <w:t>(la liquidité de l’entreprise) n’est pas nécessairement le même pour tou</w:t>
      </w:r>
      <w:r>
        <w:rPr>
          <w:rFonts w:asciiTheme="majorBidi" w:hAnsiTheme="majorBidi" w:cstheme="majorBidi"/>
        </w:rPr>
        <w:t xml:space="preserve">tes les PME de </w:t>
      </w:r>
      <w:r w:rsidRPr="003371FD">
        <w:rPr>
          <w:rFonts w:asciiTheme="majorBidi" w:hAnsiTheme="majorBidi" w:cstheme="majorBidi"/>
        </w:rPr>
        <w:t xml:space="preserve">ces </w:t>
      </w:r>
      <w:r>
        <w:rPr>
          <w:rFonts w:asciiTheme="majorBidi" w:hAnsiTheme="majorBidi" w:cstheme="majorBidi"/>
        </w:rPr>
        <w:t xml:space="preserve">             </w:t>
      </w:r>
      <w:r w:rsidRPr="003371FD">
        <w:rPr>
          <w:rFonts w:asciiTheme="majorBidi" w:hAnsiTheme="majorBidi" w:cstheme="majorBidi"/>
        </w:rPr>
        <w:t>sous-échantillons. En effet, concernant nos sous-échantillons de PME définis selon le secteur d’activité de l’entreprise, nos résultats de régression empiriques indiquent que la liquidité de l’entreprise est le seul facteur déterminant l’endettement de</w:t>
      </w:r>
      <w:r>
        <w:rPr>
          <w:rFonts w:asciiTheme="majorBidi" w:hAnsiTheme="majorBidi" w:cstheme="majorBidi"/>
        </w:rPr>
        <w:t xml:space="preserve"> no</w:t>
      </w:r>
      <w:r w:rsidRPr="003371FD">
        <w:rPr>
          <w:rFonts w:asciiTheme="majorBidi" w:hAnsiTheme="majorBidi" w:cstheme="majorBidi"/>
        </w:rPr>
        <w:t>s PME commerciales</w:t>
      </w:r>
      <w:r w:rsidRPr="003371FD">
        <w:t>, a</w:t>
      </w:r>
      <w:r w:rsidRPr="003371FD">
        <w:rPr>
          <w:rFonts w:asciiTheme="majorBidi" w:hAnsiTheme="majorBidi" w:cstheme="majorBidi"/>
        </w:rPr>
        <w:t xml:space="preserve">lors que deux variables influencent l’endettement des PME industrielles </w:t>
      </w:r>
      <w:r w:rsidRPr="003371FD">
        <w:t xml:space="preserve">à savoir : la liquidité de l’entreprise et la taille de l’entreprise. Ces mêmes résultats révèlent que la liquidité de l’entreprise est liée négativement à l’endettement total des PME commerciales et industrielles, ce qui confirme notre hypothèse de recherche concernant cette variable explicative, tandis que le signe négatif que présente la variable taille de l’entreprise sur l’endettement des PME industrielles </w:t>
      </w:r>
      <w:r>
        <w:t xml:space="preserve">nous a conduit       </w:t>
      </w:r>
      <w:r w:rsidRPr="003371FD">
        <w:t xml:space="preserve">à rejeter notre hypothèse de recherche liée à cette dernière. </w:t>
      </w:r>
    </w:p>
    <w:p w:rsidR="000202EA" w:rsidRPr="00470F7C" w:rsidRDefault="000202EA" w:rsidP="000202EA">
      <w:pPr>
        <w:autoSpaceDE w:val="0"/>
        <w:autoSpaceDN w:val="0"/>
        <w:adjustRightInd w:val="0"/>
        <w:spacing w:line="360" w:lineRule="auto"/>
        <w:jc w:val="both"/>
      </w:pPr>
      <w:r w:rsidRPr="00FA5327">
        <w:rPr>
          <w:color w:val="FF0000"/>
        </w:rPr>
        <w:t xml:space="preserve">    </w:t>
      </w:r>
      <w:r w:rsidRPr="00470F7C">
        <w:t xml:space="preserve">En outre, </w:t>
      </w:r>
      <w:r w:rsidRPr="00470F7C">
        <w:rPr>
          <w:rFonts w:asciiTheme="majorBidi" w:hAnsiTheme="majorBidi" w:cstheme="majorBidi"/>
        </w:rPr>
        <w:t xml:space="preserve">nos conclusions empiriques </w:t>
      </w:r>
      <w:r w:rsidRPr="00470F7C">
        <w:t>relati</w:t>
      </w:r>
      <w:r>
        <w:t xml:space="preserve">ves à </w:t>
      </w:r>
      <w:r w:rsidRPr="00470F7C">
        <w:t xml:space="preserve">l’identification des variables explicatives de la structure d’endettement de nos PME </w:t>
      </w:r>
      <w:r>
        <w:t>classées en fonction de leur</w:t>
      </w:r>
      <w:r w:rsidRPr="00470F7C">
        <w:t xml:space="preserve"> structure juridique</w:t>
      </w:r>
      <w:r>
        <w:t>,</w:t>
      </w:r>
      <w:r w:rsidRPr="00470F7C">
        <w:t xml:space="preserve"> montrent que trois variables ont été retenues comme significatives au seuil de 5% pour notre sous-échantillon de PME sous forme de personnes physiques, il s’agit de la rentabilité économique de l’entreprise, </w:t>
      </w:r>
      <w:r>
        <w:t xml:space="preserve">de </w:t>
      </w:r>
      <w:r w:rsidRPr="00470F7C">
        <w:t xml:space="preserve">la liquidité de l’entreprise et </w:t>
      </w:r>
      <w:r>
        <w:t>d</w:t>
      </w:r>
      <w:r w:rsidRPr="00470F7C">
        <w:t xml:space="preserve">es avantages fiscaux non liés à la dette, tandis que pour notre échantillon de PME sous forme </w:t>
      </w:r>
      <w:r>
        <w:t>d’</w:t>
      </w:r>
      <w:r w:rsidRPr="00470F7C">
        <w:t>entreprises uniques à responsabilité limitée, le nombre de variables explicatives significatives a été réduit à deux variables à savoir : la rentabilité économique de l’entreprise et la liquidité de l’entreprise. Cependant</w:t>
      </w:r>
      <w:r>
        <w:t>,</w:t>
      </w:r>
      <w:r w:rsidRPr="00470F7C">
        <w:t xml:space="preserve"> une seule variable a été retenue comme significative pour notre sous-échantillon de PME sous forme </w:t>
      </w:r>
      <w:r>
        <w:t xml:space="preserve">de </w:t>
      </w:r>
      <w:r w:rsidRPr="00470F7C">
        <w:t>sociétés à responsabilité limitée qui est la rentabilité économique de l’entreprise. Selon ces mêmes conclusions, nos hypothèses de recherche qui présumai</w:t>
      </w:r>
      <w:r>
        <w:t>en</w:t>
      </w:r>
      <w:r w:rsidRPr="00470F7C">
        <w:t xml:space="preserve">t l’existence d’une relation négative entre la rentabilité économique de l’entreprise et la liquidité de l’entreprise avec le niveau d’endettement ont été confirmées, alors que celle concernant les avantages fiscaux non liés à la dette a été infirmée puisque ces derniers présentent un effet positif sur la dette. </w:t>
      </w:r>
    </w:p>
    <w:p w:rsidR="000202EA" w:rsidRPr="00470F7C" w:rsidRDefault="000202EA" w:rsidP="000202EA">
      <w:pPr>
        <w:autoSpaceDE w:val="0"/>
        <w:autoSpaceDN w:val="0"/>
        <w:adjustRightInd w:val="0"/>
        <w:spacing w:line="360" w:lineRule="auto"/>
        <w:jc w:val="both"/>
      </w:pPr>
      <w:r w:rsidRPr="00B23C7B">
        <w:rPr>
          <w:color w:val="FF0000"/>
        </w:rPr>
        <w:t xml:space="preserve">    </w:t>
      </w:r>
      <w:r w:rsidRPr="00DB54AA">
        <w:t>Par ailleurs</w:t>
      </w:r>
      <w:r w:rsidRPr="00DB54AA">
        <w:rPr>
          <w:rFonts w:asciiTheme="majorBidi" w:hAnsiTheme="majorBidi" w:cstheme="majorBidi"/>
        </w:rPr>
        <w:t xml:space="preserve">, nos résultats empiriques liés à l’analyse de nos sous-échantillons de PME </w:t>
      </w:r>
      <w:r>
        <w:rPr>
          <w:rFonts w:asciiTheme="majorBidi" w:hAnsiTheme="majorBidi" w:cstheme="majorBidi"/>
        </w:rPr>
        <w:t>réparties</w:t>
      </w:r>
      <w:r w:rsidRPr="00DB54AA">
        <w:rPr>
          <w:rFonts w:asciiTheme="majorBidi" w:hAnsiTheme="majorBidi" w:cstheme="majorBidi"/>
        </w:rPr>
        <w:t xml:space="preserve"> selon la région géographique </w:t>
      </w:r>
      <w:r>
        <w:rPr>
          <w:rFonts w:asciiTheme="majorBidi" w:hAnsiTheme="majorBidi" w:cstheme="majorBidi"/>
        </w:rPr>
        <w:t>de</w:t>
      </w:r>
      <w:r w:rsidRPr="00DB54AA">
        <w:rPr>
          <w:rFonts w:asciiTheme="majorBidi" w:hAnsiTheme="majorBidi" w:cstheme="majorBidi"/>
        </w:rPr>
        <w:t xml:space="preserve"> l’entreprise, indiquent que</w:t>
      </w:r>
      <w:r w:rsidRPr="00DB54AA">
        <w:t xml:space="preserve"> la rentabilité économique de l’entreprise et la liquidité de l’entreprise </w:t>
      </w:r>
      <w:r>
        <w:t>sont les seules</w:t>
      </w:r>
      <w:r w:rsidRPr="00DB54AA">
        <w:t xml:space="preserve"> variables </w:t>
      </w:r>
      <w:r>
        <w:t>qui déterminent</w:t>
      </w:r>
      <w:r w:rsidRPr="00DB54AA">
        <w:t xml:space="preserve"> la structure d’endettement de nos deux sous-échantillons de PME des </w:t>
      </w:r>
      <w:r>
        <w:t>H</w:t>
      </w:r>
      <w:r w:rsidRPr="00DB54AA">
        <w:t>auts-</w:t>
      </w:r>
      <w:r>
        <w:t>P</w:t>
      </w:r>
      <w:r w:rsidRPr="00DB54AA">
        <w:t xml:space="preserve">lateaux et du </w:t>
      </w:r>
      <w:r>
        <w:t>N</w:t>
      </w:r>
      <w:r w:rsidRPr="00DB54AA">
        <w:t xml:space="preserve">ord </w:t>
      </w:r>
      <w:r>
        <w:t>au seuil de 5%</w:t>
      </w:r>
      <w:r w:rsidRPr="00DB54AA">
        <w:t xml:space="preserve">. Ces résultats, nous ont permis </w:t>
      </w:r>
      <w:r>
        <w:t>de vérifier</w:t>
      </w:r>
      <w:r w:rsidRPr="00DB54AA">
        <w:t xml:space="preserve"> </w:t>
      </w:r>
      <w:r>
        <w:t>l’</w:t>
      </w:r>
      <w:r w:rsidRPr="00DB54AA">
        <w:t xml:space="preserve">hypothèse </w:t>
      </w:r>
      <w:r>
        <w:t xml:space="preserve">de recherche </w:t>
      </w:r>
      <w:r w:rsidRPr="00DB54AA">
        <w:t xml:space="preserve">relative à l’effet de la liquidité de l’entreprise </w:t>
      </w:r>
      <w:r w:rsidRPr="00DB54AA">
        <w:lastRenderedPageBreak/>
        <w:t xml:space="preserve">sur son niveau d’endettement pour les deux sous-échantillons ci-dessus et de confirmer celle qui présumait l’existence d’une relation négative entre la rentabilité économique de l’entreprise avec le niveau d’endettement </w:t>
      </w:r>
      <w:r>
        <w:t>de</w:t>
      </w:r>
      <w:r w:rsidRPr="00DB54AA">
        <w:t xml:space="preserve"> notre sous-échantillon de PME du </w:t>
      </w:r>
      <w:r>
        <w:t>N</w:t>
      </w:r>
      <w:r w:rsidRPr="00DB54AA">
        <w:t>ord seulement. Cependant, notre hypothèse de recherche liée à l’influence de la ren</w:t>
      </w:r>
      <w:r>
        <w:t>tabilité économique des PME des H</w:t>
      </w:r>
      <w:r w:rsidRPr="00DB54AA">
        <w:t>auts-</w:t>
      </w:r>
      <w:r>
        <w:t>P</w:t>
      </w:r>
      <w:r w:rsidRPr="00DB54AA">
        <w:t xml:space="preserve">lateaux sur la dette a été rejetée. </w:t>
      </w:r>
      <w:r w:rsidRPr="00470F7C">
        <w:rPr>
          <w:rFonts w:asciiTheme="majorBidi" w:hAnsiTheme="majorBidi" w:cstheme="majorBidi"/>
        </w:rPr>
        <w:t xml:space="preserve">Enfin, les résultats empiriques </w:t>
      </w:r>
      <w:r>
        <w:rPr>
          <w:rFonts w:asciiTheme="majorBidi" w:hAnsiTheme="majorBidi" w:cstheme="majorBidi"/>
        </w:rPr>
        <w:t>caractérisant</w:t>
      </w:r>
      <w:r w:rsidRPr="00470F7C">
        <w:rPr>
          <w:rFonts w:asciiTheme="majorBidi" w:hAnsiTheme="majorBidi" w:cstheme="majorBidi"/>
        </w:rPr>
        <w:t xml:space="preserve"> les déterminants du niveau d’endettement de nos sous-échantillons de PME considérées selon la taille de l’entreprise révèlent que trois variables explicatives sont significative</w:t>
      </w:r>
      <w:r>
        <w:rPr>
          <w:rFonts w:asciiTheme="majorBidi" w:hAnsiTheme="majorBidi" w:cstheme="majorBidi"/>
        </w:rPr>
        <w:t xml:space="preserve">s au seuil de 5% pour notre </w:t>
      </w:r>
      <w:r w:rsidRPr="00470F7C">
        <w:rPr>
          <w:rFonts w:asciiTheme="majorBidi" w:hAnsiTheme="majorBidi" w:cstheme="majorBidi"/>
        </w:rPr>
        <w:t xml:space="preserve">sous-échantillon de petites entreprises, il s’agit de la rentabilité économique de l’entreprise, </w:t>
      </w:r>
      <w:r>
        <w:rPr>
          <w:rFonts w:asciiTheme="majorBidi" w:hAnsiTheme="majorBidi" w:cstheme="majorBidi"/>
        </w:rPr>
        <w:t xml:space="preserve">de </w:t>
      </w:r>
      <w:r w:rsidRPr="00470F7C">
        <w:rPr>
          <w:rFonts w:asciiTheme="majorBidi" w:hAnsiTheme="majorBidi" w:cstheme="majorBidi"/>
        </w:rPr>
        <w:t xml:space="preserve">la liquidité de l’entreprise et </w:t>
      </w:r>
      <w:r>
        <w:rPr>
          <w:rFonts w:asciiTheme="majorBidi" w:hAnsiTheme="majorBidi" w:cstheme="majorBidi"/>
        </w:rPr>
        <w:t xml:space="preserve">de </w:t>
      </w:r>
      <w:r w:rsidRPr="00470F7C">
        <w:rPr>
          <w:rFonts w:asciiTheme="majorBidi" w:hAnsiTheme="majorBidi" w:cstheme="majorBidi"/>
        </w:rPr>
        <w:t>la taille de l’entreprise. Comme, ils indiquent que seulement deux variables sont significatives au seuil de 5% pour notre sous-écha</w:t>
      </w:r>
      <w:r>
        <w:rPr>
          <w:rFonts w:asciiTheme="majorBidi" w:hAnsiTheme="majorBidi" w:cstheme="majorBidi"/>
        </w:rPr>
        <w:t xml:space="preserve">ntillon de moyennes entreprises </w:t>
      </w:r>
      <w:r w:rsidRPr="00470F7C">
        <w:rPr>
          <w:rFonts w:asciiTheme="majorBidi" w:hAnsiTheme="majorBidi" w:cstheme="majorBidi"/>
        </w:rPr>
        <w:t xml:space="preserve">à savoir : la taille de l’entreprise et les avantages fiscaux non liés à la dette. A partir de ces mêmes résultats, nos prédictions </w:t>
      </w:r>
      <w:r>
        <w:rPr>
          <w:rFonts w:asciiTheme="majorBidi" w:hAnsiTheme="majorBidi" w:cstheme="majorBidi"/>
        </w:rPr>
        <w:t xml:space="preserve">sur la relation entre la rentabilité économique de l’entreprise, </w:t>
      </w:r>
      <w:r w:rsidRPr="00470F7C">
        <w:rPr>
          <w:rFonts w:asciiTheme="majorBidi" w:hAnsiTheme="majorBidi" w:cstheme="majorBidi"/>
        </w:rPr>
        <w:t>la liquidité de l’entreprise</w:t>
      </w:r>
      <w:r>
        <w:rPr>
          <w:rFonts w:asciiTheme="majorBidi" w:hAnsiTheme="majorBidi" w:cstheme="majorBidi"/>
        </w:rPr>
        <w:t xml:space="preserve"> et la taille de l’entreprise avec le niveau d’endettement ont été confirmées pour notre                  </w:t>
      </w:r>
      <w:r w:rsidRPr="00470F7C">
        <w:rPr>
          <w:rFonts w:asciiTheme="majorBidi" w:hAnsiTheme="majorBidi" w:cstheme="majorBidi"/>
        </w:rPr>
        <w:t>sous-échantillon de petites entreprises, tandis que celle</w:t>
      </w:r>
      <w:r>
        <w:rPr>
          <w:rFonts w:asciiTheme="majorBidi" w:hAnsiTheme="majorBidi" w:cstheme="majorBidi"/>
        </w:rPr>
        <w:t>s</w:t>
      </w:r>
      <w:r w:rsidRPr="00470F7C">
        <w:rPr>
          <w:rFonts w:asciiTheme="majorBidi" w:hAnsiTheme="majorBidi" w:cstheme="majorBidi"/>
        </w:rPr>
        <w:t xml:space="preserve"> concernant les effets de la taille de l’entreprise et </w:t>
      </w:r>
      <w:r>
        <w:rPr>
          <w:rFonts w:asciiTheme="majorBidi" w:hAnsiTheme="majorBidi" w:cstheme="majorBidi"/>
        </w:rPr>
        <w:t>d</w:t>
      </w:r>
      <w:r w:rsidRPr="00470F7C">
        <w:rPr>
          <w:rFonts w:asciiTheme="majorBidi" w:hAnsiTheme="majorBidi" w:cstheme="majorBidi"/>
        </w:rPr>
        <w:t>es avantages fiscaux non liés à la dette sur l</w:t>
      </w:r>
      <w:r>
        <w:rPr>
          <w:rFonts w:asciiTheme="majorBidi" w:hAnsiTheme="majorBidi" w:cstheme="majorBidi"/>
        </w:rPr>
        <w:t xml:space="preserve">e niveau d’endettement de notre        </w:t>
      </w:r>
      <w:r w:rsidRPr="00470F7C">
        <w:rPr>
          <w:rFonts w:asciiTheme="majorBidi" w:hAnsiTheme="majorBidi" w:cstheme="majorBidi"/>
        </w:rPr>
        <w:t>sous-échantillon de moyennes entreprises ont été infirmées.</w:t>
      </w:r>
    </w:p>
    <w:p w:rsidR="000202EA" w:rsidRPr="00300D34" w:rsidRDefault="000202EA" w:rsidP="000202EA">
      <w:pPr>
        <w:spacing w:line="360" w:lineRule="auto"/>
        <w:jc w:val="both"/>
        <w:rPr>
          <w:rFonts w:asciiTheme="majorBidi" w:hAnsiTheme="majorBidi" w:cstheme="majorBidi"/>
          <w:color w:val="FF0000"/>
        </w:rPr>
      </w:pPr>
    </w:p>
    <w:p w:rsidR="000202EA" w:rsidRPr="002B5946" w:rsidRDefault="000202EA" w:rsidP="000202EA">
      <w:pPr>
        <w:spacing w:line="360" w:lineRule="auto"/>
        <w:jc w:val="both"/>
        <w:rPr>
          <w:rFonts w:asciiTheme="majorBidi" w:hAnsiTheme="majorBidi" w:cstheme="majorBidi"/>
        </w:rPr>
      </w:pPr>
      <w:r w:rsidRPr="00300D34">
        <w:rPr>
          <w:rFonts w:asciiTheme="majorBidi" w:hAnsiTheme="majorBidi" w:cstheme="majorBidi"/>
          <w:color w:val="FF0000"/>
        </w:rPr>
        <w:t xml:space="preserve">    </w:t>
      </w:r>
      <w:r>
        <w:rPr>
          <w:rFonts w:asciiTheme="majorBidi" w:hAnsiTheme="majorBidi" w:cstheme="majorBidi"/>
        </w:rPr>
        <w:t>En outre, C</w:t>
      </w:r>
      <w:r w:rsidRPr="002B5946">
        <w:rPr>
          <w:rFonts w:asciiTheme="majorBidi" w:hAnsiTheme="majorBidi" w:cstheme="majorBidi"/>
        </w:rPr>
        <w:t xml:space="preserve">ette présente recherche </w:t>
      </w:r>
      <w:r>
        <w:rPr>
          <w:rFonts w:asciiTheme="majorBidi" w:hAnsiTheme="majorBidi" w:cstheme="majorBidi"/>
        </w:rPr>
        <w:t>nous a permis aussi de déduire</w:t>
      </w:r>
      <w:r w:rsidRPr="002B5946">
        <w:rPr>
          <w:rFonts w:asciiTheme="majorBidi" w:hAnsiTheme="majorBidi" w:cstheme="majorBidi"/>
        </w:rPr>
        <w:t xml:space="preserve"> un ensemble de résultats que </w:t>
      </w:r>
      <w:r>
        <w:rPr>
          <w:rFonts w:asciiTheme="majorBidi" w:hAnsiTheme="majorBidi" w:cstheme="majorBidi"/>
        </w:rPr>
        <w:t xml:space="preserve">nous </w:t>
      </w:r>
      <w:r w:rsidRPr="002B5946">
        <w:rPr>
          <w:rFonts w:asciiTheme="majorBidi" w:hAnsiTheme="majorBidi" w:cstheme="majorBidi"/>
        </w:rPr>
        <w:t>résum</w:t>
      </w:r>
      <w:r>
        <w:rPr>
          <w:rFonts w:asciiTheme="majorBidi" w:hAnsiTheme="majorBidi" w:cstheme="majorBidi"/>
        </w:rPr>
        <w:t>ons</w:t>
      </w:r>
      <w:r w:rsidRPr="002B5946">
        <w:rPr>
          <w:rFonts w:asciiTheme="majorBidi" w:hAnsiTheme="majorBidi" w:cstheme="majorBidi"/>
        </w:rPr>
        <w:t xml:space="preserve"> ci-après :</w:t>
      </w:r>
    </w:p>
    <w:p w:rsidR="000202EA" w:rsidRPr="002B5946" w:rsidRDefault="000202EA" w:rsidP="000202EA">
      <w:pPr>
        <w:pStyle w:val="Paragraphedeliste"/>
        <w:numPr>
          <w:ilvl w:val="0"/>
          <w:numId w:val="13"/>
        </w:numPr>
        <w:spacing w:line="360" w:lineRule="auto"/>
        <w:jc w:val="both"/>
        <w:rPr>
          <w:rFonts w:asciiTheme="majorBidi" w:hAnsiTheme="majorBidi" w:cstheme="majorBidi"/>
        </w:rPr>
      </w:pPr>
      <w:r w:rsidRPr="002B5946">
        <w:rPr>
          <w:rFonts w:asciiTheme="majorBidi" w:hAnsiTheme="majorBidi" w:cstheme="majorBidi"/>
        </w:rPr>
        <w:t xml:space="preserve">L’absence d’une définition standard de la PME a conduit le conseil des normes internationales </w:t>
      </w:r>
      <w:r>
        <w:rPr>
          <w:rFonts w:asciiTheme="majorBidi" w:hAnsiTheme="majorBidi" w:cstheme="majorBidi"/>
        </w:rPr>
        <w:t xml:space="preserve">à </w:t>
      </w:r>
      <w:r w:rsidRPr="002B5946">
        <w:rPr>
          <w:rFonts w:asciiTheme="majorBidi" w:hAnsiTheme="majorBidi" w:cstheme="majorBidi"/>
        </w:rPr>
        <w:t>identifi</w:t>
      </w:r>
      <w:r>
        <w:rPr>
          <w:rFonts w:asciiTheme="majorBidi" w:hAnsiTheme="majorBidi" w:cstheme="majorBidi"/>
        </w:rPr>
        <w:t xml:space="preserve">er </w:t>
      </w:r>
      <w:r w:rsidRPr="002B5946">
        <w:rPr>
          <w:rFonts w:asciiTheme="majorBidi" w:hAnsiTheme="majorBidi" w:cstheme="majorBidi"/>
        </w:rPr>
        <w:t xml:space="preserve">les PME comme étant des entités qui publient des états financiers à usages général pour des utilisateurs externes et </w:t>
      </w:r>
      <w:r w:rsidRPr="002B5946">
        <w:rPr>
          <w:rFonts w:asciiTheme="majorBidi" w:eastAsiaTheme="minorHAnsi" w:hAnsiTheme="majorBidi" w:cstheme="majorBidi"/>
          <w:lang w:eastAsia="en-US"/>
        </w:rPr>
        <w:t>de conc</w:t>
      </w:r>
      <w:r>
        <w:rPr>
          <w:rFonts w:asciiTheme="majorBidi" w:eastAsiaTheme="minorHAnsi" w:hAnsiTheme="majorBidi" w:cstheme="majorBidi"/>
          <w:lang w:eastAsia="en-US"/>
        </w:rPr>
        <w:t>l</w:t>
      </w:r>
      <w:r w:rsidRPr="002B5946">
        <w:rPr>
          <w:rFonts w:asciiTheme="majorBidi" w:eastAsiaTheme="minorHAnsi" w:hAnsiTheme="majorBidi" w:cstheme="majorBidi"/>
          <w:lang w:eastAsia="en-US"/>
        </w:rPr>
        <w:t xml:space="preserve">ure qu’il n’est pas faisable de concevoir des tests de taille quantifiés qui seraient applicables sur le long terme dans </w:t>
      </w:r>
      <w:r>
        <w:rPr>
          <w:rFonts w:asciiTheme="majorBidi" w:eastAsiaTheme="minorHAnsi" w:hAnsiTheme="majorBidi" w:cstheme="majorBidi"/>
          <w:lang w:eastAsia="en-US"/>
        </w:rPr>
        <w:t>plusieurs pays du monde</w:t>
      </w:r>
      <w:r w:rsidRPr="002B5946">
        <w:rPr>
          <w:rFonts w:asciiTheme="majorBidi" w:eastAsiaTheme="minorHAnsi" w:hAnsiTheme="majorBidi" w:cstheme="majorBidi"/>
          <w:lang w:eastAsia="en-US"/>
        </w:rPr>
        <w:t>. De ce fait, pour décider quelles sont les entités qui doivent être retenues comme PME, chaque pays peut prescrire ses propres critères de taille quantifiés.</w:t>
      </w:r>
    </w:p>
    <w:p w:rsidR="000202EA" w:rsidRPr="002B5946" w:rsidRDefault="000202EA" w:rsidP="000202EA">
      <w:pPr>
        <w:pStyle w:val="Paragraphedeliste"/>
        <w:numPr>
          <w:ilvl w:val="0"/>
          <w:numId w:val="13"/>
        </w:numPr>
        <w:spacing w:line="360" w:lineRule="auto"/>
        <w:jc w:val="both"/>
        <w:rPr>
          <w:rFonts w:asciiTheme="majorBidi" w:hAnsiTheme="majorBidi" w:cstheme="majorBidi"/>
        </w:rPr>
      </w:pPr>
      <w:r w:rsidRPr="002B5946">
        <w:rPr>
          <w:rFonts w:asciiTheme="majorBidi" w:hAnsiTheme="majorBidi" w:cstheme="majorBidi"/>
        </w:rPr>
        <w:t>La définition de la PME algérienne a été soustraite de celle de la commission européenne en 1996, et a identifié la PME algérienne selon deux critères fondamentaux : la taille de l’entreprise et son indépendance</w:t>
      </w:r>
      <w:r>
        <w:rPr>
          <w:rFonts w:asciiTheme="majorBidi" w:hAnsiTheme="majorBidi" w:cstheme="majorBidi"/>
        </w:rPr>
        <w:t>,</w:t>
      </w:r>
      <w:r w:rsidRPr="002B5946">
        <w:rPr>
          <w:rFonts w:asciiTheme="majorBidi" w:hAnsiTheme="majorBidi" w:cstheme="majorBidi"/>
        </w:rPr>
        <w:t xml:space="preserve"> de sorte que la détermination de la taille de l’entreprise repose sur le nombre de salariés employés à temps plein pendant une année et sur le chiffre d’affaire</w:t>
      </w:r>
      <w:r>
        <w:rPr>
          <w:rFonts w:asciiTheme="majorBidi" w:hAnsiTheme="majorBidi" w:cstheme="majorBidi"/>
        </w:rPr>
        <w:t>s</w:t>
      </w:r>
      <w:r w:rsidRPr="002B5946">
        <w:rPr>
          <w:rFonts w:asciiTheme="majorBidi" w:hAnsiTheme="majorBidi" w:cstheme="majorBidi"/>
        </w:rPr>
        <w:t xml:space="preserve"> ou le total du bilan affér</w:t>
      </w:r>
      <w:r>
        <w:rPr>
          <w:rFonts w:asciiTheme="majorBidi" w:hAnsiTheme="majorBidi" w:cstheme="majorBidi"/>
        </w:rPr>
        <w:t>a</w:t>
      </w:r>
      <w:r w:rsidRPr="002B5946">
        <w:rPr>
          <w:rFonts w:asciiTheme="majorBidi" w:hAnsiTheme="majorBidi" w:cstheme="majorBidi"/>
        </w:rPr>
        <w:t xml:space="preserve">nt au dernier exercice clôturé de douze mois. </w:t>
      </w:r>
      <w:r>
        <w:rPr>
          <w:rFonts w:asciiTheme="majorBidi" w:hAnsiTheme="majorBidi" w:cstheme="majorBidi"/>
        </w:rPr>
        <w:t>Par ailleurs</w:t>
      </w:r>
      <w:r w:rsidRPr="002B5946">
        <w:rPr>
          <w:rFonts w:asciiTheme="majorBidi" w:hAnsiTheme="majorBidi" w:cstheme="majorBidi"/>
        </w:rPr>
        <w:t xml:space="preserve">, selon le deuxième critère, l’entreprise est considérée comme indépendante si elle n’est pas détenue à 25% </w:t>
      </w:r>
      <w:r>
        <w:rPr>
          <w:rFonts w:asciiTheme="majorBidi" w:hAnsiTheme="majorBidi" w:cstheme="majorBidi"/>
        </w:rPr>
        <w:t>et</w:t>
      </w:r>
      <w:r w:rsidRPr="002B5946">
        <w:rPr>
          <w:rFonts w:asciiTheme="majorBidi" w:hAnsiTheme="majorBidi" w:cstheme="majorBidi"/>
        </w:rPr>
        <w:t xml:space="preserve"> plus par une ou plusieurs autres entreprises ne correspondant pas à la définition de PME. En fonction de ces critères, la petite entreprise est définie comme une entreprise employant de 10 à 49 personnes et dont le chiffre d’affaires annuel est compris entre 20 millions de dinars et moins de 200 millions de dinars ou dont le total du bilan </w:t>
      </w:r>
      <w:r w:rsidRPr="002B5946">
        <w:rPr>
          <w:rFonts w:asciiTheme="majorBidi" w:hAnsiTheme="majorBidi" w:cstheme="majorBidi"/>
        </w:rPr>
        <w:lastRenderedPageBreak/>
        <w:t xml:space="preserve">annuel est entre 10 millions de dinars et moins de 100 millions de dinars. </w:t>
      </w:r>
      <w:r>
        <w:rPr>
          <w:rFonts w:asciiTheme="majorBidi" w:hAnsiTheme="majorBidi" w:cstheme="majorBidi"/>
        </w:rPr>
        <w:t>Tandis que</w:t>
      </w:r>
      <w:r w:rsidRPr="002B5946">
        <w:rPr>
          <w:rFonts w:asciiTheme="majorBidi" w:hAnsiTheme="majorBidi" w:cstheme="majorBidi"/>
        </w:rPr>
        <w:t xml:space="preserve">, la moyenne entreprise est définie comme une entreprise employant </w:t>
      </w:r>
      <w:r>
        <w:rPr>
          <w:rFonts w:asciiTheme="majorBidi" w:hAnsiTheme="majorBidi" w:cstheme="majorBidi"/>
        </w:rPr>
        <w:t xml:space="preserve">de </w:t>
      </w:r>
      <w:r w:rsidRPr="002B5946">
        <w:rPr>
          <w:rFonts w:asciiTheme="majorBidi" w:hAnsiTheme="majorBidi" w:cstheme="majorBidi"/>
        </w:rPr>
        <w:t xml:space="preserve">50 à 250 personnes </w:t>
      </w:r>
      <w:r>
        <w:rPr>
          <w:rFonts w:asciiTheme="majorBidi" w:hAnsiTheme="majorBidi" w:cstheme="majorBidi"/>
        </w:rPr>
        <w:t xml:space="preserve">       </w:t>
      </w:r>
      <w:r w:rsidRPr="002B5946">
        <w:rPr>
          <w:rFonts w:asciiTheme="majorBidi" w:hAnsiTheme="majorBidi" w:cstheme="majorBidi"/>
        </w:rPr>
        <w:t>et dont le chiffre d’affaires est compris entre 200 millions de dinars et 02 milliards de dinars ou dont le total du bilan annuel est compris entre 100 millions de dinars et 500 millions de dinars.</w:t>
      </w:r>
    </w:p>
    <w:p w:rsidR="000202EA" w:rsidRPr="002B5946" w:rsidRDefault="000202EA" w:rsidP="000202EA">
      <w:pPr>
        <w:pStyle w:val="Paragraphedeliste"/>
        <w:numPr>
          <w:ilvl w:val="0"/>
          <w:numId w:val="13"/>
        </w:numPr>
        <w:spacing w:line="360" w:lineRule="auto"/>
        <w:jc w:val="both"/>
        <w:rPr>
          <w:rFonts w:asciiTheme="majorBidi" w:hAnsiTheme="majorBidi" w:cstheme="majorBidi"/>
        </w:rPr>
      </w:pPr>
      <w:r w:rsidRPr="002B5946">
        <w:rPr>
          <w:rFonts w:asciiTheme="majorBidi" w:hAnsiTheme="majorBidi" w:cstheme="majorBidi"/>
        </w:rPr>
        <w:t xml:space="preserve">Les PME d’une manière générale </w:t>
      </w:r>
      <w:r>
        <w:rPr>
          <w:rFonts w:asciiTheme="majorBidi" w:hAnsiTheme="majorBidi" w:cstheme="majorBidi"/>
        </w:rPr>
        <w:t>et</w:t>
      </w:r>
      <w:r w:rsidRPr="002B5946">
        <w:rPr>
          <w:rFonts w:asciiTheme="majorBidi" w:hAnsiTheme="majorBidi" w:cstheme="majorBidi"/>
        </w:rPr>
        <w:t xml:space="preserve"> particulièrement les PME algériennes jouent un rôle appréciable dans le développement socio-économique du pays à travers leur contribution </w:t>
      </w:r>
      <w:r>
        <w:rPr>
          <w:rFonts w:asciiTheme="majorBidi" w:hAnsiTheme="majorBidi" w:cstheme="majorBidi"/>
        </w:rPr>
        <w:t xml:space="preserve">    </w:t>
      </w:r>
      <w:r w:rsidRPr="002B5946">
        <w:rPr>
          <w:rFonts w:asciiTheme="majorBidi" w:hAnsiTheme="majorBidi" w:cstheme="majorBidi"/>
        </w:rPr>
        <w:t xml:space="preserve">à la création d’emplois et de la valeur ajoutée </w:t>
      </w:r>
      <w:r>
        <w:rPr>
          <w:rFonts w:asciiTheme="majorBidi" w:hAnsiTheme="majorBidi" w:cstheme="majorBidi"/>
        </w:rPr>
        <w:t>ainsi que</w:t>
      </w:r>
      <w:r w:rsidRPr="002B5946">
        <w:rPr>
          <w:rFonts w:asciiTheme="majorBidi" w:hAnsiTheme="majorBidi" w:cstheme="majorBidi"/>
        </w:rPr>
        <w:t xml:space="preserve"> leur participation au PIB</w:t>
      </w:r>
      <w:r>
        <w:rPr>
          <w:rFonts w:asciiTheme="majorBidi" w:hAnsiTheme="majorBidi" w:cstheme="majorBidi"/>
        </w:rPr>
        <w:t>HH</w:t>
      </w:r>
      <w:r w:rsidRPr="002B5946">
        <w:rPr>
          <w:rFonts w:asciiTheme="majorBidi" w:hAnsiTheme="majorBidi" w:cstheme="majorBidi"/>
        </w:rPr>
        <w:t xml:space="preserve"> et aux exportations du pays à l’étranger.</w:t>
      </w:r>
    </w:p>
    <w:p w:rsidR="000202EA" w:rsidRPr="004969F6" w:rsidRDefault="000202EA" w:rsidP="000202EA">
      <w:pPr>
        <w:pStyle w:val="Paragraphedeliste"/>
        <w:numPr>
          <w:ilvl w:val="0"/>
          <w:numId w:val="13"/>
        </w:numPr>
        <w:spacing w:line="360" w:lineRule="auto"/>
        <w:jc w:val="both"/>
        <w:rPr>
          <w:rFonts w:asciiTheme="majorBidi" w:hAnsiTheme="majorBidi" w:cstheme="majorBidi"/>
        </w:rPr>
      </w:pPr>
      <w:r w:rsidRPr="002B5946">
        <w:rPr>
          <w:rFonts w:asciiTheme="majorBidi" w:hAnsiTheme="majorBidi" w:cstheme="majorBidi"/>
        </w:rPr>
        <w:t xml:space="preserve">Les PME </w:t>
      </w:r>
      <w:r>
        <w:rPr>
          <w:rFonts w:asciiTheme="majorBidi" w:hAnsiTheme="majorBidi" w:cstheme="majorBidi"/>
        </w:rPr>
        <w:t>sont dotées</w:t>
      </w:r>
      <w:r w:rsidRPr="002B5946">
        <w:rPr>
          <w:rFonts w:asciiTheme="majorBidi" w:hAnsiTheme="majorBidi" w:cstheme="majorBidi"/>
        </w:rPr>
        <w:t xml:space="preserve"> d’une diversité de moyens de financement à savoir les capitaux propres, les quasi-capitaux propres et les dettes, mais elles se trouvent souvent à la recherche des fonds notamment en ce qui concerne les PME algériennes. Ce déficit d’obtenir des fonds est dû notamment aux difficultés d’obtenir des crédits au niveau</w:t>
      </w:r>
      <w:r w:rsidR="00C411B2">
        <w:rPr>
          <w:rFonts w:asciiTheme="majorBidi" w:hAnsiTheme="majorBidi" w:cstheme="majorBidi"/>
        </w:rPr>
        <w:t xml:space="preserve"> des banques et des sociétés de </w:t>
      </w:r>
      <w:r w:rsidRPr="002B5946">
        <w:rPr>
          <w:rFonts w:asciiTheme="majorBidi" w:hAnsiTheme="majorBidi" w:cstheme="majorBidi"/>
        </w:rPr>
        <w:t>crédit-bail, vu les conditions exigeantes qu’imposent ces dernières en matière de garanties, de rentabilité, de liqui</w:t>
      </w:r>
      <w:r>
        <w:rPr>
          <w:rFonts w:asciiTheme="majorBidi" w:hAnsiTheme="majorBidi" w:cstheme="majorBidi"/>
        </w:rPr>
        <w:t>dité, de taille de l’entreprise,</w:t>
      </w:r>
      <w:r w:rsidRPr="002B5946">
        <w:rPr>
          <w:rFonts w:asciiTheme="majorBidi" w:hAnsiTheme="majorBidi" w:cstheme="majorBidi"/>
        </w:rPr>
        <w:t xml:space="preserve">…etc. Comme, il peut être dû </w:t>
      </w:r>
      <w:r>
        <w:rPr>
          <w:rFonts w:asciiTheme="majorBidi" w:hAnsiTheme="majorBidi" w:cstheme="majorBidi"/>
        </w:rPr>
        <w:t xml:space="preserve">   </w:t>
      </w:r>
      <w:r w:rsidRPr="002B5946">
        <w:rPr>
          <w:rFonts w:asciiTheme="majorBidi" w:hAnsiTheme="majorBidi" w:cstheme="majorBidi"/>
        </w:rPr>
        <w:t>à l’absence d’un marché financier actif pour l’ouverture du capital des PME financées par le capital-</w:t>
      </w:r>
      <w:r w:rsidRPr="004969F6">
        <w:rPr>
          <w:rFonts w:asciiTheme="majorBidi" w:hAnsiTheme="majorBidi" w:cstheme="majorBidi"/>
        </w:rPr>
        <w:t xml:space="preserve">risque.   </w:t>
      </w:r>
    </w:p>
    <w:p w:rsidR="000202EA" w:rsidRPr="004969F6" w:rsidRDefault="000202EA" w:rsidP="000202EA">
      <w:pPr>
        <w:pStyle w:val="Paragraphedeliste"/>
        <w:numPr>
          <w:ilvl w:val="0"/>
          <w:numId w:val="13"/>
        </w:numPr>
        <w:spacing w:line="360" w:lineRule="auto"/>
        <w:jc w:val="both"/>
        <w:rPr>
          <w:rFonts w:asciiTheme="majorBidi" w:hAnsiTheme="majorBidi" w:cstheme="majorBidi"/>
        </w:rPr>
      </w:pPr>
      <w:r w:rsidRPr="004969F6">
        <w:rPr>
          <w:rFonts w:asciiTheme="majorBidi" w:hAnsiTheme="majorBidi" w:cstheme="majorBidi"/>
        </w:rPr>
        <w:t xml:space="preserve">Les facteurs explicatifs de la structure d’endettement des entreprises </w:t>
      </w:r>
      <w:r>
        <w:rPr>
          <w:rFonts w:asciiTheme="majorBidi" w:hAnsiTheme="majorBidi" w:cstheme="majorBidi"/>
        </w:rPr>
        <w:t>reposent</w:t>
      </w:r>
      <w:r w:rsidRPr="004969F6">
        <w:rPr>
          <w:rFonts w:asciiTheme="majorBidi" w:hAnsiTheme="majorBidi" w:cstheme="majorBidi"/>
        </w:rPr>
        <w:t xml:space="preserve"> sur deux axes théoriques dont leurs prédictions sont opposées à savoir : la théorie de compromis qui suppose l’existence d’un ratio d’endettement optimal pouvant constituer une cible pour la gestion de la dette, et celle du financement hiérarchique qui refuse a priori l’idée de l’existence de ce ratio et estime que la gestion de l’endettement obéit à une logique de type séquentielle pour laquelle l’entreprise privilégie l’autofinancement, puis le financement par dette</w:t>
      </w:r>
      <w:r>
        <w:rPr>
          <w:rFonts w:asciiTheme="majorBidi" w:hAnsiTheme="majorBidi" w:cstheme="majorBidi"/>
        </w:rPr>
        <w:t>s</w:t>
      </w:r>
      <w:r w:rsidRPr="004969F6">
        <w:rPr>
          <w:rFonts w:asciiTheme="majorBidi" w:hAnsiTheme="majorBidi" w:cstheme="majorBidi"/>
        </w:rPr>
        <w:t xml:space="preserve"> et en dernier lieu l’émission d’actions.</w:t>
      </w:r>
      <w:r w:rsidRPr="004969F6">
        <w:rPr>
          <w:rFonts w:asciiTheme="majorBidi" w:hAnsiTheme="majorBidi" w:cstheme="majorBidi"/>
          <w:sz w:val="23"/>
          <w:szCs w:val="23"/>
        </w:rPr>
        <w:t xml:space="preserve"> </w:t>
      </w:r>
      <w:r w:rsidRPr="004969F6">
        <w:rPr>
          <w:rFonts w:asciiTheme="majorBidi" w:hAnsiTheme="majorBidi" w:cstheme="majorBidi"/>
        </w:rPr>
        <w:t xml:space="preserve">      </w:t>
      </w:r>
    </w:p>
    <w:p w:rsidR="000202EA" w:rsidRPr="00D426C8" w:rsidRDefault="000202EA" w:rsidP="000202EA">
      <w:pPr>
        <w:pStyle w:val="Paragraphedeliste"/>
        <w:numPr>
          <w:ilvl w:val="0"/>
          <w:numId w:val="13"/>
        </w:numPr>
        <w:tabs>
          <w:tab w:val="left" w:pos="1635"/>
        </w:tabs>
        <w:spacing w:line="360" w:lineRule="auto"/>
        <w:jc w:val="both"/>
        <w:rPr>
          <w:rFonts w:asciiTheme="majorBidi" w:hAnsiTheme="majorBidi" w:cstheme="majorBidi"/>
        </w:rPr>
      </w:pPr>
      <w:r w:rsidRPr="00FC6B3A">
        <w:rPr>
          <w:rFonts w:asciiTheme="majorBidi" w:hAnsiTheme="majorBidi" w:cstheme="majorBidi"/>
        </w:rPr>
        <w:t>Les résultats de régression et les différents tests effectués sur  notre échantillon de PME montrent que le modèle de régression multiple à effet individuel fixe corrigé de l’</w:t>
      </w:r>
      <w:proofErr w:type="spellStart"/>
      <w:r w:rsidRPr="00FC6B3A">
        <w:rPr>
          <w:rFonts w:asciiTheme="majorBidi" w:hAnsiTheme="majorBidi" w:cstheme="majorBidi"/>
        </w:rPr>
        <w:t>hétéroscédasticité</w:t>
      </w:r>
      <w:proofErr w:type="spellEnd"/>
      <w:r w:rsidRPr="00FC6B3A">
        <w:rPr>
          <w:rFonts w:asciiTheme="majorBidi" w:hAnsiTheme="majorBidi" w:cstheme="majorBidi"/>
        </w:rPr>
        <w:t xml:space="preserve"> et de l’autocorrélation des erreurs de premier ordre, doit être retenu comme le modèle le plus significatif des déterminants de la structure d’endettement de notre échantillon de PME. De plus, ces mêmes résultats révèlent </w:t>
      </w:r>
      <w:r>
        <w:rPr>
          <w:rFonts w:asciiTheme="majorBidi" w:hAnsiTheme="majorBidi" w:cstheme="majorBidi"/>
        </w:rPr>
        <w:t>l’existence d’une</w:t>
      </w:r>
      <w:r w:rsidRPr="00FC6B3A">
        <w:rPr>
          <w:rFonts w:asciiTheme="majorBidi" w:hAnsiTheme="majorBidi" w:cstheme="majorBidi"/>
        </w:rPr>
        <w:t xml:space="preserve"> seule variable significative au seuil de 5% </w:t>
      </w:r>
      <w:r>
        <w:rPr>
          <w:rFonts w:asciiTheme="majorBidi" w:hAnsiTheme="majorBidi" w:cstheme="majorBidi"/>
        </w:rPr>
        <w:t>qui est</w:t>
      </w:r>
      <w:r w:rsidRPr="00FC6B3A">
        <w:rPr>
          <w:rFonts w:asciiTheme="majorBidi" w:hAnsiTheme="majorBidi" w:cstheme="majorBidi"/>
        </w:rPr>
        <w:t xml:space="preserve"> la liquidité de l’entreprise. De ce fait, les autres variables (la rentabilité économique de l’entreprise, la tangibilité de l’actif</w:t>
      </w:r>
      <w:r>
        <w:rPr>
          <w:rFonts w:asciiTheme="majorBidi" w:hAnsiTheme="majorBidi" w:cstheme="majorBidi"/>
        </w:rPr>
        <w:t xml:space="preserve"> de l’entreprise</w:t>
      </w:r>
      <w:r w:rsidRPr="00FC6B3A">
        <w:rPr>
          <w:rFonts w:asciiTheme="majorBidi" w:hAnsiTheme="majorBidi" w:cstheme="majorBidi"/>
        </w:rPr>
        <w:t xml:space="preserve">, le taux de croissance de l’entreprise, </w:t>
      </w:r>
      <w:r>
        <w:rPr>
          <w:rFonts w:asciiTheme="majorBidi" w:hAnsiTheme="majorBidi" w:cstheme="majorBidi"/>
        </w:rPr>
        <w:t xml:space="preserve">la taille de l’entreprise, </w:t>
      </w:r>
      <w:r w:rsidRPr="00FC6B3A">
        <w:rPr>
          <w:rFonts w:asciiTheme="majorBidi" w:hAnsiTheme="majorBidi" w:cstheme="majorBidi"/>
        </w:rPr>
        <w:t xml:space="preserve">le niveau du risque opérationnel </w:t>
      </w:r>
      <w:r>
        <w:rPr>
          <w:rFonts w:asciiTheme="majorBidi" w:hAnsiTheme="majorBidi" w:cstheme="majorBidi"/>
        </w:rPr>
        <w:t xml:space="preserve">  </w:t>
      </w:r>
      <w:r w:rsidRPr="00FC6B3A">
        <w:rPr>
          <w:rFonts w:asciiTheme="majorBidi" w:hAnsiTheme="majorBidi" w:cstheme="majorBidi"/>
        </w:rPr>
        <w:t xml:space="preserve">et les avantages fiscaux non liés à la dette) n’ont aucun effet sur le niveau d’endettement des PME objet d’étude, </w:t>
      </w:r>
      <w:r w:rsidRPr="00D426C8">
        <w:rPr>
          <w:rFonts w:asciiTheme="majorBidi" w:hAnsiTheme="majorBidi" w:cstheme="majorBidi"/>
        </w:rPr>
        <w:t xml:space="preserve">puisqu’elles sont statistiquement non significatives au seuil de 5%. </w:t>
      </w:r>
    </w:p>
    <w:p w:rsidR="000202EA" w:rsidRPr="00D426C8" w:rsidRDefault="000202EA" w:rsidP="000202EA">
      <w:pPr>
        <w:pStyle w:val="Paragraphedeliste"/>
        <w:numPr>
          <w:ilvl w:val="0"/>
          <w:numId w:val="13"/>
        </w:numPr>
        <w:tabs>
          <w:tab w:val="left" w:pos="1635"/>
        </w:tabs>
        <w:spacing w:line="360" w:lineRule="auto"/>
        <w:jc w:val="both"/>
        <w:rPr>
          <w:rFonts w:asciiTheme="majorBidi" w:hAnsiTheme="majorBidi" w:cstheme="majorBidi"/>
        </w:rPr>
      </w:pPr>
      <w:r w:rsidRPr="00D426C8">
        <w:rPr>
          <w:rFonts w:asciiTheme="majorBidi" w:hAnsiTheme="majorBidi" w:cstheme="majorBidi"/>
        </w:rPr>
        <w:lastRenderedPageBreak/>
        <w:t xml:space="preserve">Les résultats de régression et les différents tests effectués sur l’ensemble de nos </w:t>
      </w:r>
      <w:r>
        <w:rPr>
          <w:rFonts w:asciiTheme="majorBidi" w:hAnsiTheme="majorBidi" w:cstheme="majorBidi"/>
        </w:rPr>
        <w:t xml:space="preserve">              </w:t>
      </w:r>
      <w:r w:rsidRPr="00D426C8">
        <w:rPr>
          <w:rFonts w:asciiTheme="majorBidi" w:hAnsiTheme="majorBidi" w:cstheme="majorBidi"/>
        </w:rPr>
        <w:t xml:space="preserve">sous-échantillons définis selon le secteur d’activité de l’entreprise, sa structure juridique, sa région géographique et sa taille </w:t>
      </w:r>
      <w:r>
        <w:rPr>
          <w:rFonts w:asciiTheme="majorBidi" w:hAnsiTheme="majorBidi" w:cstheme="majorBidi"/>
        </w:rPr>
        <w:t>montrent</w:t>
      </w:r>
      <w:r w:rsidRPr="00D426C8">
        <w:rPr>
          <w:rFonts w:asciiTheme="majorBidi" w:hAnsiTheme="majorBidi" w:cstheme="majorBidi"/>
        </w:rPr>
        <w:t xml:space="preserve"> que la liquidité de l’entreprise retenue comme le seul déterminant de la structure d’endettement de notre échantillon </w:t>
      </w:r>
      <w:r>
        <w:rPr>
          <w:rFonts w:asciiTheme="majorBidi" w:hAnsiTheme="majorBidi" w:cstheme="majorBidi"/>
        </w:rPr>
        <w:t xml:space="preserve">principal </w:t>
      </w:r>
      <w:r w:rsidRPr="00D426C8">
        <w:rPr>
          <w:rFonts w:asciiTheme="majorBidi" w:hAnsiTheme="majorBidi" w:cstheme="majorBidi"/>
        </w:rPr>
        <w:t>de PME n’est pas forcément le même pour nos sous-échantillons objet d’étude</w:t>
      </w:r>
      <w:r>
        <w:rPr>
          <w:rFonts w:asciiTheme="majorBidi" w:hAnsiTheme="majorBidi" w:cstheme="majorBidi"/>
        </w:rPr>
        <w:t>. En effet, concernant nos sous-</w:t>
      </w:r>
      <w:r w:rsidRPr="00D426C8">
        <w:rPr>
          <w:rFonts w:asciiTheme="majorBidi" w:hAnsiTheme="majorBidi" w:cstheme="majorBidi"/>
        </w:rPr>
        <w:t>échantillons de PME classées selon le secteur d’activité de l’entreprise, la liquidité de l’entreprise a été retenue comme le seul facteur déterminant l’endettement des PME commerciales</w:t>
      </w:r>
      <w:r w:rsidRPr="00D426C8">
        <w:t>, a</w:t>
      </w:r>
      <w:r w:rsidRPr="00D426C8">
        <w:rPr>
          <w:rFonts w:asciiTheme="majorBidi" w:hAnsiTheme="majorBidi" w:cstheme="majorBidi"/>
        </w:rPr>
        <w:t>lors que deux variables ont été identifié</w:t>
      </w:r>
      <w:r>
        <w:rPr>
          <w:rFonts w:asciiTheme="majorBidi" w:hAnsiTheme="majorBidi" w:cstheme="majorBidi"/>
        </w:rPr>
        <w:t>e</w:t>
      </w:r>
      <w:r w:rsidRPr="00D426C8">
        <w:rPr>
          <w:rFonts w:asciiTheme="majorBidi" w:hAnsiTheme="majorBidi" w:cstheme="majorBidi"/>
        </w:rPr>
        <w:t>s comme déterminant</w:t>
      </w:r>
      <w:r>
        <w:rPr>
          <w:rFonts w:asciiTheme="majorBidi" w:hAnsiTheme="majorBidi" w:cstheme="majorBidi"/>
        </w:rPr>
        <w:t>e</w:t>
      </w:r>
      <w:r w:rsidRPr="00D426C8">
        <w:rPr>
          <w:rFonts w:asciiTheme="majorBidi" w:hAnsiTheme="majorBidi" w:cstheme="majorBidi"/>
        </w:rPr>
        <w:t xml:space="preserve">s de l’endettement des PME industrielles </w:t>
      </w:r>
      <w:r w:rsidRPr="00D426C8">
        <w:t xml:space="preserve">à savoir : la liquidité de l’entreprise et la taille de l’entreprise. De plus, </w:t>
      </w:r>
      <w:r w:rsidRPr="00D426C8">
        <w:rPr>
          <w:rFonts w:asciiTheme="majorBidi" w:hAnsiTheme="majorBidi" w:cstheme="majorBidi"/>
        </w:rPr>
        <w:t>les</w:t>
      </w:r>
      <w:r w:rsidRPr="00D426C8">
        <w:t xml:space="preserve"> variables explicatives de la structure d’endettement de nos PME </w:t>
      </w:r>
      <w:r>
        <w:t>étudiées en fonction de leur</w:t>
      </w:r>
      <w:r w:rsidRPr="00D426C8">
        <w:t xml:space="preserve"> structure juridique ont été fixées à trois variables retenues comme significatives au seuil de 5% pour notre sous-échantillon de PME sous forme de personnes physiques, il s’agit de la rentabilité économique de l’entreprise, </w:t>
      </w:r>
      <w:r>
        <w:t xml:space="preserve">de </w:t>
      </w:r>
      <w:r w:rsidRPr="00D426C8">
        <w:t>l</w:t>
      </w:r>
      <w:r>
        <w:t>a liquidité de l’entreprise et d</w:t>
      </w:r>
      <w:r w:rsidRPr="00D426C8">
        <w:t xml:space="preserve">es avantages fiscaux non liés à la dette, tandis que pour notre échantillon de PME sous forme </w:t>
      </w:r>
      <w:r>
        <w:t>d’</w:t>
      </w:r>
      <w:r w:rsidRPr="00D426C8">
        <w:t>entreprises uniques à responsabilité limitée, le nombre de variables explicatives significatives a été réduit à deux variables à savoir : la rentabilité économique de l’entreprise et la liquidit</w:t>
      </w:r>
      <w:r>
        <w:t xml:space="preserve">é de l’entreprise. Cependant, </w:t>
      </w:r>
      <w:r w:rsidRPr="00D426C8">
        <w:t>une seu</w:t>
      </w:r>
      <w:r>
        <w:t xml:space="preserve">le variable a été retenue comme </w:t>
      </w:r>
      <w:r w:rsidRPr="00D426C8">
        <w:t>significative pour notre sou</w:t>
      </w:r>
      <w:r>
        <w:t xml:space="preserve">s-échantillon de PME sous forme de </w:t>
      </w:r>
      <w:r w:rsidRPr="00D426C8">
        <w:t xml:space="preserve">sociétés </w:t>
      </w:r>
      <w:r>
        <w:t xml:space="preserve">                        </w:t>
      </w:r>
      <w:r w:rsidRPr="00D426C8">
        <w:t>à responsabilité limitée qui est la rentabilité économique de l’entreprise. Par ailleurs</w:t>
      </w:r>
      <w:r w:rsidRPr="00D426C8">
        <w:rPr>
          <w:rFonts w:asciiTheme="majorBidi" w:hAnsiTheme="majorBidi" w:cstheme="majorBidi"/>
        </w:rPr>
        <w:t xml:space="preserve">, </w:t>
      </w:r>
      <w:r>
        <w:rPr>
          <w:rFonts w:asciiTheme="majorBidi" w:hAnsiTheme="majorBidi" w:cstheme="majorBidi"/>
        </w:rPr>
        <w:t xml:space="preserve">et </w:t>
      </w:r>
      <w:r w:rsidRPr="00D426C8">
        <w:rPr>
          <w:rFonts w:asciiTheme="majorBidi" w:hAnsiTheme="majorBidi" w:cstheme="majorBidi"/>
        </w:rPr>
        <w:t xml:space="preserve">en ce qui concerne nos sous-échantillons de PME classées selon la région géographique </w:t>
      </w:r>
      <w:r>
        <w:rPr>
          <w:rFonts w:asciiTheme="majorBidi" w:hAnsiTheme="majorBidi" w:cstheme="majorBidi"/>
        </w:rPr>
        <w:t>de</w:t>
      </w:r>
      <w:r w:rsidRPr="00D426C8">
        <w:rPr>
          <w:rFonts w:asciiTheme="majorBidi" w:hAnsiTheme="majorBidi" w:cstheme="majorBidi"/>
        </w:rPr>
        <w:t xml:space="preserve"> l’entreprise, </w:t>
      </w:r>
      <w:r>
        <w:t>deux</w:t>
      </w:r>
      <w:r w:rsidRPr="00D426C8">
        <w:t xml:space="preserve"> variables déterminent la structure d’endettement de no</w:t>
      </w:r>
      <w:r>
        <w:t>s</w:t>
      </w:r>
      <w:r w:rsidRPr="00D426C8">
        <w:t xml:space="preserve"> </w:t>
      </w:r>
      <w:r>
        <w:t xml:space="preserve">deux               </w:t>
      </w:r>
      <w:r w:rsidRPr="00D426C8">
        <w:t xml:space="preserve">sous-échantillons de PME des </w:t>
      </w:r>
      <w:r>
        <w:t>H</w:t>
      </w:r>
      <w:r w:rsidRPr="00D426C8">
        <w:t>auts-</w:t>
      </w:r>
      <w:r>
        <w:t>P</w:t>
      </w:r>
      <w:r w:rsidRPr="00D426C8">
        <w:t xml:space="preserve">lateaux </w:t>
      </w:r>
      <w:r>
        <w:t xml:space="preserve">et du Nord </w:t>
      </w:r>
      <w:r w:rsidRPr="00D426C8">
        <w:t>à savoir : la rentabilité économique de l’entreprise</w:t>
      </w:r>
      <w:r>
        <w:t xml:space="preserve"> et </w:t>
      </w:r>
      <w:r w:rsidRPr="00D426C8">
        <w:t xml:space="preserve">la liquidité de l’entreprise. </w:t>
      </w:r>
      <w:r w:rsidRPr="00D426C8">
        <w:rPr>
          <w:rFonts w:asciiTheme="majorBidi" w:hAnsiTheme="majorBidi" w:cstheme="majorBidi"/>
        </w:rPr>
        <w:t xml:space="preserve">Enfin, les conclusions empiriques caractérisant les déterminants du niveau d’endettement de nos sous-échantillons de PME considérées selon la taille de l’entreprise révèlent que trois variables explicatives sont significatives au seuil de 5% pour notre sous-échantillon de petites entreprises, il s’agit de la rentabilité économique de l’entreprise, </w:t>
      </w:r>
      <w:r>
        <w:rPr>
          <w:rFonts w:asciiTheme="majorBidi" w:hAnsiTheme="majorBidi" w:cstheme="majorBidi"/>
        </w:rPr>
        <w:t xml:space="preserve">de </w:t>
      </w:r>
      <w:r w:rsidRPr="00D426C8">
        <w:rPr>
          <w:rFonts w:asciiTheme="majorBidi" w:hAnsiTheme="majorBidi" w:cstheme="majorBidi"/>
        </w:rPr>
        <w:t xml:space="preserve">la liquidité de l’entreprise et </w:t>
      </w:r>
      <w:r>
        <w:rPr>
          <w:rFonts w:asciiTheme="majorBidi" w:hAnsiTheme="majorBidi" w:cstheme="majorBidi"/>
        </w:rPr>
        <w:t xml:space="preserve">de </w:t>
      </w:r>
      <w:r w:rsidRPr="00D426C8">
        <w:rPr>
          <w:rFonts w:asciiTheme="majorBidi" w:hAnsiTheme="majorBidi" w:cstheme="majorBidi"/>
        </w:rPr>
        <w:t xml:space="preserve">la taille de l’entreprise. Comme, ils indiquent que seulement deux variables sont significatives au seuil de 5% pour notre sous-échantillon de moyennes entreprises à savoir : la taille de l’entreprise et les avantages fiscaux non liés à la dette. </w:t>
      </w:r>
    </w:p>
    <w:p w:rsidR="000202EA" w:rsidRPr="00D426C8" w:rsidRDefault="000202EA" w:rsidP="000202EA">
      <w:pPr>
        <w:pStyle w:val="Paragraphedeliste"/>
        <w:tabs>
          <w:tab w:val="left" w:pos="1635"/>
        </w:tabs>
        <w:spacing w:line="360" w:lineRule="auto"/>
        <w:jc w:val="both"/>
        <w:rPr>
          <w:rFonts w:asciiTheme="majorBidi" w:hAnsiTheme="majorBidi" w:cstheme="majorBidi"/>
        </w:rPr>
      </w:pPr>
    </w:p>
    <w:p w:rsidR="000202EA" w:rsidRPr="00CF19FF" w:rsidRDefault="000202EA" w:rsidP="000202EA">
      <w:pPr>
        <w:spacing w:line="360" w:lineRule="auto"/>
        <w:jc w:val="both"/>
        <w:rPr>
          <w:rFonts w:asciiTheme="majorBidi" w:hAnsiTheme="majorBidi" w:cstheme="majorBidi"/>
        </w:rPr>
      </w:pPr>
      <w:r w:rsidRPr="00CF19FF">
        <w:rPr>
          <w:rFonts w:asciiTheme="majorBidi" w:hAnsiTheme="majorBidi" w:cstheme="majorBidi"/>
        </w:rPr>
        <w:t xml:space="preserve">    </w:t>
      </w:r>
      <w:r>
        <w:rPr>
          <w:rFonts w:asciiTheme="majorBidi" w:hAnsiTheme="majorBidi" w:cstheme="majorBidi"/>
        </w:rPr>
        <w:t>De plus, n</w:t>
      </w:r>
      <w:r w:rsidRPr="00CF19FF">
        <w:rPr>
          <w:rFonts w:asciiTheme="majorBidi" w:hAnsiTheme="majorBidi" w:cstheme="majorBidi"/>
        </w:rPr>
        <w:t xml:space="preserve">os résultats </w:t>
      </w:r>
      <w:r>
        <w:rPr>
          <w:rFonts w:asciiTheme="majorBidi" w:hAnsiTheme="majorBidi" w:cstheme="majorBidi"/>
        </w:rPr>
        <w:t>obtenus à l’issue de</w:t>
      </w:r>
      <w:r w:rsidRPr="00CF19FF">
        <w:rPr>
          <w:rFonts w:asciiTheme="majorBidi" w:hAnsiTheme="majorBidi" w:cstheme="majorBidi"/>
        </w:rPr>
        <w:t xml:space="preserve"> </w:t>
      </w:r>
      <w:r>
        <w:rPr>
          <w:rFonts w:asciiTheme="majorBidi" w:hAnsiTheme="majorBidi" w:cstheme="majorBidi"/>
        </w:rPr>
        <w:t>la</w:t>
      </w:r>
      <w:r w:rsidRPr="00CF19FF">
        <w:rPr>
          <w:rFonts w:asciiTheme="majorBidi" w:hAnsiTheme="majorBidi" w:cstheme="majorBidi"/>
        </w:rPr>
        <w:t xml:space="preserve"> présent</w:t>
      </w:r>
      <w:r>
        <w:rPr>
          <w:rFonts w:asciiTheme="majorBidi" w:hAnsiTheme="majorBidi" w:cstheme="majorBidi"/>
        </w:rPr>
        <w:t>e</w:t>
      </w:r>
      <w:r w:rsidRPr="00CF19FF">
        <w:rPr>
          <w:rFonts w:asciiTheme="majorBidi" w:hAnsiTheme="majorBidi" w:cstheme="majorBidi"/>
        </w:rPr>
        <w:t xml:space="preserve"> recherche, nous </w:t>
      </w:r>
      <w:r>
        <w:rPr>
          <w:rFonts w:asciiTheme="majorBidi" w:hAnsiTheme="majorBidi" w:cstheme="majorBidi"/>
        </w:rPr>
        <w:t>permettent de</w:t>
      </w:r>
      <w:r w:rsidRPr="00CF19FF">
        <w:rPr>
          <w:rFonts w:asciiTheme="majorBidi" w:hAnsiTheme="majorBidi" w:cstheme="majorBidi"/>
        </w:rPr>
        <w:t xml:space="preserve"> formuler les recommandations suivantes :</w:t>
      </w:r>
    </w:p>
    <w:p w:rsidR="000202EA" w:rsidRPr="00CF19FF" w:rsidRDefault="000202EA" w:rsidP="000202EA">
      <w:pPr>
        <w:pStyle w:val="Paragraphedeliste"/>
        <w:numPr>
          <w:ilvl w:val="0"/>
          <w:numId w:val="18"/>
        </w:numPr>
        <w:spacing w:line="360" w:lineRule="auto"/>
        <w:jc w:val="both"/>
        <w:rPr>
          <w:rFonts w:asciiTheme="majorBidi" w:hAnsiTheme="majorBidi" w:cstheme="majorBidi"/>
        </w:rPr>
      </w:pPr>
      <w:r w:rsidRPr="00CF19FF">
        <w:rPr>
          <w:rFonts w:asciiTheme="majorBidi" w:hAnsiTheme="majorBidi" w:cstheme="majorBidi"/>
        </w:rPr>
        <w:t>Il est conseillé aux autorités concerné</w:t>
      </w:r>
      <w:r>
        <w:rPr>
          <w:rFonts w:asciiTheme="majorBidi" w:hAnsiTheme="majorBidi" w:cstheme="majorBidi"/>
        </w:rPr>
        <w:t>e</w:t>
      </w:r>
      <w:r w:rsidRPr="00CF19FF">
        <w:rPr>
          <w:rFonts w:asciiTheme="majorBidi" w:hAnsiTheme="majorBidi" w:cstheme="majorBidi"/>
        </w:rPr>
        <w:t xml:space="preserve">s de mettre l’accent sur l’activation du marché financier algérien afin d’encourager le financement par le capital-risque et de faciliter  aux </w:t>
      </w:r>
      <w:r w:rsidRPr="00CF19FF">
        <w:rPr>
          <w:rFonts w:asciiTheme="majorBidi" w:hAnsiTheme="majorBidi" w:cstheme="majorBidi"/>
        </w:rPr>
        <w:lastRenderedPageBreak/>
        <w:t>PME algériennes le passage à une structure juridique de société par action</w:t>
      </w:r>
      <w:r>
        <w:rPr>
          <w:rFonts w:asciiTheme="majorBidi" w:hAnsiTheme="majorBidi" w:cstheme="majorBidi"/>
        </w:rPr>
        <w:t>s</w:t>
      </w:r>
      <w:r w:rsidRPr="00CF19FF">
        <w:rPr>
          <w:rFonts w:asciiTheme="majorBidi" w:hAnsiTheme="majorBidi" w:cstheme="majorBidi"/>
        </w:rPr>
        <w:t xml:space="preserve"> une fois qu’elle</w:t>
      </w:r>
      <w:r>
        <w:rPr>
          <w:rFonts w:asciiTheme="majorBidi" w:hAnsiTheme="majorBidi" w:cstheme="majorBidi"/>
        </w:rPr>
        <w:t>s</w:t>
      </w:r>
      <w:r w:rsidRPr="00CF19FF">
        <w:rPr>
          <w:rFonts w:asciiTheme="majorBidi" w:hAnsiTheme="majorBidi" w:cstheme="majorBidi"/>
        </w:rPr>
        <w:t xml:space="preserve"> ser</w:t>
      </w:r>
      <w:r>
        <w:rPr>
          <w:rFonts w:asciiTheme="majorBidi" w:hAnsiTheme="majorBidi" w:cstheme="majorBidi"/>
        </w:rPr>
        <w:t>ont</w:t>
      </w:r>
      <w:r w:rsidRPr="00CF19FF">
        <w:rPr>
          <w:rFonts w:asciiTheme="majorBidi" w:hAnsiTheme="majorBidi" w:cstheme="majorBidi"/>
        </w:rPr>
        <w:t xml:space="preserve"> développée</w:t>
      </w:r>
      <w:r>
        <w:rPr>
          <w:rFonts w:asciiTheme="majorBidi" w:hAnsiTheme="majorBidi" w:cstheme="majorBidi"/>
        </w:rPr>
        <w:t>s</w:t>
      </w:r>
      <w:r w:rsidRPr="00CF19FF">
        <w:rPr>
          <w:rFonts w:asciiTheme="majorBidi" w:hAnsiTheme="majorBidi" w:cstheme="majorBidi"/>
        </w:rPr>
        <w:t xml:space="preserve">, ce qui va </w:t>
      </w:r>
      <w:r>
        <w:rPr>
          <w:rFonts w:asciiTheme="majorBidi" w:hAnsiTheme="majorBidi" w:cstheme="majorBidi"/>
        </w:rPr>
        <w:t>les</w:t>
      </w:r>
      <w:r w:rsidRPr="00CF19FF">
        <w:rPr>
          <w:rFonts w:asciiTheme="majorBidi" w:hAnsiTheme="majorBidi" w:cstheme="majorBidi"/>
        </w:rPr>
        <w:t xml:space="preserve"> aider à penser à des introductions en bourse. </w:t>
      </w:r>
    </w:p>
    <w:p w:rsidR="000202EA" w:rsidRPr="00CF19FF" w:rsidRDefault="000202EA" w:rsidP="000202EA">
      <w:pPr>
        <w:pStyle w:val="Paragraphedeliste"/>
        <w:numPr>
          <w:ilvl w:val="0"/>
          <w:numId w:val="18"/>
        </w:numPr>
        <w:spacing w:line="360" w:lineRule="auto"/>
        <w:jc w:val="both"/>
        <w:rPr>
          <w:rFonts w:asciiTheme="majorBidi" w:hAnsiTheme="majorBidi" w:cstheme="majorBidi"/>
        </w:rPr>
      </w:pPr>
      <w:r w:rsidRPr="00CF19FF">
        <w:rPr>
          <w:rFonts w:asciiTheme="majorBidi" w:hAnsiTheme="majorBidi" w:cstheme="majorBidi"/>
        </w:rPr>
        <w:t>Pour améliorer leur accès à l’endettement, il serait intéressant pour nos PME algériennes d’améliorer leur rentabilité, leur liquidité, l</w:t>
      </w:r>
      <w:r>
        <w:rPr>
          <w:rFonts w:asciiTheme="majorBidi" w:hAnsiTheme="majorBidi" w:cstheme="majorBidi"/>
        </w:rPr>
        <w:t>a</w:t>
      </w:r>
      <w:r w:rsidRPr="00CF19FF">
        <w:rPr>
          <w:rFonts w:asciiTheme="majorBidi" w:hAnsiTheme="majorBidi" w:cstheme="majorBidi"/>
        </w:rPr>
        <w:t xml:space="preserve"> tangibilité de </w:t>
      </w:r>
      <w:r>
        <w:rPr>
          <w:rFonts w:asciiTheme="majorBidi" w:hAnsiTheme="majorBidi" w:cstheme="majorBidi"/>
        </w:rPr>
        <w:t>leurs</w:t>
      </w:r>
      <w:r w:rsidRPr="00CF19FF">
        <w:rPr>
          <w:rFonts w:asciiTheme="majorBidi" w:hAnsiTheme="majorBidi" w:cstheme="majorBidi"/>
        </w:rPr>
        <w:t xml:space="preserve"> actifs et leurs chiffres d’affaires. Comme, elles sont appelées </w:t>
      </w:r>
      <w:r>
        <w:rPr>
          <w:rFonts w:asciiTheme="majorBidi" w:hAnsiTheme="majorBidi" w:cstheme="majorBidi"/>
        </w:rPr>
        <w:t xml:space="preserve">à </w:t>
      </w:r>
      <w:r w:rsidRPr="00CF19FF">
        <w:rPr>
          <w:rFonts w:asciiTheme="majorBidi" w:hAnsiTheme="majorBidi" w:cstheme="majorBidi"/>
        </w:rPr>
        <w:t xml:space="preserve">établir des états financiers conformes aux </w:t>
      </w:r>
      <w:r>
        <w:rPr>
          <w:rFonts w:asciiTheme="majorBidi" w:hAnsiTheme="majorBidi" w:cstheme="majorBidi"/>
        </w:rPr>
        <w:t>exigences</w:t>
      </w:r>
      <w:r w:rsidRPr="00CF19FF">
        <w:rPr>
          <w:rFonts w:asciiTheme="majorBidi" w:hAnsiTheme="majorBidi" w:cstheme="majorBidi"/>
        </w:rPr>
        <w:t xml:space="preserve"> du système comptable financier afin de refléter l’image fidèle de l’entreprise.</w:t>
      </w:r>
    </w:p>
    <w:p w:rsidR="000202EA" w:rsidRPr="00CF19FF" w:rsidRDefault="000202EA" w:rsidP="000202EA">
      <w:pPr>
        <w:pStyle w:val="Paragraphedeliste"/>
        <w:numPr>
          <w:ilvl w:val="0"/>
          <w:numId w:val="18"/>
        </w:numPr>
        <w:spacing w:line="360" w:lineRule="auto"/>
        <w:jc w:val="both"/>
        <w:rPr>
          <w:rFonts w:asciiTheme="majorBidi" w:hAnsiTheme="majorBidi" w:cstheme="majorBidi"/>
        </w:rPr>
      </w:pPr>
      <w:r>
        <w:rPr>
          <w:rFonts w:asciiTheme="majorBidi" w:hAnsiTheme="majorBidi" w:cstheme="majorBidi"/>
        </w:rPr>
        <w:t xml:space="preserve">De préférence, </w:t>
      </w:r>
      <w:r w:rsidRPr="00CF19FF">
        <w:rPr>
          <w:rFonts w:asciiTheme="majorBidi" w:hAnsiTheme="majorBidi" w:cstheme="majorBidi"/>
        </w:rPr>
        <w:t xml:space="preserve">essayer de </w:t>
      </w:r>
      <w:proofErr w:type="spellStart"/>
      <w:r w:rsidRPr="00CF19FF">
        <w:rPr>
          <w:rFonts w:asciiTheme="majorBidi" w:hAnsiTheme="majorBidi" w:cstheme="majorBidi"/>
        </w:rPr>
        <w:t>réestimer</w:t>
      </w:r>
      <w:proofErr w:type="spellEnd"/>
      <w:r w:rsidRPr="00CF19FF">
        <w:rPr>
          <w:rFonts w:asciiTheme="majorBidi" w:hAnsiTheme="majorBidi" w:cstheme="majorBidi"/>
        </w:rPr>
        <w:t xml:space="preserve"> notre modèle empirique par l’introduction en premier lieu de certaines variables qualitatives relatives aux propriétaires et dirigeants des PME </w:t>
      </w:r>
      <w:r>
        <w:rPr>
          <w:rFonts w:asciiTheme="majorBidi" w:hAnsiTheme="majorBidi" w:cstheme="majorBidi"/>
        </w:rPr>
        <w:t xml:space="preserve">       </w:t>
      </w:r>
      <w:r w:rsidRPr="00CF19FF">
        <w:rPr>
          <w:rFonts w:asciiTheme="majorBidi" w:hAnsiTheme="majorBidi" w:cstheme="majorBidi"/>
        </w:rPr>
        <w:t xml:space="preserve">et qui peuvent influencer leur décision de financement. Puis, par la prise en compte d’un panel plus au moins long que le nôtre, afin de pouvoir appliquer une analyse dynamique des déterminants de la structure d’endettement de l’échantillon objet d’étude. </w:t>
      </w:r>
    </w:p>
    <w:p w:rsidR="000202EA" w:rsidRPr="00300D34" w:rsidRDefault="000202EA" w:rsidP="000202EA">
      <w:pPr>
        <w:spacing w:line="360" w:lineRule="auto"/>
        <w:jc w:val="both"/>
        <w:rPr>
          <w:rFonts w:asciiTheme="majorBidi" w:hAnsiTheme="majorBidi" w:cstheme="majorBidi"/>
          <w:color w:val="FF0000"/>
        </w:rPr>
      </w:pPr>
    </w:p>
    <w:p w:rsidR="000202EA" w:rsidRPr="00CF19FF" w:rsidRDefault="000202EA" w:rsidP="000202EA">
      <w:pPr>
        <w:spacing w:line="360" w:lineRule="auto"/>
        <w:jc w:val="both"/>
        <w:rPr>
          <w:rFonts w:asciiTheme="majorBidi" w:hAnsiTheme="majorBidi" w:cstheme="majorBidi"/>
        </w:rPr>
      </w:pPr>
      <w:r w:rsidRPr="00CF19FF">
        <w:rPr>
          <w:rFonts w:asciiTheme="majorBidi" w:hAnsiTheme="majorBidi" w:cstheme="majorBidi"/>
        </w:rPr>
        <w:t xml:space="preserve">    </w:t>
      </w:r>
      <w:r>
        <w:rPr>
          <w:rFonts w:asciiTheme="majorBidi" w:hAnsiTheme="majorBidi" w:cstheme="majorBidi"/>
        </w:rPr>
        <w:t>Enfin, n</w:t>
      </w:r>
      <w:r w:rsidRPr="00CF19FF">
        <w:rPr>
          <w:rFonts w:asciiTheme="majorBidi" w:hAnsiTheme="majorBidi" w:cstheme="majorBidi"/>
        </w:rPr>
        <w:t xml:space="preserve">ous </w:t>
      </w:r>
      <w:r>
        <w:rPr>
          <w:rFonts w:asciiTheme="majorBidi" w:hAnsiTheme="majorBidi" w:cstheme="majorBidi"/>
        </w:rPr>
        <w:t>n’avons nullement la prétention d’avoir traité</w:t>
      </w:r>
      <w:r w:rsidRPr="00CF19FF">
        <w:rPr>
          <w:rFonts w:asciiTheme="majorBidi" w:hAnsiTheme="majorBidi" w:cstheme="majorBidi"/>
        </w:rPr>
        <w:t xml:space="preserve"> tous les aspects rela</w:t>
      </w:r>
      <w:r>
        <w:rPr>
          <w:rFonts w:asciiTheme="majorBidi" w:hAnsiTheme="majorBidi" w:cstheme="majorBidi"/>
        </w:rPr>
        <w:t>tifs à notre sujet de recherche en raison de certaines</w:t>
      </w:r>
      <w:r w:rsidRPr="00CF19FF">
        <w:rPr>
          <w:rFonts w:asciiTheme="majorBidi" w:hAnsiTheme="majorBidi" w:cstheme="majorBidi"/>
        </w:rPr>
        <w:t xml:space="preserve"> insuffisances qui </w:t>
      </w:r>
      <w:r>
        <w:rPr>
          <w:rFonts w:asciiTheme="majorBidi" w:hAnsiTheme="majorBidi" w:cstheme="majorBidi"/>
        </w:rPr>
        <w:t>pourraient</w:t>
      </w:r>
      <w:r w:rsidRPr="00CF19FF">
        <w:rPr>
          <w:rFonts w:asciiTheme="majorBidi" w:hAnsiTheme="majorBidi" w:cstheme="majorBidi"/>
        </w:rPr>
        <w:t xml:space="preserve"> être lié</w:t>
      </w:r>
      <w:r>
        <w:rPr>
          <w:rFonts w:asciiTheme="majorBidi" w:hAnsiTheme="majorBidi" w:cstheme="majorBidi"/>
        </w:rPr>
        <w:t>e</w:t>
      </w:r>
      <w:r w:rsidRPr="00CF19FF">
        <w:rPr>
          <w:rFonts w:asciiTheme="majorBidi" w:hAnsiTheme="majorBidi" w:cstheme="majorBidi"/>
        </w:rPr>
        <w:t>s notamment au contexte des PME algériennes et aux caractéristiques de notre échantillon objet d’étude. Tout d’abord, notre analyse s’est limitée aux déterminants de la structure d’endettement d’un échantillon de PME qui ne sont pas coté</w:t>
      </w:r>
      <w:r>
        <w:rPr>
          <w:rFonts w:asciiTheme="majorBidi" w:hAnsiTheme="majorBidi" w:cstheme="majorBidi"/>
        </w:rPr>
        <w:t>e</w:t>
      </w:r>
      <w:r w:rsidRPr="00CF19FF">
        <w:rPr>
          <w:rFonts w:asciiTheme="majorBidi" w:hAnsiTheme="majorBidi" w:cstheme="majorBidi"/>
        </w:rPr>
        <w:t>s en bourse ce qui nous a conduit à ne prendre en considération que des mesures comptables pour le choix de nos variables expliquée et explicatives. Deuxièmement, le fait qu</w:t>
      </w:r>
      <w:r>
        <w:rPr>
          <w:rFonts w:asciiTheme="majorBidi" w:hAnsiTheme="majorBidi" w:cstheme="majorBidi"/>
        </w:rPr>
        <w:t xml:space="preserve">e nous </w:t>
      </w:r>
      <w:r w:rsidRPr="00CF19FF">
        <w:rPr>
          <w:rFonts w:asciiTheme="majorBidi" w:hAnsiTheme="majorBidi" w:cstheme="majorBidi"/>
        </w:rPr>
        <w:t xml:space="preserve"> </w:t>
      </w:r>
      <w:r>
        <w:rPr>
          <w:rFonts w:asciiTheme="majorBidi" w:hAnsiTheme="majorBidi" w:cstheme="majorBidi"/>
        </w:rPr>
        <w:t xml:space="preserve">     </w:t>
      </w:r>
      <w:r w:rsidRPr="00CF19FF">
        <w:rPr>
          <w:rFonts w:asciiTheme="majorBidi" w:hAnsiTheme="majorBidi" w:cstheme="majorBidi"/>
        </w:rPr>
        <w:t>a</w:t>
      </w:r>
      <w:r>
        <w:rPr>
          <w:rFonts w:asciiTheme="majorBidi" w:hAnsiTheme="majorBidi" w:cstheme="majorBidi"/>
        </w:rPr>
        <w:t>vons</w:t>
      </w:r>
      <w:r w:rsidRPr="00CF19FF">
        <w:rPr>
          <w:rFonts w:asciiTheme="majorBidi" w:hAnsiTheme="majorBidi" w:cstheme="majorBidi"/>
        </w:rPr>
        <w:t xml:space="preserve"> effectué notre étude sur une durée de 4 ans, ceci nous a empêché de concrétiser une analyse dynamique sur nos données de panels, puisque cette analyse exige des panels longs et élimine au moins deux années d’observation</w:t>
      </w:r>
      <w:r>
        <w:rPr>
          <w:rFonts w:asciiTheme="majorBidi" w:hAnsiTheme="majorBidi" w:cstheme="majorBidi"/>
        </w:rPr>
        <w:t>s</w:t>
      </w:r>
      <w:r w:rsidRPr="00CF19FF">
        <w:rPr>
          <w:rFonts w:asciiTheme="majorBidi" w:hAnsiTheme="majorBidi" w:cstheme="majorBidi"/>
        </w:rPr>
        <w:t xml:space="preserve"> afin de prendre en considération les effets antérieurs de la variable à expliquer. </w:t>
      </w:r>
    </w:p>
    <w:p w:rsidR="000202EA" w:rsidRPr="0056636F" w:rsidRDefault="000202EA" w:rsidP="000202EA">
      <w:pPr>
        <w:spacing w:line="360" w:lineRule="auto"/>
        <w:ind w:firstLine="540"/>
        <w:jc w:val="both"/>
        <w:rPr>
          <w:rFonts w:asciiTheme="majorBidi" w:hAnsiTheme="majorBidi" w:cstheme="majorBidi"/>
        </w:rPr>
      </w:pPr>
      <w:r w:rsidRPr="00CF19FF">
        <w:rPr>
          <w:rFonts w:asciiTheme="majorBidi" w:hAnsiTheme="majorBidi" w:cstheme="majorBidi"/>
        </w:rPr>
        <w:t>Pour conclure, les voies de recherches ultérieures dans le domaine de financement et de</w:t>
      </w:r>
      <w:r>
        <w:rPr>
          <w:rFonts w:asciiTheme="majorBidi" w:hAnsiTheme="majorBidi" w:cstheme="majorBidi"/>
        </w:rPr>
        <w:t>s</w:t>
      </w:r>
      <w:r w:rsidRPr="00CF19FF">
        <w:rPr>
          <w:rFonts w:asciiTheme="majorBidi" w:hAnsiTheme="majorBidi" w:cstheme="majorBidi"/>
        </w:rPr>
        <w:t xml:space="preserve"> déterminants de la structure d’endettement des PME peuvent concerner par exemple les </w:t>
      </w:r>
      <w:r>
        <w:rPr>
          <w:rFonts w:asciiTheme="majorBidi" w:hAnsiTheme="majorBidi" w:cstheme="majorBidi"/>
        </w:rPr>
        <w:t>aspects</w:t>
      </w:r>
      <w:r w:rsidRPr="00CF19FF">
        <w:rPr>
          <w:rFonts w:asciiTheme="majorBidi" w:hAnsiTheme="majorBidi" w:cstheme="majorBidi"/>
        </w:rPr>
        <w:t xml:space="preserve"> suivants :</w:t>
      </w:r>
    </w:p>
    <w:p w:rsidR="000202EA" w:rsidRPr="00DC0A13" w:rsidRDefault="000202EA" w:rsidP="000202EA">
      <w:pPr>
        <w:pStyle w:val="Paragraphedeliste"/>
        <w:numPr>
          <w:ilvl w:val="0"/>
          <w:numId w:val="14"/>
        </w:numPr>
        <w:spacing w:line="360" w:lineRule="auto"/>
        <w:jc w:val="both"/>
        <w:rPr>
          <w:rFonts w:asciiTheme="majorBidi" w:hAnsiTheme="majorBidi" w:cstheme="majorBidi"/>
        </w:rPr>
      </w:pPr>
      <w:r w:rsidRPr="00DC0A13">
        <w:rPr>
          <w:rFonts w:asciiTheme="majorBidi" w:hAnsiTheme="majorBidi" w:cstheme="majorBidi"/>
        </w:rPr>
        <w:t>Le rôle du financement par le capital-risque dans l’ouverture du capital des PME algériennes.</w:t>
      </w:r>
    </w:p>
    <w:p w:rsidR="000202EA" w:rsidRPr="00DC0A13" w:rsidRDefault="000202EA" w:rsidP="000202EA">
      <w:pPr>
        <w:pStyle w:val="Paragraphedeliste"/>
        <w:numPr>
          <w:ilvl w:val="0"/>
          <w:numId w:val="14"/>
        </w:numPr>
        <w:spacing w:line="360" w:lineRule="auto"/>
        <w:jc w:val="both"/>
        <w:rPr>
          <w:rFonts w:asciiTheme="majorBidi" w:hAnsiTheme="majorBidi" w:cstheme="majorBidi"/>
        </w:rPr>
      </w:pPr>
      <w:r w:rsidRPr="00DC0A13">
        <w:rPr>
          <w:rFonts w:asciiTheme="majorBidi" w:hAnsiTheme="majorBidi" w:cstheme="majorBidi"/>
        </w:rPr>
        <w:t>L’impact des moyens de financement islamique sur la structure d’endettement des PME en Algérie.</w:t>
      </w:r>
    </w:p>
    <w:p w:rsidR="000202EA" w:rsidRPr="00DC0A13" w:rsidRDefault="000202EA" w:rsidP="000202EA">
      <w:pPr>
        <w:pStyle w:val="Paragraphedeliste"/>
        <w:numPr>
          <w:ilvl w:val="0"/>
          <w:numId w:val="14"/>
        </w:numPr>
        <w:spacing w:line="360" w:lineRule="auto"/>
        <w:jc w:val="both"/>
        <w:rPr>
          <w:rFonts w:asciiTheme="majorBidi" w:hAnsiTheme="majorBidi" w:cstheme="majorBidi"/>
        </w:rPr>
      </w:pPr>
      <w:r>
        <w:rPr>
          <w:rFonts w:asciiTheme="majorBidi" w:hAnsiTheme="majorBidi" w:cstheme="majorBidi"/>
        </w:rPr>
        <w:t>L’é</w:t>
      </w:r>
      <w:r w:rsidRPr="00DC0A13">
        <w:rPr>
          <w:rFonts w:asciiTheme="majorBidi" w:hAnsiTheme="majorBidi" w:cstheme="majorBidi"/>
        </w:rPr>
        <w:t>tude des déterminants de la structure d’endettement des PME : étude comparative entre les PME algériennes et les PME introduites en bourse.</w:t>
      </w:r>
    </w:p>
    <w:p w:rsidR="000202EA" w:rsidRPr="00DC0A13" w:rsidRDefault="000202EA" w:rsidP="000202EA">
      <w:pPr>
        <w:pStyle w:val="Paragraphedeliste"/>
        <w:numPr>
          <w:ilvl w:val="0"/>
          <w:numId w:val="14"/>
        </w:numPr>
        <w:spacing w:line="360" w:lineRule="auto"/>
        <w:jc w:val="both"/>
        <w:rPr>
          <w:rFonts w:asciiTheme="majorBidi" w:hAnsiTheme="majorBidi" w:cstheme="majorBidi"/>
        </w:rPr>
      </w:pPr>
      <w:r>
        <w:rPr>
          <w:rFonts w:asciiTheme="majorBidi" w:hAnsiTheme="majorBidi" w:cstheme="majorBidi"/>
        </w:rPr>
        <w:t>L’a</w:t>
      </w:r>
      <w:r w:rsidRPr="00DC0A13">
        <w:rPr>
          <w:rFonts w:asciiTheme="majorBidi" w:hAnsiTheme="majorBidi" w:cstheme="majorBidi"/>
        </w:rPr>
        <w:t>nalyse des facteurs influençant la décision de l’endettement des PME : Etude dynamique sur données de panels.</w:t>
      </w:r>
    </w:p>
    <w:p w:rsidR="000202EA" w:rsidRPr="00DC0A13" w:rsidRDefault="000202EA" w:rsidP="000202EA">
      <w:pPr>
        <w:pStyle w:val="Paragraphedeliste"/>
        <w:numPr>
          <w:ilvl w:val="0"/>
          <w:numId w:val="14"/>
        </w:numPr>
        <w:spacing w:line="360" w:lineRule="auto"/>
        <w:jc w:val="both"/>
        <w:rPr>
          <w:rFonts w:asciiTheme="majorBidi" w:hAnsiTheme="majorBidi" w:cstheme="majorBidi"/>
        </w:rPr>
      </w:pPr>
      <w:r>
        <w:rPr>
          <w:rFonts w:asciiTheme="majorBidi" w:hAnsiTheme="majorBidi" w:cstheme="majorBidi"/>
        </w:rPr>
        <w:lastRenderedPageBreak/>
        <w:t>L’i</w:t>
      </w:r>
      <w:r w:rsidRPr="00DC0A13">
        <w:rPr>
          <w:rFonts w:asciiTheme="majorBidi" w:hAnsiTheme="majorBidi" w:cstheme="majorBidi"/>
        </w:rPr>
        <w:t xml:space="preserve">ntroduction des approches par les enquêtes et les sondages auprès des entrepreneurs dans un souci de prendre en considération des variables qualitatives qui peuvent avoir un effet sur la structure d’endettement des PME. </w:t>
      </w:r>
    </w:p>
    <w:p w:rsidR="00FD7B9F" w:rsidRPr="000202EA" w:rsidRDefault="000202EA" w:rsidP="000202EA">
      <w:pPr>
        <w:pStyle w:val="Paragraphedeliste"/>
        <w:numPr>
          <w:ilvl w:val="0"/>
          <w:numId w:val="14"/>
        </w:numPr>
        <w:spacing w:line="360" w:lineRule="auto"/>
        <w:jc w:val="both"/>
        <w:rPr>
          <w:rFonts w:asciiTheme="majorBidi" w:hAnsiTheme="majorBidi" w:cstheme="majorBidi"/>
        </w:rPr>
      </w:pPr>
      <w:r w:rsidRPr="00DC0A13">
        <w:rPr>
          <w:rFonts w:asciiTheme="majorBidi" w:hAnsiTheme="majorBidi" w:cstheme="majorBidi"/>
        </w:rPr>
        <w:t>L’effet de l’introduction du SCF sur les déterminants de l’</w:t>
      </w:r>
      <w:r>
        <w:rPr>
          <w:rFonts w:asciiTheme="majorBidi" w:hAnsiTheme="majorBidi" w:cstheme="majorBidi"/>
        </w:rPr>
        <w:t>endettement des PME en Algérie.</w:t>
      </w:r>
    </w:p>
    <w:sectPr w:rsidR="00FD7B9F" w:rsidRPr="000202EA" w:rsidSect="00664A57">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pgNumType w:start="2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67B" w:rsidRDefault="0024267B" w:rsidP="000D278E">
      <w:r>
        <w:separator/>
      </w:r>
    </w:p>
  </w:endnote>
  <w:endnote w:type="continuationSeparator" w:id="0">
    <w:p w:rsidR="0024267B" w:rsidRDefault="0024267B" w:rsidP="000D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CCOAB+BookmanOldStyle">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57" w:rsidRDefault="00664A5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57" w:rsidRDefault="00664A5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57" w:rsidRDefault="00664A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67B" w:rsidRDefault="0024267B" w:rsidP="000D278E">
      <w:r>
        <w:separator/>
      </w:r>
    </w:p>
  </w:footnote>
  <w:footnote w:type="continuationSeparator" w:id="0">
    <w:p w:rsidR="0024267B" w:rsidRDefault="0024267B" w:rsidP="000D2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57" w:rsidRDefault="00664A5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Pr>
      <w:id w:val="619885742"/>
      <w:docPartObj>
        <w:docPartGallery w:val="Page Numbers (Top of Page)"/>
        <w:docPartUnique/>
      </w:docPartObj>
    </w:sdtPr>
    <w:sdtEndPr/>
    <w:sdtContent>
      <w:p w:rsidR="001837F2" w:rsidRPr="000D278E" w:rsidRDefault="00EE0425" w:rsidP="00EE0425">
        <w:pPr>
          <w:pStyle w:val="En-tte"/>
          <w:rPr>
            <w:b/>
            <w:bCs/>
          </w:rPr>
        </w:pPr>
        <w:r>
          <w:rPr>
            <w:b/>
            <w:bCs/>
          </w:rPr>
          <w:t>Conclusion</w:t>
        </w:r>
        <w:r w:rsidR="001837F2" w:rsidRPr="000D278E">
          <w:rPr>
            <w:b/>
            <w:bCs/>
          </w:rPr>
          <w:t> </w:t>
        </w:r>
        <w:r w:rsidR="001837F2">
          <w:rPr>
            <w:b/>
            <w:bCs/>
          </w:rPr>
          <w:t xml:space="preserve">générale </w:t>
        </w:r>
        <w:r w:rsidR="001837F2" w:rsidRPr="000D278E">
          <w:rPr>
            <w:b/>
            <w:bCs/>
          </w:rPr>
          <w:t xml:space="preserve">: </w:t>
        </w:r>
        <w:r>
          <w:rPr>
            <w:b/>
            <w:bCs/>
          </w:rPr>
          <w:t xml:space="preserve">   </w:t>
        </w:r>
        <w:r w:rsidR="001837F2" w:rsidRPr="000D278E">
          <w:rPr>
            <w:b/>
            <w:bCs/>
          </w:rPr>
          <w:t xml:space="preserve">                     </w:t>
        </w:r>
        <w:r w:rsidR="001837F2">
          <w:rPr>
            <w:b/>
            <w:bCs/>
          </w:rPr>
          <w:t xml:space="preserve">                                   </w:t>
        </w:r>
        <w:r>
          <w:rPr>
            <w:b/>
            <w:bCs/>
          </w:rPr>
          <w:t xml:space="preserve">                              </w:t>
        </w:r>
        <w:r w:rsidR="001837F2">
          <w:rPr>
            <w:b/>
            <w:bCs/>
          </w:rPr>
          <w:t xml:space="preserve">       </w:t>
        </w:r>
        <w:r w:rsidR="00DA03E3">
          <w:rPr>
            <w:b/>
            <w:bCs/>
          </w:rPr>
          <w:t xml:space="preserve">    </w:t>
        </w:r>
        <w:r w:rsidR="001837F2">
          <w:rPr>
            <w:b/>
            <w:bCs/>
          </w:rPr>
          <w:t xml:space="preserve">             </w:t>
        </w:r>
        <w:r w:rsidR="001837F2" w:rsidRPr="000D278E">
          <w:rPr>
            <w:b/>
            <w:bCs/>
          </w:rPr>
          <w:t xml:space="preserve"> </w:t>
        </w:r>
        <w:r w:rsidR="001837F2" w:rsidRPr="000D278E">
          <w:rPr>
            <w:b/>
            <w:bCs/>
          </w:rPr>
          <w:fldChar w:fldCharType="begin"/>
        </w:r>
        <w:r w:rsidR="001837F2" w:rsidRPr="000D278E">
          <w:rPr>
            <w:b/>
            <w:bCs/>
          </w:rPr>
          <w:instrText>PAGE   \* MERGEFORMAT</w:instrText>
        </w:r>
        <w:r w:rsidR="001837F2" w:rsidRPr="000D278E">
          <w:rPr>
            <w:b/>
            <w:bCs/>
          </w:rPr>
          <w:fldChar w:fldCharType="separate"/>
        </w:r>
        <w:r w:rsidR="00935A00">
          <w:rPr>
            <w:b/>
            <w:bCs/>
            <w:noProof/>
          </w:rPr>
          <w:t>229</w:t>
        </w:r>
        <w:r w:rsidR="001837F2" w:rsidRPr="000D278E">
          <w:rPr>
            <w:b/>
            <w:bCs/>
          </w:rPr>
          <w:fldChar w:fldCharType="end"/>
        </w:r>
      </w:p>
    </w:sdtContent>
  </w:sdt>
  <w:p w:rsidR="001837F2" w:rsidRDefault="001837F2">
    <w:pPr>
      <w:pStyle w:val="En-tte"/>
    </w:pPr>
    <w:r w:rsidRPr="000D278E">
      <w:rPr>
        <w:noProof/>
      </w:rPr>
      <mc:AlternateContent>
        <mc:Choice Requires="wps">
          <w:drawing>
            <wp:anchor distT="0" distB="0" distL="114300" distR="114300" simplePos="0" relativeHeight="251659264" behindDoc="0" locked="0" layoutInCell="1" allowOverlap="1" wp14:anchorId="1E641A54" wp14:editId="0152BE8B">
              <wp:simplePos x="0" y="0"/>
              <wp:positionH relativeFrom="column">
                <wp:posOffset>-49530</wp:posOffset>
              </wp:positionH>
              <wp:positionV relativeFrom="paragraph">
                <wp:posOffset>52705</wp:posOffset>
              </wp:positionV>
              <wp:extent cx="6103620" cy="0"/>
              <wp:effectExtent l="0" t="0" r="11430" b="19050"/>
              <wp:wrapNone/>
              <wp:docPr id="2" name="Connecteur droit 2"/>
              <wp:cNvGraphicFramePr/>
              <a:graphic xmlns:a="http://schemas.openxmlformats.org/drawingml/2006/main">
                <a:graphicData uri="http://schemas.microsoft.com/office/word/2010/wordprocessingShape">
                  <wps:wsp>
                    <wps:cNvCnPr/>
                    <wps:spPr>
                      <a:xfrm>
                        <a:off x="0" y="0"/>
                        <a:ext cx="6103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necteur droit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pt,4.15pt" to="476.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" strokecolor="black [304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57" w:rsidRDefault="00664A5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1D91"/>
      </v:shape>
    </w:pict>
  </w:numPicBullet>
  <w:numPicBullet w:numPicBulletId="1">
    <w:pict>
      <v:shape id="_x0000_i1037" type="#_x0000_t75" style="width:11.4pt;height:11.4pt" o:bullet="t">
        <v:imagedata r:id="rId2" o:title="mso1D91"/>
      </v:shape>
    </w:pict>
  </w:numPicBullet>
  <w:abstractNum w:abstractNumId="0">
    <w:nsid w:val="06DD7668"/>
    <w:multiLevelType w:val="hybridMultilevel"/>
    <w:tmpl w:val="54E8A032"/>
    <w:lvl w:ilvl="0" w:tplc="040C0001">
      <w:start w:val="4"/>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E3E0029"/>
    <w:multiLevelType w:val="hybridMultilevel"/>
    <w:tmpl w:val="AEA212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DD5474"/>
    <w:multiLevelType w:val="hybridMultilevel"/>
    <w:tmpl w:val="93EE9D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CE54B9"/>
    <w:multiLevelType w:val="hybridMultilevel"/>
    <w:tmpl w:val="17D23A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E06AE1"/>
    <w:multiLevelType w:val="hybridMultilevel"/>
    <w:tmpl w:val="1C78885A"/>
    <w:lvl w:ilvl="0" w:tplc="1E668C22">
      <w:start w:val="1"/>
      <w:numFmt w:val="bullet"/>
      <w:lvlText w:val="-"/>
      <w:lvlJc w:val="left"/>
      <w:pPr>
        <w:tabs>
          <w:tab w:val="num" w:pos="360"/>
        </w:tabs>
        <w:ind w:left="360" w:hanging="360"/>
      </w:pPr>
      <w:rPr>
        <w:rFonts w:ascii="Arial Narrow" w:hAnsi="Arial Narrow" w:hint="default"/>
        <w:b/>
        <w:i w:val="0"/>
        <w:sz w:val="24"/>
        <w:szCs w:val="24"/>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21515460"/>
    <w:multiLevelType w:val="hybridMultilevel"/>
    <w:tmpl w:val="812A9C8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A72710"/>
    <w:multiLevelType w:val="hybridMultilevel"/>
    <w:tmpl w:val="681C52A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5A6A1D"/>
    <w:multiLevelType w:val="hybridMultilevel"/>
    <w:tmpl w:val="664842DA"/>
    <w:lvl w:ilvl="0" w:tplc="6C8469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AF1DD8"/>
    <w:multiLevelType w:val="hybridMultilevel"/>
    <w:tmpl w:val="F40C37E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7666A91"/>
    <w:multiLevelType w:val="hybridMultilevel"/>
    <w:tmpl w:val="0172BEF6"/>
    <w:lvl w:ilvl="0" w:tplc="7D2C636C">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nsid w:val="4EA609DC"/>
    <w:multiLevelType w:val="hybridMultilevel"/>
    <w:tmpl w:val="D546747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EF41B49"/>
    <w:multiLevelType w:val="hybridMultilevel"/>
    <w:tmpl w:val="FCBA0D8C"/>
    <w:lvl w:ilvl="0" w:tplc="7D2C636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10969C8"/>
    <w:multiLevelType w:val="hybridMultilevel"/>
    <w:tmpl w:val="D9BEFF36"/>
    <w:lvl w:ilvl="0" w:tplc="1E668C22">
      <w:start w:val="1"/>
      <w:numFmt w:val="bullet"/>
      <w:lvlText w:val="-"/>
      <w:lvlJc w:val="left"/>
      <w:pPr>
        <w:tabs>
          <w:tab w:val="num" w:pos="360"/>
        </w:tabs>
        <w:ind w:left="360" w:hanging="360"/>
      </w:pPr>
      <w:rPr>
        <w:rFonts w:ascii="Arial Narrow" w:hAnsi="Arial Narrow" w:hint="default"/>
        <w:b/>
        <w:i w:val="0"/>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1EF4F92"/>
    <w:multiLevelType w:val="hybridMultilevel"/>
    <w:tmpl w:val="997258F4"/>
    <w:lvl w:ilvl="0" w:tplc="040C0009">
      <w:start w:val="1"/>
      <w:numFmt w:val="bullet"/>
      <w:lvlText w:val=""/>
      <w:lvlJc w:val="left"/>
      <w:pPr>
        <w:ind w:left="1260" w:hanging="360"/>
      </w:pPr>
      <w:rPr>
        <w:rFonts w:ascii="Wingdings" w:hAnsi="Wingdings"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4">
    <w:nsid w:val="659F60E8"/>
    <w:multiLevelType w:val="hybridMultilevel"/>
    <w:tmpl w:val="D9925250"/>
    <w:lvl w:ilvl="0" w:tplc="7D2C636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A40604F"/>
    <w:multiLevelType w:val="hybridMultilevel"/>
    <w:tmpl w:val="E3E695E0"/>
    <w:lvl w:ilvl="0" w:tplc="7D2C636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CE524F0"/>
    <w:multiLevelType w:val="hybridMultilevel"/>
    <w:tmpl w:val="A032489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ED040C1"/>
    <w:multiLevelType w:val="hybridMultilevel"/>
    <w:tmpl w:val="BB66A8B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2"/>
  </w:num>
  <w:num w:numId="6">
    <w:abstractNumId w:val="13"/>
  </w:num>
  <w:num w:numId="7">
    <w:abstractNumId w:val="17"/>
  </w:num>
  <w:num w:numId="8">
    <w:abstractNumId w:val="16"/>
  </w:num>
  <w:num w:numId="9">
    <w:abstractNumId w:val="5"/>
  </w:num>
  <w:num w:numId="10">
    <w:abstractNumId w:val="10"/>
  </w:num>
  <w:num w:numId="11">
    <w:abstractNumId w:val="6"/>
  </w:num>
  <w:num w:numId="12">
    <w:abstractNumId w:val="15"/>
  </w:num>
  <w:num w:numId="13">
    <w:abstractNumId w:val="7"/>
  </w:num>
  <w:num w:numId="14">
    <w:abstractNumId w:val="8"/>
  </w:num>
  <w:num w:numId="15">
    <w:abstractNumId w:val="11"/>
  </w:num>
  <w:num w:numId="16">
    <w:abstractNumId w:val="9"/>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F9"/>
    <w:rsid w:val="00007184"/>
    <w:rsid w:val="000202EA"/>
    <w:rsid w:val="00022EC6"/>
    <w:rsid w:val="00027C92"/>
    <w:rsid w:val="00030DFB"/>
    <w:rsid w:val="00037145"/>
    <w:rsid w:val="000429A4"/>
    <w:rsid w:val="00047E44"/>
    <w:rsid w:val="00052DEA"/>
    <w:rsid w:val="00056026"/>
    <w:rsid w:val="0005765A"/>
    <w:rsid w:val="00066831"/>
    <w:rsid w:val="0008135A"/>
    <w:rsid w:val="00087851"/>
    <w:rsid w:val="00094EF5"/>
    <w:rsid w:val="00095EB8"/>
    <w:rsid w:val="000B2347"/>
    <w:rsid w:val="000C14BA"/>
    <w:rsid w:val="000C5FA1"/>
    <w:rsid w:val="000D2494"/>
    <w:rsid w:val="000D24B5"/>
    <w:rsid w:val="000D278E"/>
    <w:rsid w:val="000D5A8C"/>
    <w:rsid w:val="000E1AA7"/>
    <w:rsid w:val="000E3E00"/>
    <w:rsid w:val="000F0396"/>
    <w:rsid w:val="000F36C2"/>
    <w:rsid w:val="00103C43"/>
    <w:rsid w:val="00105CC4"/>
    <w:rsid w:val="00111ADD"/>
    <w:rsid w:val="001348CF"/>
    <w:rsid w:val="00135C5B"/>
    <w:rsid w:val="001379F0"/>
    <w:rsid w:val="001465CD"/>
    <w:rsid w:val="00156D0E"/>
    <w:rsid w:val="00174861"/>
    <w:rsid w:val="00175187"/>
    <w:rsid w:val="001837F2"/>
    <w:rsid w:val="00187868"/>
    <w:rsid w:val="00192087"/>
    <w:rsid w:val="001A00AD"/>
    <w:rsid w:val="001A151A"/>
    <w:rsid w:val="001A3733"/>
    <w:rsid w:val="001B358C"/>
    <w:rsid w:val="001B4ADC"/>
    <w:rsid w:val="001B51FA"/>
    <w:rsid w:val="001C7C50"/>
    <w:rsid w:val="001F0424"/>
    <w:rsid w:val="001F09E5"/>
    <w:rsid w:val="00200CCA"/>
    <w:rsid w:val="002041BC"/>
    <w:rsid w:val="00206407"/>
    <w:rsid w:val="00220609"/>
    <w:rsid w:val="0022087F"/>
    <w:rsid w:val="00220882"/>
    <w:rsid w:val="002214A0"/>
    <w:rsid w:val="00232132"/>
    <w:rsid w:val="0023366A"/>
    <w:rsid w:val="0024267B"/>
    <w:rsid w:val="002511FE"/>
    <w:rsid w:val="00253057"/>
    <w:rsid w:val="00256D96"/>
    <w:rsid w:val="00274221"/>
    <w:rsid w:val="00283C4D"/>
    <w:rsid w:val="00292FB8"/>
    <w:rsid w:val="0029748F"/>
    <w:rsid w:val="002A36EE"/>
    <w:rsid w:val="002A6CE0"/>
    <w:rsid w:val="002B5946"/>
    <w:rsid w:val="002C1CDC"/>
    <w:rsid w:val="002D6867"/>
    <w:rsid w:val="002D76C9"/>
    <w:rsid w:val="002E7B9D"/>
    <w:rsid w:val="00300D34"/>
    <w:rsid w:val="00332205"/>
    <w:rsid w:val="00336C58"/>
    <w:rsid w:val="003371FD"/>
    <w:rsid w:val="003413FD"/>
    <w:rsid w:val="0035411B"/>
    <w:rsid w:val="00364895"/>
    <w:rsid w:val="00365FA3"/>
    <w:rsid w:val="00373D6F"/>
    <w:rsid w:val="003752BE"/>
    <w:rsid w:val="00375502"/>
    <w:rsid w:val="00382128"/>
    <w:rsid w:val="00384F8A"/>
    <w:rsid w:val="003A14EF"/>
    <w:rsid w:val="003A4F2E"/>
    <w:rsid w:val="003B4998"/>
    <w:rsid w:val="003C37D1"/>
    <w:rsid w:val="003C7054"/>
    <w:rsid w:val="003D0706"/>
    <w:rsid w:val="003D14B2"/>
    <w:rsid w:val="003D3FA7"/>
    <w:rsid w:val="003E04A9"/>
    <w:rsid w:val="003E4B94"/>
    <w:rsid w:val="003E7C48"/>
    <w:rsid w:val="003F157F"/>
    <w:rsid w:val="00411B8D"/>
    <w:rsid w:val="004255B8"/>
    <w:rsid w:val="004259F8"/>
    <w:rsid w:val="00426D24"/>
    <w:rsid w:val="00432B7B"/>
    <w:rsid w:val="0043486B"/>
    <w:rsid w:val="00435FC0"/>
    <w:rsid w:val="00437BF7"/>
    <w:rsid w:val="00450862"/>
    <w:rsid w:val="00455F13"/>
    <w:rsid w:val="00456442"/>
    <w:rsid w:val="004570E7"/>
    <w:rsid w:val="00460892"/>
    <w:rsid w:val="00470F7C"/>
    <w:rsid w:val="00481320"/>
    <w:rsid w:val="00483126"/>
    <w:rsid w:val="00487826"/>
    <w:rsid w:val="004907CE"/>
    <w:rsid w:val="0049339A"/>
    <w:rsid w:val="0049346B"/>
    <w:rsid w:val="00494062"/>
    <w:rsid w:val="004969F6"/>
    <w:rsid w:val="00497C56"/>
    <w:rsid w:val="004A6585"/>
    <w:rsid w:val="004B4426"/>
    <w:rsid w:val="004D1053"/>
    <w:rsid w:val="004E122B"/>
    <w:rsid w:val="004E4AA9"/>
    <w:rsid w:val="004F4D0E"/>
    <w:rsid w:val="004F596D"/>
    <w:rsid w:val="00503857"/>
    <w:rsid w:val="005059B0"/>
    <w:rsid w:val="00511F3D"/>
    <w:rsid w:val="00521D10"/>
    <w:rsid w:val="00524DAB"/>
    <w:rsid w:val="00530AC5"/>
    <w:rsid w:val="00534676"/>
    <w:rsid w:val="00545ADD"/>
    <w:rsid w:val="00550432"/>
    <w:rsid w:val="005542C9"/>
    <w:rsid w:val="00557167"/>
    <w:rsid w:val="00557DB8"/>
    <w:rsid w:val="0056146F"/>
    <w:rsid w:val="005649A9"/>
    <w:rsid w:val="0056636F"/>
    <w:rsid w:val="00581371"/>
    <w:rsid w:val="00584B6C"/>
    <w:rsid w:val="00591816"/>
    <w:rsid w:val="005A5536"/>
    <w:rsid w:val="005A72D2"/>
    <w:rsid w:val="005C0B8E"/>
    <w:rsid w:val="005C19CB"/>
    <w:rsid w:val="005C33F7"/>
    <w:rsid w:val="005E4124"/>
    <w:rsid w:val="005E4699"/>
    <w:rsid w:val="005F6523"/>
    <w:rsid w:val="00604870"/>
    <w:rsid w:val="00614571"/>
    <w:rsid w:val="006156D4"/>
    <w:rsid w:val="00620F6B"/>
    <w:rsid w:val="0062571E"/>
    <w:rsid w:val="006260BF"/>
    <w:rsid w:val="00640265"/>
    <w:rsid w:val="00643E96"/>
    <w:rsid w:val="00646913"/>
    <w:rsid w:val="00650A03"/>
    <w:rsid w:val="0065587A"/>
    <w:rsid w:val="0066100A"/>
    <w:rsid w:val="00664A57"/>
    <w:rsid w:val="006711F0"/>
    <w:rsid w:val="00681C42"/>
    <w:rsid w:val="006830E3"/>
    <w:rsid w:val="006929A6"/>
    <w:rsid w:val="006A22AF"/>
    <w:rsid w:val="006A4CA9"/>
    <w:rsid w:val="006C0D87"/>
    <w:rsid w:val="006C736C"/>
    <w:rsid w:val="006D1502"/>
    <w:rsid w:val="006D23CE"/>
    <w:rsid w:val="006E686A"/>
    <w:rsid w:val="006E795C"/>
    <w:rsid w:val="006E7F2A"/>
    <w:rsid w:val="006F0AE4"/>
    <w:rsid w:val="00701C15"/>
    <w:rsid w:val="00716E12"/>
    <w:rsid w:val="00727603"/>
    <w:rsid w:val="007351A8"/>
    <w:rsid w:val="007443AD"/>
    <w:rsid w:val="00747047"/>
    <w:rsid w:val="007649F3"/>
    <w:rsid w:val="00777046"/>
    <w:rsid w:val="00786836"/>
    <w:rsid w:val="00787A36"/>
    <w:rsid w:val="007900BD"/>
    <w:rsid w:val="00796589"/>
    <w:rsid w:val="007A5BA6"/>
    <w:rsid w:val="007D56E6"/>
    <w:rsid w:val="007E791E"/>
    <w:rsid w:val="00803A82"/>
    <w:rsid w:val="008053C7"/>
    <w:rsid w:val="008159B1"/>
    <w:rsid w:val="00816C61"/>
    <w:rsid w:val="00817083"/>
    <w:rsid w:val="00836956"/>
    <w:rsid w:val="0084088C"/>
    <w:rsid w:val="00840A0F"/>
    <w:rsid w:val="00845567"/>
    <w:rsid w:val="00846E3A"/>
    <w:rsid w:val="00862B97"/>
    <w:rsid w:val="0086755C"/>
    <w:rsid w:val="00882755"/>
    <w:rsid w:val="00882A75"/>
    <w:rsid w:val="008934F0"/>
    <w:rsid w:val="008A0743"/>
    <w:rsid w:val="008A3226"/>
    <w:rsid w:val="008A7D62"/>
    <w:rsid w:val="008B3E78"/>
    <w:rsid w:val="008B5FC3"/>
    <w:rsid w:val="008B791D"/>
    <w:rsid w:val="008C772E"/>
    <w:rsid w:val="008E05F5"/>
    <w:rsid w:val="008E3ACE"/>
    <w:rsid w:val="008E4D77"/>
    <w:rsid w:val="008E6E0E"/>
    <w:rsid w:val="008F1E0E"/>
    <w:rsid w:val="00905281"/>
    <w:rsid w:val="0091455C"/>
    <w:rsid w:val="00924912"/>
    <w:rsid w:val="00933D37"/>
    <w:rsid w:val="00935A00"/>
    <w:rsid w:val="009506D2"/>
    <w:rsid w:val="0095489E"/>
    <w:rsid w:val="0096088D"/>
    <w:rsid w:val="00971A1B"/>
    <w:rsid w:val="00974635"/>
    <w:rsid w:val="0097490E"/>
    <w:rsid w:val="00977A80"/>
    <w:rsid w:val="00987D21"/>
    <w:rsid w:val="00994C31"/>
    <w:rsid w:val="009A1EFE"/>
    <w:rsid w:val="009B2CC1"/>
    <w:rsid w:val="009B661D"/>
    <w:rsid w:val="009C4E31"/>
    <w:rsid w:val="009E15A6"/>
    <w:rsid w:val="009F08CA"/>
    <w:rsid w:val="00A0283B"/>
    <w:rsid w:val="00A035F9"/>
    <w:rsid w:val="00A05F9F"/>
    <w:rsid w:val="00A113BE"/>
    <w:rsid w:val="00A11423"/>
    <w:rsid w:val="00A129B1"/>
    <w:rsid w:val="00A15690"/>
    <w:rsid w:val="00A27FF2"/>
    <w:rsid w:val="00A3325D"/>
    <w:rsid w:val="00A40849"/>
    <w:rsid w:val="00A41723"/>
    <w:rsid w:val="00A41B7C"/>
    <w:rsid w:val="00A42774"/>
    <w:rsid w:val="00A52355"/>
    <w:rsid w:val="00A5265D"/>
    <w:rsid w:val="00A54A46"/>
    <w:rsid w:val="00A556D7"/>
    <w:rsid w:val="00A64B04"/>
    <w:rsid w:val="00A705B6"/>
    <w:rsid w:val="00A948EB"/>
    <w:rsid w:val="00AA628B"/>
    <w:rsid w:val="00AB36F5"/>
    <w:rsid w:val="00AB79D2"/>
    <w:rsid w:val="00AC3A02"/>
    <w:rsid w:val="00AC52F4"/>
    <w:rsid w:val="00AD2513"/>
    <w:rsid w:val="00AE5710"/>
    <w:rsid w:val="00AF0C00"/>
    <w:rsid w:val="00AF60FD"/>
    <w:rsid w:val="00B00C96"/>
    <w:rsid w:val="00B016E9"/>
    <w:rsid w:val="00B0229D"/>
    <w:rsid w:val="00B11299"/>
    <w:rsid w:val="00B1393C"/>
    <w:rsid w:val="00B15A16"/>
    <w:rsid w:val="00B23C7B"/>
    <w:rsid w:val="00B27334"/>
    <w:rsid w:val="00B33845"/>
    <w:rsid w:val="00B34AF8"/>
    <w:rsid w:val="00B369B7"/>
    <w:rsid w:val="00B36A3F"/>
    <w:rsid w:val="00B51980"/>
    <w:rsid w:val="00B63572"/>
    <w:rsid w:val="00B6497A"/>
    <w:rsid w:val="00B75E85"/>
    <w:rsid w:val="00B904D4"/>
    <w:rsid w:val="00B92F1F"/>
    <w:rsid w:val="00B9439F"/>
    <w:rsid w:val="00B967BB"/>
    <w:rsid w:val="00BA4174"/>
    <w:rsid w:val="00BA5752"/>
    <w:rsid w:val="00BF0A76"/>
    <w:rsid w:val="00BF7344"/>
    <w:rsid w:val="00C05976"/>
    <w:rsid w:val="00C16299"/>
    <w:rsid w:val="00C1740A"/>
    <w:rsid w:val="00C21C55"/>
    <w:rsid w:val="00C30D12"/>
    <w:rsid w:val="00C3141F"/>
    <w:rsid w:val="00C320FE"/>
    <w:rsid w:val="00C3314D"/>
    <w:rsid w:val="00C411B2"/>
    <w:rsid w:val="00C5256C"/>
    <w:rsid w:val="00C526A6"/>
    <w:rsid w:val="00C60124"/>
    <w:rsid w:val="00C6660C"/>
    <w:rsid w:val="00C72137"/>
    <w:rsid w:val="00C72DC8"/>
    <w:rsid w:val="00C80410"/>
    <w:rsid w:val="00C80617"/>
    <w:rsid w:val="00C969F2"/>
    <w:rsid w:val="00CE499E"/>
    <w:rsid w:val="00CE6AF6"/>
    <w:rsid w:val="00CF0698"/>
    <w:rsid w:val="00CF19FF"/>
    <w:rsid w:val="00CF4D11"/>
    <w:rsid w:val="00D0215C"/>
    <w:rsid w:val="00D02651"/>
    <w:rsid w:val="00D06DFB"/>
    <w:rsid w:val="00D12914"/>
    <w:rsid w:val="00D1747F"/>
    <w:rsid w:val="00D228F9"/>
    <w:rsid w:val="00D3177C"/>
    <w:rsid w:val="00D32ECA"/>
    <w:rsid w:val="00D347C5"/>
    <w:rsid w:val="00D4208A"/>
    <w:rsid w:val="00D426C8"/>
    <w:rsid w:val="00D62E11"/>
    <w:rsid w:val="00D77C07"/>
    <w:rsid w:val="00D85E01"/>
    <w:rsid w:val="00D9266B"/>
    <w:rsid w:val="00D94D88"/>
    <w:rsid w:val="00DA03E3"/>
    <w:rsid w:val="00DA219F"/>
    <w:rsid w:val="00DA66B8"/>
    <w:rsid w:val="00DB16B1"/>
    <w:rsid w:val="00DB5034"/>
    <w:rsid w:val="00DB54AA"/>
    <w:rsid w:val="00DB6B8C"/>
    <w:rsid w:val="00DC041E"/>
    <w:rsid w:val="00DC0A13"/>
    <w:rsid w:val="00DC6528"/>
    <w:rsid w:val="00DD0F64"/>
    <w:rsid w:val="00DD4AE9"/>
    <w:rsid w:val="00DD661F"/>
    <w:rsid w:val="00DE4CCE"/>
    <w:rsid w:val="00DE4DDF"/>
    <w:rsid w:val="00DE60C8"/>
    <w:rsid w:val="00DF05AE"/>
    <w:rsid w:val="00E10B8A"/>
    <w:rsid w:val="00E25A76"/>
    <w:rsid w:val="00E443DA"/>
    <w:rsid w:val="00E4517C"/>
    <w:rsid w:val="00E4752B"/>
    <w:rsid w:val="00E5447E"/>
    <w:rsid w:val="00E60FCB"/>
    <w:rsid w:val="00E6109F"/>
    <w:rsid w:val="00E647F9"/>
    <w:rsid w:val="00E735BD"/>
    <w:rsid w:val="00E858B7"/>
    <w:rsid w:val="00E87C49"/>
    <w:rsid w:val="00E97CC5"/>
    <w:rsid w:val="00EA1E01"/>
    <w:rsid w:val="00EB31D5"/>
    <w:rsid w:val="00EC39F9"/>
    <w:rsid w:val="00EC4E16"/>
    <w:rsid w:val="00ED5BA9"/>
    <w:rsid w:val="00EE0425"/>
    <w:rsid w:val="00EF6053"/>
    <w:rsid w:val="00F016D3"/>
    <w:rsid w:val="00F02E19"/>
    <w:rsid w:val="00F15845"/>
    <w:rsid w:val="00F2546D"/>
    <w:rsid w:val="00F25CBD"/>
    <w:rsid w:val="00F278DD"/>
    <w:rsid w:val="00F3102E"/>
    <w:rsid w:val="00F45A23"/>
    <w:rsid w:val="00F51A98"/>
    <w:rsid w:val="00F63DFF"/>
    <w:rsid w:val="00F63F96"/>
    <w:rsid w:val="00F93A62"/>
    <w:rsid w:val="00FA0D27"/>
    <w:rsid w:val="00FA5327"/>
    <w:rsid w:val="00FA6AC2"/>
    <w:rsid w:val="00FC2FD7"/>
    <w:rsid w:val="00FC4147"/>
    <w:rsid w:val="00FC6B3A"/>
    <w:rsid w:val="00FC7DBD"/>
    <w:rsid w:val="00FD7B9F"/>
    <w:rsid w:val="00FE1E5F"/>
    <w:rsid w:val="00FF16B1"/>
    <w:rsid w:val="00FF17B0"/>
    <w:rsid w:val="00FF321B"/>
    <w:rsid w:val="00FF5E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8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0D278E"/>
    <w:rPr>
      <w:sz w:val="20"/>
      <w:szCs w:val="20"/>
    </w:rPr>
  </w:style>
  <w:style w:type="character" w:customStyle="1" w:styleId="NotedebasdepageCar">
    <w:name w:val="Note de bas de page Car"/>
    <w:basedOn w:val="Policepardfaut"/>
    <w:link w:val="Notedebasdepage"/>
    <w:rsid w:val="000D278E"/>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0D278E"/>
    <w:rPr>
      <w:vertAlign w:val="superscript"/>
    </w:rPr>
  </w:style>
  <w:style w:type="paragraph" w:customStyle="1" w:styleId="Corpsdetexte1">
    <w:name w:val="Corps de texte+1"/>
    <w:basedOn w:val="Normal"/>
    <w:next w:val="Normal"/>
    <w:rsid w:val="000D278E"/>
    <w:pPr>
      <w:autoSpaceDE w:val="0"/>
      <w:autoSpaceDN w:val="0"/>
      <w:adjustRightInd w:val="0"/>
    </w:pPr>
  </w:style>
  <w:style w:type="paragraph" w:styleId="En-tte">
    <w:name w:val="header"/>
    <w:basedOn w:val="Normal"/>
    <w:link w:val="En-tteCar"/>
    <w:uiPriority w:val="99"/>
    <w:unhideWhenUsed/>
    <w:rsid w:val="000D278E"/>
    <w:pPr>
      <w:tabs>
        <w:tab w:val="center" w:pos="4536"/>
        <w:tab w:val="right" w:pos="9072"/>
      </w:tabs>
    </w:pPr>
  </w:style>
  <w:style w:type="character" w:customStyle="1" w:styleId="En-tteCar">
    <w:name w:val="En-tête Car"/>
    <w:basedOn w:val="Policepardfaut"/>
    <w:link w:val="En-tte"/>
    <w:uiPriority w:val="99"/>
    <w:rsid w:val="000D278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D278E"/>
    <w:pPr>
      <w:tabs>
        <w:tab w:val="center" w:pos="4536"/>
        <w:tab w:val="right" w:pos="9072"/>
      </w:tabs>
    </w:pPr>
  </w:style>
  <w:style w:type="character" w:customStyle="1" w:styleId="PieddepageCar">
    <w:name w:val="Pied de page Car"/>
    <w:basedOn w:val="Policepardfaut"/>
    <w:link w:val="Pieddepage"/>
    <w:uiPriority w:val="99"/>
    <w:rsid w:val="000D278E"/>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D278E"/>
    <w:rPr>
      <w:rFonts w:ascii="Tahoma" w:hAnsi="Tahoma" w:cs="Tahoma"/>
      <w:sz w:val="16"/>
      <w:szCs w:val="16"/>
    </w:rPr>
  </w:style>
  <w:style w:type="character" w:customStyle="1" w:styleId="TextedebullesCar">
    <w:name w:val="Texte de bulles Car"/>
    <w:basedOn w:val="Policepardfaut"/>
    <w:link w:val="Textedebulles"/>
    <w:uiPriority w:val="99"/>
    <w:semiHidden/>
    <w:rsid w:val="000D278E"/>
    <w:rPr>
      <w:rFonts w:ascii="Tahoma" w:eastAsia="Times New Roman" w:hAnsi="Tahoma" w:cs="Tahoma"/>
      <w:sz w:val="16"/>
      <w:szCs w:val="16"/>
      <w:lang w:eastAsia="fr-FR"/>
    </w:rPr>
  </w:style>
  <w:style w:type="paragraph" w:styleId="Paragraphedeliste">
    <w:name w:val="List Paragraph"/>
    <w:basedOn w:val="Normal"/>
    <w:uiPriority w:val="34"/>
    <w:qFormat/>
    <w:rsid w:val="00FC7DBD"/>
    <w:pPr>
      <w:ind w:left="720"/>
      <w:contextualSpacing/>
    </w:pPr>
  </w:style>
  <w:style w:type="paragraph" w:customStyle="1" w:styleId="Default">
    <w:name w:val="Default"/>
    <w:rsid w:val="006D23CE"/>
    <w:pPr>
      <w:autoSpaceDE w:val="0"/>
      <w:autoSpaceDN w:val="0"/>
      <w:adjustRightInd w:val="0"/>
      <w:spacing w:after="0" w:line="240" w:lineRule="auto"/>
    </w:pPr>
    <w:rPr>
      <w:rFonts w:ascii="MCCOAB+BookmanOldStyle" w:eastAsia="Times New Roman" w:hAnsi="MCCOAB+BookmanOldStyle" w:cs="MCCOAB+BookmanOldStyle"/>
      <w:color w:val="000000"/>
      <w:sz w:val="24"/>
      <w:szCs w:val="24"/>
      <w:lang w:eastAsia="fr-FR"/>
    </w:rPr>
  </w:style>
  <w:style w:type="paragraph" w:customStyle="1" w:styleId="CM12">
    <w:name w:val="CM12"/>
    <w:basedOn w:val="Normal"/>
    <w:next w:val="Normal"/>
    <w:uiPriority w:val="99"/>
    <w:rsid w:val="004E122B"/>
    <w:pPr>
      <w:autoSpaceDE w:val="0"/>
      <w:autoSpaceDN w:val="0"/>
      <w:adjustRightInd w:val="0"/>
      <w:spacing w:line="38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8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0D278E"/>
    <w:rPr>
      <w:sz w:val="20"/>
      <w:szCs w:val="20"/>
    </w:rPr>
  </w:style>
  <w:style w:type="character" w:customStyle="1" w:styleId="NotedebasdepageCar">
    <w:name w:val="Note de bas de page Car"/>
    <w:basedOn w:val="Policepardfaut"/>
    <w:link w:val="Notedebasdepage"/>
    <w:rsid w:val="000D278E"/>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0D278E"/>
    <w:rPr>
      <w:vertAlign w:val="superscript"/>
    </w:rPr>
  </w:style>
  <w:style w:type="paragraph" w:customStyle="1" w:styleId="Corpsdetexte1">
    <w:name w:val="Corps de texte+1"/>
    <w:basedOn w:val="Normal"/>
    <w:next w:val="Normal"/>
    <w:rsid w:val="000D278E"/>
    <w:pPr>
      <w:autoSpaceDE w:val="0"/>
      <w:autoSpaceDN w:val="0"/>
      <w:adjustRightInd w:val="0"/>
    </w:pPr>
  </w:style>
  <w:style w:type="paragraph" w:styleId="En-tte">
    <w:name w:val="header"/>
    <w:basedOn w:val="Normal"/>
    <w:link w:val="En-tteCar"/>
    <w:uiPriority w:val="99"/>
    <w:unhideWhenUsed/>
    <w:rsid w:val="000D278E"/>
    <w:pPr>
      <w:tabs>
        <w:tab w:val="center" w:pos="4536"/>
        <w:tab w:val="right" w:pos="9072"/>
      </w:tabs>
    </w:pPr>
  </w:style>
  <w:style w:type="character" w:customStyle="1" w:styleId="En-tteCar">
    <w:name w:val="En-tête Car"/>
    <w:basedOn w:val="Policepardfaut"/>
    <w:link w:val="En-tte"/>
    <w:uiPriority w:val="99"/>
    <w:rsid w:val="000D278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D278E"/>
    <w:pPr>
      <w:tabs>
        <w:tab w:val="center" w:pos="4536"/>
        <w:tab w:val="right" w:pos="9072"/>
      </w:tabs>
    </w:pPr>
  </w:style>
  <w:style w:type="character" w:customStyle="1" w:styleId="PieddepageCar">
    <w:name w:val="Pied de page Car"/>
    <w:basedOn w:val="Policepardfaut"/>
    <w:link w:val="Pieddepage"/>
    <w:uiPriority w:val="99"/>
    <w:rsid w:val="000D278E"/>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D278E"/>
    <w:rPr>
      <w:rFonts w:ascii="Tahoma" w:hAnsi="Tahoma" w:cs="Tahoma"/>
      <w:sz w:val="16"/>
      <w:szCs w:val="16"/>
    </w:rPr>
  </w:style>
  <w:style w:type="character" w:customStyle="1" w:styleId="TextedebullesCar">
    <w:name w:val="Texte de bulles Car"/>
    <w:basedOn w:val="Policepardfaut"/>
    <w:link w:val="Textedebulles"/>
    <w:uiPriority w:val="99"/>
    <w:semiHidden/>
    <w:rsid w:val="000D278E"/>
    <w:rPr>
      <w:rFonts w:ascii="Tahoma" w:eastAsia="Times New Roman" w:hAnsi="Tahoma" w:cs="Tahoma"/>
      <w:sz w:val="16"/>
      <w:szCs w:val="16"/>
      <w:lang w:eastAsia="fr-FR"/>
    </w:rPr>
  </w:style>
  <w:style w:type="paragraph" w:styleId="Paragraphedeliste">
    <w:name w:val="List Paragraph"/>
    <w:basedOn w:val="Normal"/>
    <w:uiPriority w:val="34"/>
    <w:qFormat/>
    <w:rsid w:val="00FC7DBD"/>
    <w:pPr>
      <w:ind w:left="720"/>
      <w:contextualSpacing/>
    </w:pPr>
  </w:style>
  <w:style w:type="paragraph" w:customStyle="1" w:styleId="Default">
    <w:name w:val="Default"/>
    <w:rsid w:val="006D23CE"/>
    <w:pPr>
      <w:autoSpaceDE w:val="0"/>
      <w:autoSpaceDN w:val="0"/>
      <w:adjustRightInd w:val="0"/>
      <w:spacing w:after="0" w:line="240" w:lineRule="auto"/>
    </w:pPr>
    <w:rPr>
      <w:rFonts w:ascii="MCCOAB+BookmanOldStyle" w:eastAsia="Times New Roman" w:hAnsi="MCCOAB+BookmanOldStyle" w:cs="MCCOAB+BookmanOldStyle"/>
      <w:color w:val="000000"/>
      <w:sz w:val="24"/>
      <w:szCs w:val="24"/>
      <w:lang w:eastAsia="fr-FR"/>
    </w:rPr>
  </w:style>
  <w:style w:type="paragraph" w:customStyle="1" w:styleId="CM12">
    <w:name w:val="CM12"/>
    <w:basedOn w:val="Normal"/>
    <w:next w:val="Normal"/>
    <w:uiPriority w:val="99"/>
    <w:rsid w:val="004E122B"/>
    <w:pPr>
      <w:autoSpaceDE w:val="0"/>
      <w:autoSpaceDN w:val="0"/>
      <w:adjustRightInd w:val="0"/>
      <w:spacing w:line="38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FBBF-727E-419F-8825-225B8E1B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2729</Words>
  <Characters>15013</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12</cp:revision>
  <cp:lastPrinted>2015-03-07T08:54:00Z</cp:lastPrinted>
  <dcterms:created xsi:type="dcterms:W3CDTF">2015-04-19T15:30:00Z</dcterms:created>
  <dcterms:modified xsi:type="dcterms:W3CDTF">2015-04-20T09:33:00Z</dcterms:modified>
</cp:coreProperties>
</file>